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A46C" w14:textId="1FB1DDA1" w:rsidR="002609F8" w:rsidRDefault="00535097" w:rsidP="002609F8">
      <w:pPr>
        <w:jc w:val="both"/>
        <w:rPr>
          <w:rFonts w:cs="Arial"/>
          <w:szCs w:val="20"/>
        </w:rPr>
      </w:pPr>
      <w:r>
        <w:rPr>
          <w:rFonts w:cs="Arial"/>
          <w:szCs w:val="20"/>
        </w:rPr>
        <w:t>T</w:t>
      </w:r>
      <w:r w:rsidR="002609F8">
        <w:rPr>
          <w:rFonts w:cs="Arial"/>
          <w:szCs w:val="20"/>
        </w:rPr>
        <w:t>he Government belongs to the Ohio Plan Risk Management, Inc. (OPRM) (the "Plan"), a</w:t>
      </w:r>
      <w:r w:rsidR="00013E86">
        <w:rPr>
          <w:rFonts w:cs="Arial"/>
          <w:szCs w:val="20"/>
        </w:rPr>
        <w:t>n</w:t>
      </w:r>
      <w:r w:rsidR="002609F8">
        <w:rPr>
          <w:rFonts w:cs="Arial"/>
          <w:szCs w:val="20"/>
        </w:rPr>
        <w:t xml:space="preserve"> unincorporated non-profit association providing a formalized, jointly administered self-insurance risk management program</w:t>
      </w:r>
      <w:r w:rsidR="00E4797B">
        <w:rPr>
          <w:rFonts w:cs="Arial"/>
          <w:szCs w:val="20"/>
        </w:rPr>
        <w:t>s</w:t>
      </w:r>
      <w:r w:rsidR="002609F8">
        <w:rPr>
          <w:rFonts w:cs="Arial"/>
          <w:szCs w:val="20"/>
        </w:rPr>
        <w:t xml:space="preserve"> and other administrative services to Ohio governments (“Members”).  The Plan is legally separate from its member governments.  </w:t>
      </w:r>
    </w:p>
    <w:p w14:paraId="55E78E3D" w14:textId="77777777" w:rsidR="002609F8" w:rsidRDefault="002609F8" w:rsidP="002609F8">
      <w:pPr>
        <w:jc w:val="both"/>
        <w:rPr>
          <w:rFonts w:cs="Arial"/>
          <w:szCs w:val="20"/>
        </w:rPr>
      </w:pPr>
    </w:p>
    <w:p w14:paraId="2F488D2F" w14:textId="77777777" w:rsidR="002609F8" w:rsidRDefault="002609F8" w:rsidP="002609F8">
      <w:pPr>
        <w:jc w:val="both"/>
        <w:rPr>
          <w:rFonts w:cs="Arial"/>
          <w:szCs w:val="20"/>
        </w:rPr>
      </w:pPr>
      <w:r>
        <w:rPr>
          <w:rFonts w:cs="Arial"/>
          <w:szCs w:val="20"/>
        </w:rPr>
        <w:t xml:space="preserve">Pursuant to Section 2744.081 of the Ohio Revised Code, the plan provides property, liability, errors and omissions, law enforcement, automobile, excess liability, crime, surety and bond, inland marine and other coverages to its members sold through fourteen appointed independent agents in the State of Ohio. </w:t>
      </w:r>
    </w:p>
    <w:p w14:paraId="6C113842" w14:textId="77777777" w:rsidR="0097798F" w:rsidRDefault="0097798F" w:rsidP="001628E6">
      <w:pPr>
        <w:pStyle w:val="CommentText"/>
        <w:rPr>
          <w:rFonts w:cs="Arial"/>
        </w:rPr>
      </w:pPr>
    </w:p>
    <w:p w14:paraId="440D1CD3" w14:textId="1EDD843D" w:rsidR="002609F8" w:rsidRPr="0097798F" w:rsidRDefault="0097798F" w:rsidP="00E906C7">
      <w:pPr>
        <w:autoSpaceDE w:val="0"/>
        <w:autoSpaceDN w:val="0"/>
        <w:adjustRightInd w:val="0"/>
        <w:jc w:val="both"/>
        <w:rPr>
          <w:rFonts w:cs="Arial"/>
        </w:rPr>
      </w:pPr>
      <w:r w:rsidRPr="006547EB">
        <w:rPr>
          <w:rFonts w:cs="Arial"/>
          <w:color w:val="000000"/>
          <w:szCs w:val="20"/>
        </w:rPr>
        <w:t xml:space="preserve">Effective November 1, 2016, the OPRM elected to participate in a property loss corridor deductible. The property corridor includes losses paid between 70% and 75%. In 2018, the casualty loss corridor was </w:t>
      </w:r>
      <w:r w:rsidR="00F20499" w:rsidRPr="006547EB">
        <w:rPr>
          <w:rFonts w:cs="Arial"/>
          <w:color w:val="000000"/>
          <w:szCs w:val="20"/>
        </w:rPr>
        <w:t>eliminated,</w:t>
      </w:r>
      <w:r w:rsidRPr="006547EB">
        <w:rPr>
          <w:rFonts w:cs="Arial"/>
          <w:color w:val="000000"/>
          <w:szCs w:val="20"/>
        </w:rPr>
        <w:t xml:space="preserve"> and the property corridor was adjusted to losses paid between 65% and 70%. Effective November 1, 2019, the property loss corridor was adjusted to losses between 60% and 67.5%</w:t>
      </w:r>
      <w:r w:rsidR="009F4110">
        <w:rPr>
          <w:rFonts w:cs="Arial"/>
          <w:color w:val="000000"/>
          <w:szCs w:val="20"/>
        </w:rPr>
        <w:t xml:space="preserve"> and</w:t>
      </w:r>
      <w:r w:rsidRPr="006547EB">
        <w:rPr>
          <w:rFonts w:cs="Arial"/>
          <w:color w:val="000000"/>
          <w:szCs w:val="20"/>
        </w:rPr>
        <w:t xml:space="preserve"> </w:t>
      </w:r>
      <w:r w:rsidR="000B2C96" w:rsidRPr="000B2C96">
        <w:rPr>
          <w:rFonts w:cs="Arial"/>
          <w:color w:val="000000"/>
          <w:szCs w:val="20"/>
        </w:rPr>
        <w:t>remained</w:t>
      </w:r>
      <w:r w:rsidR="001408BE">
        <w:rPr>
          <w:rFonts w:cs="Arial"/>
          <w:color w:val="000000"/>
          <w:szCs w:val="20"/>
        </w:rPr>
        <w:t xml:space="preserve"> </w:t>
      </w:r>
      <w:r w:rsidR="000B2C96" w:rsidRPr="000B2C96">
        <w:rPr>
          <w:rFonts w:cs="Arial"/>
          <w:color w:val="000000"/>
          <w:szCs w:val="20"/>
        </w:rPr>
        <w:t>the same through October 31, 2022. Effective November 1, 2022, the property loss corridor</w:t>
      </w:r>
      <w:r w:rsidR="001408BE">
        <w:rPr>
          <w:rFonts w:cs="Arial"/>
          <w:color w:val="000000"/>
          <w:szCs w:val="20"/>
        </w:rPr>
        <w:t xml:space="preserve"> </w:t>
      </w:r>
      <w:r w:rsidR="000B2C96" w:rsidRPr="000B2C96">
        <w:rPr>
          <w:rFonts w:cs="Arial"/>
          <w:color w:val="000000"/>
          <w:szCs w:val="20"/>
        </w:rPr>
        <w:t>was eliminated.</w:t>
      </w:r>
      <w:r w:rsidR="00282FD7" w:rsidRPr="006547EB">
        <w:rPr>
          <w:rFonts w:cs="Arial"/>
          <w:color w:val="000000"/>
          <w:szCs w:val="20"/>
        </w:rPr>
        <w:t xml:space="preserve"> </w:t>
      </w:r>
      <w:r w:rsidR="002609F8" w:rsidRPr="006547EB">
        <w:rPr>
          <w:rFonts w:cs="Arial"/>
        </w:rPr>
        <w:t xml:space="preserve">OPRM had </w:t>
      </w:r>
      <w:r w:rsidR="00AC3D57">
        <w:rPr>
          <w:rFonts w:cs="Arial"/>
        </w:rPr>
        <w:t>8</w:t>
      </w:r>
      <w:r w:rsidR="0002077C">
        <w:rPr>
          <w:rFonts w:cs="Arial"/>
        </w:rPr>
        <w:t>47</w:t>
      </w:r>
      <w:r w:rsidR="002609F8" w:rsidRPr="006547EB">
        <w:rPr>
          <w:rFonts w:cs="Arial"/>
        </w:rPr>
        <w:t xml:space="preserve"> members as of December 31, 20</w:t>
      </w:r>
      <w:r w:rsidR="00735A43" w:rsidRPr="006547EB">
        <w:rPr>
          <w:rFonts w:cs="Arial"/>
        </w:rPr>
        <w:t>2</w:t>
      </w:r>
      <w:r w:rsidR="0002077C">
        <w:rPr>
          <w:rFonts w:cs="Arial"/>
        </w:rPr>
        <w:t>4</w:t>
      </w:r>
      <w:r w:rsidR="0056340F" w:rsidRPr="006547EB">
        <w:rPr>
          <w:rFonts w:cs="Arial"/>
        </w:rPr>
        <w:t>.</w:t>
      </w:r>
    </w:p>
    <w:p w14:paraId="46179D26" w14:textId="77777777" w:rsidR="002609F8" w:rsidRPr="00E91C1D" w:rsidRDefault="002609F8" w:rsidP="002609F8">
      <w:pPr>
        <w:jc w:val="both"/>
        <w:rPr>
          <w:rFonts w:cs="Arial"/>
          <w:i/>
          <w:szCs w:val="20"/>
        </w:rPr>
      </w:pPr>
    </w:p>
    <w:p w14:paraId="12F4941F" w14:textId="732B14B4" w:rsidR="002609F8" w:rsidRDefault="002609F8" w:rsidP="006D3A98">
      <w:pPr>
        <w:suppressAutoHyphens/>
        <w:spacing w:line="240" w:lineRule="atLeast"/>
        <w:rPr>
          <w:rFonts w:cs="Arial"/>
          <w:szCs w:val="20"/>
        </w:rPr>
      </w:pPr>
      <w:r>
        <w:rPr>
          <w:rFonts w:cs="Arial"/>
          <w:szCs w:val="20"/>
        </w:rPr>
        <w:t>The Pool’s audited financial statements</w:t>
      </w:r>
      <w:r w:rsidR="006D3A98" w:rsidRPr="006D3A98">
        <w:t xml:space="preserve"> </w:t>
      </w:r>
      <w:r w:rsidR="006D3A98" w:rsidRPr="006D3A98">
        <w:rPr>
          <w:rFonts w:cs="Arial"/>
          <w:szCs w:val="20"/>
        </w:rPr>
        <w:t>conform with accounting principles generally accepted in the United States of America</w:t>
      </w:r>
      <w:r w:rsidR="006D3A98">
        <w:rPr>
          <w:rFonts w:cs="Arial"/>
          <w:szCs w:val="20"/>
        </w:rPr>
        <w:t>,</w:t>
      </w:r>
      <w:r>
        <w:rPr>
          <w:rFonts w:cs="Arial"/>
          <w:szCs w:val="20"/>
        </w:rPr>
        <w:t xml:space="preserve"> </w:t>
      </w:r>
      <w:proofErr w:type="gramStart"/>
      <w:r w:rsidR="006D3A98" w:rsidRPr="006D3A98">
        <w:rPr>
          <w:rFonts w:cs="Arial"/>
          <w:szCs w:val="20"/>
        </w:rPr>
        <w:t>with the exception</w:t>
      </w:r>
      <w:r w:rsidR="006D3A98">
        <w:rPr>
          <w:rFonts w:cs="Arial"/>
          <w:szCs w:val="20"/>
        </w:rPr>
        <w:t xml:space="preserve"> of</w:t>
      </w:r>
      <w:proofErr w:type="gramEnd"/>
      <w:r w:rsidR="006D3A98" w:rsidRPr="006D3A98">
        <w:rPr>
          <w:rFonts w:cs="Arial"/>
          <w:szCs w:val="20"/>
        </w:rPr>
        <w:t xml:space="preserve"> a qualified opinion </w:t>
      </w:r>
      <w:r w:rsidR="006D3A98">
        <w:rPr>
          <w:rFonts w:cs="Arial"/>
          <w:szCs w:val="20"/>
        </w:rPr>
        <w:t>related to</w:t>
      </w:r>
      <w:r w:rsidR="006D3A98" w:rsidRPr="006D3A98">
        <w:rPr>
          <w:rFonts w:cs="Arial"/>
          <w:szCs w:val="20"/>
        </w:rPr>
        <w:t xml:space="preserve"> record</w:t>
      </w:r>
      <w:r w:rsidR="006D3A98">
        <w:rPr>
          <w:rFonts w:cs="Arial"/>
          <w:szCs w:val="20"/>
        </w:rPr>
        <w:t>ing</w:t>
      </w:r>
      <w:r w:rsidR="006D3A98" w:rsidRPr="006D3A98">
        <w:rPr>
          <w:rFonts w:cs="Arial"/>
          <w:szCs w:val="20"/>
        </w:rPr>
        <w:t xml:space="preserve"> premiums and membership fees earned in full as of December 31, 202</w:t>
      </w:r>
      <w:r w:rsidR="00AC74F2">
        <w:rPr>
          <w:rFonts w:cs="Arial"/>
          <w:szCs w:val="20"/>
        </w:rPr>
        <w:t>4</w:t>
      </w:r>
      <w:r w:rsidR="006D3A98">
        <w:rPr>
          <w:rFonts w:cs="Arial"/>
          <w:szCs w:val="20"/>
        </w:rPr>
        <w:t>. T</w:t>
      </w:r>
      <w:r w:rsidR="006D3A98" w:rsidRPr="006D3A98">
        <w:rPr>
          <w:rFonts w:cs="Arial"/>
          <w:szCs w:val="20"/>
        </w:rPr>
        <w:t>hose premiums and fees should be earned pro-</w:t>
      </w:r>
      <w:proofErr w:type="gramStart"/>
      <w:r w:rsidR="006D3A98" w:rsidRPr="006D3A98">
        <w:rPr>
          <w:rFonts w:cs="Arial"/>
          <w:szCs w:val="20"/>
        </w:rPr>
        <w:t>rata</w:t>
      </w:r>
      <w:proofErr w:type="gramEnd"/>
      <w:r w:rsidR="006D3A98" w:rsidRPr="006D3A98">
        <w:rPr>
          <w:rFonts w:cs="Arial"/>
          <w:szCs w:val="20"/>
        </w:rPr>
        <w:t xml:space="preserve"> over the individual coverage and membership periods of each policy.</w:t>
      </w:r>
      <w:r>
        <w:rPr>
          <w:rFonts w:cs="Arial"/>
          <w:szCs w:val="20"/>
        </w:rPr>
        <w:t xml:space="preserve"> </w:t>
      </w:r>
      <w:r w:rsidR="006D3A98">
        <w:rPr>
          <w:rFonts w:cs="Arial"/>
          <w:szCs w:val="20"/>
        </w:rPr>
        <w:t xml:space="preserve"> The financial statements</w:t>
      </w:r>
      <w:r>
        <w:rPr>
          <w:rFonts w:cs="Arial"/>
          <w:szCs w:val="20"/>
        </w:rPr>
        <w:t xml:space="preserve"> reported the following assets, liabilities and equity </w:t>
      </w:r>
      <w:proofErr w:type="gramStart"/>
      <w:r>
        <w:rPr>
          <w:rFonts w:cs="Arial"/>
          <w:szCs w:val="20"/>
        </w:rPr>
        <w:t>at</w:t>
      </w:r>
      <w:proofErr w:type="gramEnd"/>
      <w:r>
        <w:rPr>
          <w:rFonts w:cs="Arial"/>
          <w:szCs w:val="20"/>
        </w:rPr>
        <w:t xml:space="preserve"> D</w:t>
      </w:r>
      <w:r w:rsidRPr="00735A43">
        <w:rPr>
          <w:rFonts w:cs="Arial"/>
          <w:szCs w:val="20"/>
        </w:rPr>
        <w:t>ecember 31, 20</w:t>
      </w:r>
      <w:r w:rsidR="00735A43" w:rsidRPr="00735A43">
        <w:rPr>
          <w:rFonts w:cs="Arial"/>
          <w:szCs w:val="20"/>
        </w:rPr>
        <w:t>2</w:t>
      </w:r>
      <w:r w:rsidR="002239CB">
        <w:rPr>
          <w:rFonts w:cs="Arial"/>
          <w:szCs w:val="20"/>
        </w:rPr>
        <w:t>4</w:t>
      </w:r>
      <w:r>
        <w:rPr>
          <w:rFonts w:cs="Arial"/>
          <w:szCs w:val="20"/>
        </w:rPr>
        <w:t>.</w:t>
      </w:r>
    </w:p>
    <w:p w14:paraId="4BE33085" w14:textId="77777777" w:rsidR="002609F8" w:rsidRDefault="002609F8" w:rsidP="002609F8">
      <w:pPr>
        <w:suppressAutoHyphens/>
        <w:spacing w:line="240" w:lineRule="atLeast"/>
        <w:rPr>
          <w:rFonts w:cs="Arial"/>
          <w:szCs w:val="20"/>
        </w:rPr>
      </w:pPr>
    </w:p>
    <w:p w14:paraId="65C92E30" w14:textId="77777777" w:rsidR="002609F8" w:rsidRDefault="00A63BDA" w:rsidP="00A63BDA">
      <w:pPr>
        <w:suppressAutoHyphens/>
        <w:spacing w:line="240" w:lineRule="atLeast"/>
        <w:jc w:val="center"/>
        <w:rPr>
          <w:rFonts w:cs="Arial"/>
          <w:szCs w:val="20"/>
          <w:u w:val="single"/>
        </w:rPr>
      </w:pPr>
      <w:r>
        <w:rPr>
          <w:rFonts w:cs="Arial"/>
          <w:szCs w:val="20"/>
          <w:u w:val="single"/>
        </w:rPr>
        <w:t xml:space="preserve">    </w:t>
      </w:r>
    </w:p>
    <w:p w14:paraId="71FDD967" w14:textId="0A89CC2F" w:rsidR="002609F8" w:rsidRDefault="002609F8" w:rsidP="00A63BDA">
      <w:pPr>
        <w:suppressAutoHyphens/>
        <w:spacing w:line="240" w:lineRule="atLeast"/>
        <w:jc w:val="both"/>
        <w:rPr>
          <w:rFonts w:cs="Arial"/>
          <w:szCs w:val="20"/>
        </w:rPr>
      </w:pPr>
      <w:r>
        <w:rPr>
          <w:rFonts w:cs="Arial"/>
          <w:szCs w:val="20"/>
        </w:rPr>
        <w:tab/>
      </w:r>
      <w:r>
        <w:rPr>
          <w:rFonts w:cs="Arial"/>
          <w:szCs w:val="20"/>
        </w:rPr>
        <w:tab/>
      </w:r>
      <w:r>
        <w:rPr>
          <w:rFonts w:cs="Arial"/>
          <w:szCs w:val="20"/>
        </w:rPr>
        <w:tab/>
      </w:r>
      <w:r>
        <w:rPr>
          <w:rFonts w:cs="Arial"/>
          <w:szCs w:val="20"/>
        </w:rPr>
        <w:tab/>
        <w:t xml:space="preserve">Assets                   </w:t>
      </w:r>
      <w:r w:rsidR="00B247E5">
        <w:rPr>
          <w:rFonts w:cs="Arial"/>
          <w:szCs w:val="20"/>
        </w:rPr>
        <w:t xml:space="preserve">    </w:t>
      </w:r>
      <w:r>
        <w:rPr>
          <w:rFonts w:cs="Arial"/>
          <w:szCs w:val="20"/>
        </w:rPr>
        <w:t>$</w:t>
      </w:r>
      <w:r w:rsidR="001628E6">
        <w:rPr>
          <w:rFonts w:cs="Arial"/>
          <w:szCs w:val="20"/>
        </w:rPr>
        <w:t xml:space="preserve"> </w:t>
      </w:r>
      <w:r w:rsidR="004C11B1">
        <w:rPr>
          <w:rFonts w:cs="Arial"/>
          <w:szCs w:val="20"/>
        </w:rPr>
        <w:t>24,456,615</w:t>
      </w:r>
    </w:p>
    <w:p w14:paraId="328A28D3" w14:textId="15F8BD44" w:rsidR="002609F8" w:rsidRDefault="002609F8" w:rsidP="00A63BDA">
      <w:pPr>
        <w:suppressAutoHyphens/>
        <w:spacing w:line="240" w:lineRule="atLeast"/>
        <w:jc w:val="both"/>
        <w:rPr>
          <w:rFonts w:cs="Arial"/>
          <w:szCs w:val="20"/>
          <w:u w:val="single"/>
        </w:rPr>
      </w:pPr>
      <w:r>
        <w:rPr>
          <w:rFonts w:cs="Arial"/>
          <w:szCs w:val="20"/>
        </w:rPr>
        <w:tab/>
      </w:r>
      <w:r>
        <w:rPr>
          <w:rFonts w:cs="Arial"/>
          <w:szCs w:val="20"/>
        </w:rPr>
        <w:tab/>
      </w:r>
      <w:r>
        <w:rPr>
          <w:rFonts w:cs="Arial"/>
          <w:szCs w:val="20"/>
        </w:rPr>
        <w:tab/>
      </w:r>
      <w:r>
        <w:rPr>
          <w:rFonts w:cs="Arial"/>
          <w:szCs w:val="20"/>
        </w:rPr>
        <w:tab/>
        <w:t xml:space="preserve">Liabilities              </w:t>
      </w:r>
      <w:r w:rsidR="00B247E5">
        <w:rPr>
          <w:rFonts w:cs="Arial"/>
          <w:szCs w:val="20"/>
        </w:rPr>
        <w:t xml:space="preserve"> </w:t>
      </w:r>
      <w:r w:rsidR="00D361B3">
        <w:rPr>
          <w:rFonts w:cs="Arial"/>
          <w:szCs w:val="20"/>
        </w:rPr>
        <w:t xml:space="preserve">  </w:t>
      </w:r>
      <w:r w:rsidR="0069639C">
        <w:rPr>
          <w:rFonts w:cs="Arial"/>
          <w:szCs w:val="20"/>
        </w:rPr>
        <w:t xml:space="preserve">   </w:t>
      </w:r>
      <w:r w:rsidR="00D361B3">
        <w:rPr>
          <w:rFonts w:cs="Arial"/>
          <w:szCs w:val="20"/>
        </w:rPr>
        <w:t>(</w:t>
      </w:r>
      <w:r w:rsidR="00AC3D57">
        <w:rPr>
          <w:rFonts w:cs="Arial"/>
          <w:szCs w:val="20"/>
        </w:rPr>
        <w:t xml:space="preserve"> </w:t>
      </w:r>
      <w:r w:rsidR="001964FE">
        <w:rPr>
          <w:rFonts w:cs="Arial"/>
          <w:szCs w:val="20"/>
          <w:u w:val="single"/>
        </w:rPr>
        <w:t>16,692,162</w:t>
      </w:r>
      <w:r w:rsidR="00AC3D57">
        <w:rPr>
          <w:rFonts w:cs="Arial"/>
          <w:szCs w:val="20"/>
          <w:u w:val="single"/>
        </w:rPr>
        <w:t>)</w:t>
      </w:r>
    </w:p>
    <w:p w14:paraId="794CE969" w14:textId="0281A622" w:rsidR="002609F8" w:rsidRDefault="002609F8" w:rsidP="002609F8">
      <w:pPr>
        <w:jc w:val="both"/>
        <w:rPr>
          <w:rFonts w:cs="Arial"/>
          <w:szCs w:val="20"/>
        </w:rPr>
      </w:pPr>
      <w:r>
        <w:rPr>
          <w:rFonts w:cs="Arial"/>
          <w:szCs w:val="20"/>
        </w:rPr>
        <w:t xml:space="preserve">                                               </w:t>
      </w:r>
      <w:r w:rsidR="00B247E5">
        <w:rPr>
          <w:rFonts w:cs="Arial"/>
          <w:szCs w:val="20"/>
        </w:rPr>
        <w:t xml:space="preserve">    </w:t>
      </w:r>
      <w:r>
        <w:rPr>
          <w:rFonts w:cs="Arial"/>
          <w:szCs w:val="20"/>
        </w:rPr>
        <w:t xml:space="preserve"> Members’ Equity   </w:t>
      </w:r>
      <w:r w:rsidR="005622DA">
        <w:rPr>
          <w:rFonts w:cs="Arial"/>
          <w:szCs w:val="20"/>
        </w:rPr>
        <w:t xml:space="preserve">   </w:t>
      </w:r>
      <w:r>
        <w:rPr>
          <w:rFonts w:cs="Arial"/>
          <w:szCs w:val="20"/>
        </w:rPr>
        <w:t xml:space="preserve"> </w:t>
      </w:r>
      <w:r>
        <w:rPr>
          <w:rFonts w:cs="Arial"/>
          <w:szCs w:val="20"/>
          <w:u w:val="double"/>
        </w:rPr>
        <w:t xml:space="preserve">$ </w:t>
      </w:r>
      <w:r w:rsidR="0069639C">
        <w:rPr>
          <w:rFonts w:cs="Arial"/>
          <w:szCs w:val="20"/>
          <w:u w:val="double"/>
        </w:rPr>
        <w:t xml:space="preserve"> </w:t>
      </w:r>
      <w:r>
        <w:rPr>
          <w:rFonts w:cs="Arial"/>
          <w:szCs w:val="20"/>
          <w:u w:val="double"/>
        </w:rPr>
        <w:t xml:space="preserve"> </w:t>
      </w:r>
      <w:r w:rsidR="001964FE">
        <w:rPr>
          <w:rFonts w:cs="Arial"/>
          <w:szCs w:val="20"/>
          <w:u w:val="double"/>
        </w:rPr>
        <w:t>7,764,453</w:t>
      </w:r>
      <w:r>
        <w:rPr>
          <w:rFonts w:cs="Arial"/>
          <w:szCs w:val="20"/>
        </w:rPr>
        <w:t xml:space="preserve">    </w:t>
      </w:r>
    </w:p>
    <w:tbl>
      <w:tblPr>
        <w:tblW w:w="7380" w:type="dxa"/>
        <w:tblInd w:w="1980" w:type="dxa"/>
        <w:tblCellMar>
          <w:left w:w="0" w:type="dxa"/>
          <w:right w:w="0" w:type="dxa"/>
        </w:tblCellMar>
        <w:tblLook w:val="04A0" w:firstRow="1" w:lastRow="0" w:firstColumn="1" w:lastColumn="0" w:noHBand="0" w:noVBand="1"/>
      </w:tblPr>
      <w:tblGrid>
        <w:gridCol w:w="1880"/>
        <w:gridCol w:w="1240"/>
        <w:gridCol w:w="852"/>
        <w:gridCol w:w="852"/>
        <w:gridCol w:w="852"/>
        <w:gridCol w:w="852"/>
        <w:gridCol w:w="852"/>
      </w:tblGrid>
      <w:tr w:rsidR="00AC3D57" w14:paraId="753612DF" w14:textId="77777777" w:rsidTr="005D20D3">
        <w:trPr>
          <w:trHeight w:val="255"/>
        </w:trPr>
        <w:tc>
          <w:tcPr>
            <w:tcW w:w="1880" w:type="dxa"/>
            <w:noWrap/>
            <w:tcMar>
              <w:top w:w="15" w:type="dxa"/>
              <w:left w:w="15" w:type="dxa"/>
              <w:bottom w:w="0" w:type="dxa"/>
              <w:right w:w="15" w:type="dxa"/>
            </w:tcMar>
            <w:vAlign w:val="bottom"/>
            <w:hideMark/>
          </w:tcPr>
          <w:p w14:paraId="16A35B48" w14:textId="77777777" w:rsidR="00AC3D57" w:rsidRDefault="00AC3D57"/>
        </w:tc>
        <w:tc>
          <w:tcPr>
            <w:tcW w:w="1240" w:type="dxa"/>
            <w:noWrap/>
            <w:tcMar>
              <w:top w:w="15" w:type="dxa"/>
              <w:left w:w="15" w:type="dxa"/>
              <w:bottom w:w="0" w:type="dxa"/>
              <w:right w:w="15" w:type="dxa"/>
            </w:tcMar>
            <w:vAlign w:val="bottom"/>
            <w:hideMark/>
          </w:tcPr>
          <w:p w14:paraId="13F18FA2" w14:textId="77777777" w:rsidR="00AC3D57" w:rsidRDefault="00AC3D57"/>
        </w:tc>
        <w:tc>
          <w:tcPr>
            <w:tcW w:w="852" w:type="dxa"/>
          </w:tcPr>
          <w:p w14:paraId="7AAEB34E" w14:textId="77777777" w:rsidR="00AC3D57" w:rsidRDefault="00AC3D57">
            <w:pPr>
              <w:rPr>
                <w:rFonts w:cs="Arial"/>
                <w:b/>
                <w:bCs/>
                <w:color w:val="000000"/>
                <w:szCs w:val="20"/>
              </w:rPr>
            </w:pPr>
          </w:p>
        </w:tc>
        <w:tc>
          <w:tcPr>
            <w:tcW w:w="852" w:type="dxa"/>
          </w:tcPr>
          <w:p w14:paraId="537C7D0E" w14:textId="7A466C1E" w:rsidR="00AC3D57" w:rsidRDefault="00AC3D57">
            <w:pPr>
              <w:rPr>
                <w:rFonts w:cs="Arial"/>
                <w:b/>
                <w:bCs/>
                <w:color w:val="000000"/>
                <w:szCs w:val="20"/>
              </w:rPr>
            </w:pPr>
          </w:p>
        </w:tc>
        <w:tc>
          <w:tcPr>
            <w:tcW w:w="852" w:type="dxa"/>
          </w:tcPr>
          <w:p w14:paraId="3B4B788A" w14:textId="1463CB57" w:rsidR="00AC3D57" w:rsidRDefault="00AC3D57">
            <w:pPr>
              <w:rPr>
                <w:rFonts w:cs="Arial"/>
                <w:b/>
                <w:bCs/>
                <w:color w:val="000000"/>
                <w:szCs w:val="20"/>
              </w:rPr>
            </w:pPr>
          </w:p>
        </w:tc>
        <w:tc>
          <w:tcPr>
            <w:tcW w:w="852" w:type="dxa"/>
          </w:tcPr>
          <w:p w14:paraId="351FEF5A" w14:textId="5FB4EF41" w:rsidR="00AC3D57" w:rsidRDefault="00AC3D57">
            <w:pPr>
              <w:rPr>
                <w:rFonts w:cs="Arial"/>
                <w:b/>
                <w:bCs/>
                <w:color w:val="000000"/>
                <w:szCs w:val="20"/>
              </w:rPr>
            </w:pPr>
          </w:p>
        </w:tc>
        <w:tc>
          <w:tcPr>
            <w:tcW w:w="852" w:type="dxa"/>
            <w:vAlign w:val="bottom"/>
          </w:tcPr>
          <w:p w14:paraId="252E1DB3" w14:textId="77777777" w:rsidR="00AC3D57" w:rsidRDefault="00AC3D57">
            <w:pPr>
              <w:rPr>
                <w:rFonts w:cs="Arial"/>
                <w:b/>
                <w:bCs/>
                <w:color w:val="000000"/>
                <w:szCs w:val="20"/>
              </w:rPr>
            </w:pPr>
          </w:p>
        </w:tc>
      </w:tr>
    </w:tbl>
    <w:p w14:paraId="367EF3B7" w14:textId="77777777" w:rsidR="002609F8" w:rsidRDefault="002609F8" w:rsidP="002609F8">
      <w:pPr>
        <w:jc w:val="both"/>
        <w:rPr>
          <w:rFonts w:cs="Arial"/>
        </w:rPr>
      </w:pPr>
      <w:r>
        <w:rPr>
          <w:rFonts w:cs="Arial"/>
          <w:szCs w:val="20"/>
        </w:rPr>
        <w:t xml:space="preserve">You can read the complete audited financial statements for OPRM </w:t>
      </w:r>
      <w:proofErr w:type="gramStart"/>
      <w:r>
        <w:rPr>
          <w:rFonts w:cs="Arial"/>
          <w:szCs w:val="20"/>
        </w:rPr>
        <w:t>at</w:t>
      </w:r>
      <w:proofErr w:type="gramEnd"/>
      <w:r>
        <w:rPr>
          <w:rFonts w:cs="Arial"/>
          <w:szCs w:val="20"/>
        </w:rPr>
        <w:t xml:space="preserve"> the Plan’s website, </w:t>
      </w:r>
      <w:r>
        <w:rPr>
          <w:rFonts w:cs="Arial"/>
          <w:szCs w:val="20"/>
          <w:u w:val="single"/>
        </w:rPr>
        <w:t>www.ohioplan.org</w:t>
      </w:r>
      <w:r>
        <w:rPr>
          <w:rFonts w:cs="Arial"/>
          <w:szCs w:val="20"/>
        </w:rPr>
        <w:t>.</w:t>
      </w:r>
    </w:p>
    <w:p w14:paraId="3F589350" w14:textId="77777777" w:rsidR="002609F8" w:rsidRDefault="002609F8" w:rsidP="002609F8"/>
    <w:p w14:paraId="44184A1D" w14:textId="77777777" w:rsidR="002A132D" w:rsidRDefault="002A132D"/>
    <w:sectPr w:rsidR="002A1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9F8"/>
    <w:rsid w:val="00013E86"/>
    <w:rsid w:val="0002077C"/>
    <w:rsid w:val="000367D4"/>
    <w:rsid w:val="000B2C96"/>
    <w:rsid w:val="001408BE"/>
    <w:rsid w:val="001628E6"/>
    <w:rsid w:val="00162D3F"/>
    <w:rsid w:val="001964FE"/>
    <w:rsid w:val="002239CB"/>
    <w:rsid w:val="002361BF"/>
    <w:rsid w:val="002609F8"/>
    <w:rsid w:val="00277438"/>
    <w:rsid w:val="00282FD7"/>
    <w:rsid w:val="002A132D"/>
    <w:rsid w:val="003012D3"/>
    <w:rsid w:val="00370925"/>
    <w:rsid w:val="003D4BA3"/>
    <w:rsid w:val="003E0E78"/>
    <w:rsid w:val="00451413"/>
    <w:rsid w:val="004C11B1"/>
    <w:rsid w:val="00535097"/>
    <w:rsid w:val="005622DA"/>
    <w:rsid w:val="0056340F"/>
    <w:rsid w:val="005D20D3"/>
    <w:rsid w:val="005D7A71"/>
    <w:rsid w:val="006547EB"/>
    <w:rsid w:val="0066584A"/>
    <w:rsid w:val="0069639C"/>
    <w:rsid w:val="006A15B6"/>
    <w:rsid w:val="006D3A98"/>
    <w:rsid w:val="00735A43"/>
    <w:rsid w:val="007364C7"/>
    <w:rsid w:val="00751A7B"/>
    <w:rsid w:val="007A4E75"/>
    <w:rsid w:val="008113F4"/>
    <w:rsid w:val="00820146"/>
    <w:rsid w:val="00871629"/>
    <w:rsid w:val="00892889"/>
    <w:rsid w:val="008B0C9B"/>
    <w:rsid w:val="008E7FB5"/>
    <w:rsid w:val="0097798F"/>
    <w:rsid w:val="009F4110"/>
    <w:rsid w:val="00A63BDA"/>
    <w:rsid w:val="00A90565"/>
    <w:rsid w:val="00AC3D57"/>
    <w:rsid w:val="00AC74F2"/>
    <w:rsid w:val="00B041F2"/>
    <w:rsid w:val="00B247E5"/>
    <w:rsid w:val="00BE7B87"/>
    <w:rsid w:val="00CC1D22"/>
    <w:rsid w:val="00CF434F"/>
    <w:rsid w:val="00D361B3"/>
    <w:rsid w:val="00DE723C"/>
    <w:rsid w:val="00E4797B"/>
    <w:rsid w:val="00E906C7"/>
    <w:rsid w:val="00E91C1D"/>
    <w:rsid w:val="00EB0E72"/>
    <w:rsid w:val="00F20499"/>
    <w:rsid w:val="00FB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82A6"/>
  <w15:docId w15:val="{55D41F49-A76E-4B42-BF92-591813D4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9F8"/>
    <w:pPr>
      <w:spacing w:after="0" w:line="240"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28E6"/>
    <w:rPr>
      <w:sz w:val="16"/>
      <w:szCs w:val="16"/>
    </w:rPr>
  </w:style>
  <w:style w:type="paragraph" w:styleId="CommentText">
    <w:name w:val="annotation text"/>
    <w:basedOn w:val="Normal"/>
    <w:link w:val="CommentTextChar"/>
    <w:uiPriority w:val="99"/>
    <w:unhideWhenUsed/>
    <w:rsid w:val="001628E6"/>
    <w:rPr>
      <w:szCs w:val="20"/>
    </w:rPr>
  </w:style>
  <w:style w:type="character" w:customStyle="1" w:styleId="CommentTextChar">
    <w:name w:val="Comment Text Char"/>
    <w:basedOn w:val="DefaultParagraphFont"/>
    <w:link w:val="CommentText"/>
    <w:uiPriority w:val="99"/>
    <w:rsid w:val="001628E6"/>
    <w:rPr>
      <w:rFonts w:cstheme="minorBidi"/>
    </w:rPr>
  </w:style>
  <w:style w:type="paragraph" w:styleId="CommentSubject">
    <w:name w:val="annotation subject"/>
    <w:basedOn w:val="CommentText"/>
    <w:next w:val="CommentText"/>
    <w:link w:val="CommentSubjectChar"/>
    <w:uiPriority w:val="99"/>
    <w:semiHidden/>
    <w:unhideWhenUsed/>
    <w:rsid w:val="001628E6"/>
    <w:rPr>
      <w:b/>
      <w:bCs/>
    </w:rPr>
  </w:style>
  <w:style w:type="character" w:customStyle="1" w:styleId="CommentSubjectChar">
    <w:name w:val="Comment Subject Char"/>
    <w:basedOn w:val="CommentTextChar"/>
    <w:link w:val="CommentSubject"/>
    <w:uiPriority w:val="99"/>
    <w:semiHidden/>
    <w:rsid w:val="001628E6"/>
    <w:rPr>
      <w:rFonts w:cstheme="minorBidi"/>
      <w:b/>
      <w:bCs/>
    </w:rPr>
  </w:style>
  <w:style w:type="paragraph" w:styleId="BalloonText">
    <w:name w:val="Balloon Text"/>
    <w:basedOn w:val="Normal"/>
    <w:link w:val="BalloonTextChar"/>
    <w:uiPriority w:val="99"/>
    <w:semiHidden/>
    <w:unhideWhenUsed/>
    <w:rsid w:val="00162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8E6"/>
    <w:rPr>
      <w:rFonts w:ascii="Segoe UI" w:hAnsi="Segoe UI" w:cs="Segoe UI"/>
      <w:sz w:val="18"/>
      <w:szCs w:val="18"/>
    </w:rPr>
  </w:style>
  <w:style w:type="paragraph" w:styleId="Revision">
    <w:name w:val="Revision"/>
    <w:hidden/>
    <w:uiPriority w:val="99"/>
    <w:semiHidden/>
    <w:rsid w:val="00AC3D57"/>
    <w:pPr>
      <w:spacing w:after="0" w:line="240" w:lineRule="auto"/>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0d5817e3-b880-408f-991f-e458db71995f" xsi:nil="true"/>
    <AddDate xmlns="0d5817e3-b880-408f-991f-e458db71995f">2022-08-01T12:20:19+00:00</AddDate>
    <TaxCatchAll xmlns="afbe0f3c-19b9-4654-b3a0-3e9f76fd8c8a" xsi:nil="tru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3E77A4-F37F-4100-A113-58236D4683FC}">
  <ds:schemaRefs>
    <ds:schemaRef ds:uri="http://schemas.microsoft.com/sharepoint/v3/contenttype/forms"/>
  </ds:schemaRefs>
</ds:datastoreItem>
</file>

<file path=customXml/itemProps2.xml><?xml version="1.0" encoding="utf-8"?>
<ds:datastoreItem xmlns:ds="http://schemas.openxmlformats.org/officeDocument/2006/customXml" ds:itemID="{7C14CFD6-4C39-488D-B98A-1E5AD0FB6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65F7C-97E8-4348-982B-C1804912F515}">
  <ds:schemaRefs>
    <ds:schemaRef ds:uri="http://schemas.microsoft.com/office/2006/metadata/properties"/>
    <ds:schemaRef ds:uri="http://schemas.microsoft.com/office/infopath/2007/PartnerControls"/>
    <ds:schemaRef ds:uri="0d5817e3-b880-408f-991f-e458db71995f"/>
    <ds:schemaRef ds:uri="afbe0f3c-19b9-4654-b3a0-3e9f76fd8c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J. Wagner</dc:creator>
  <cp:lastModifiedBy>Sean W. Garland</cp:lastModifiedBy>
  <cp:revision>7</cp:revision>
  <cp:lastPrinted>2018-09-04T13:24:00Z</cp:lastPrinted>
  <dcterms:created xsi:type="dcterms:W3CDTF">2025-07-15T19:56:00Z</dcterms:created>
  <dcterms:modified xsi:type="dcterms:W3CDTF">2025-07-30T14:32:00Z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ies>
</file>