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76F6" w14:textId="336FCEA0" w:rsidR="00834098" w:rsidRPr="00F00D94" w:rsidRDefault="00834098" w:rsidP="00834098">
      <w:pPr>
        <w:pStyle w:val="Heading3"/>
        <w:jc w:val="both"/>
        <w:rPr>
          <w:rFonts w:cs="Arial"/>
          <w:b w:val="0"/>
        </w:rPr>
      </w:pPr>
      <w:bookmarkStart w:id="0" w:name="_Toc110413025"/>
      <w:r w:rsidRPr="00F00D94">
        <w:rPr>
          <w:rFonts w:cs="Arial"/>
        </w:rPr>
        <w:t>Allowable Costs – State/Local Government-</w:t>
      </w:r>
      <w:r w:rsidR="00EC5241">
        <w:rPr>
          <w:rFonts w:cs="Arial"/>
        </w:rPr>
        <w:t>W</w:t>
      </w:r>
      <w:r w:rsidRPr="00F00D94">
        <w:rPr>
          <w:rFonts w:cs="Arial"/>
        </w:rPr>
        <w:t>ide Central Service Costs</w:t>
      </w:r>
      <w:bookmarkEnd w:id="0"/>
      <w:r w:rsidRPr="00F00D94">
        <w:rPr>
          <w:rFonts w:cs="Arial"/>
        </w:rPr>
        <w:t xml:space="preserve"> </w:t>
      </w:r>
    </w:p>
    <w:p w14:paraId="28B8B5A7" w14:textId="77777777" w:rsidR="00834098" w:rsidRPr="00F00D94" w:rsidRDefault="00834098" w:rsidP="00834098">
      <w:pPr>
        <w:spacing w:after="240"/>
        <w:jc w:val="both"/>
        <w:rPr>
          <w:rFonts w:ascii="Arial" w:hAnsi="Arial" w:cs="Arial"/>
          <w:sz w:val="20"/>
        </w:rPr>
      </w:pPr>
      <w:r w:rsidRPr="00F00D94">
        <w:rPr>
          <w:rFonts w:ascii="Arial" w:hAnsi="Arial" w:cs="Arial"/>
          <w:sz w:val="20"/>
        </w:rPr>
        <w:t xml:space="preserve">Most governmental entities provide services, such as accounting, purchasing, computer services, and fringe benefits, to operating agencies on a centralized basis.  Since the Federal awards are performed within the individual operating agencies, there must be a process whereby these central service costs are identified and assigned to benefiting operating agency activities on a reasonable and consistent basis.  The State/local government-wide central service cost allocation plan (CAP) provides that process.  (Refer to 2 CFR Part 200, Appendix V, for additional information and specific requirements.) </w:t>
      </w:r>
    </w:p>
    <w:p w14:paraId="511D8BED" w14:textId="77777777" w:rsidR="00834098" w:rsidRPr="00F00D94" w:rsidRDefault="00834098" w:rsidP="00834098">
      <w:pPr>
        <w:spacing w:after="240"/>
        <w:jc w:val="both"/>
        <w:rPr>
          <w:rFonts w:ascii="Arial" w:hAnsi="Arial" w:cs="Arial"/>
          <w:sz w:val="20"/>
        </w:rPr>
      </w:pPr>
      <w:r w:rsidRPr="00F00D94">
        <w:rPr>
          <w:rFonts w:ascii="Arial" w:hAnsi="Arial" w:cs="Arial"/>
          <w:sz w:val="20"/>
        </w:rPr>
        <w:t>The allowable costs of central services that a governmental unit provides to its agencies may be allocated or billed to the user agencies.  The State/local government-wide central service CAP is the required documentation of the methods used by the governmental unit to identify and accumulate these costs, and to allocate them or develop billing rates based on them.</w:t>
      </w:r>
    </w:p>
    <w:p w14:paraId="758DEF24" w14:textId="77777777" w:rsidR="00834098" w:rsidRPr="00F00D94" w:rsidRDefault="00834098" w:rsidP="00834098">
      <w:pPr>
        <w:spacing w:after="240"/>
        <w:jc w:val="both"/>
        <w:rPr>
          <w:rFonts w:ascii="Arial" w:hAnsi="Arial" w:cs="Arial"/>
          <w:sz w:val="20"/>
        </w:rPr>
      </w:pPr>
      <w:r w:rsidRPr="00F00D94">
        <w:rPr>
          <w:rFonts w:ascii="Arial" w:hAnsi="Arial" w:cs="Arial"/>
          <w:sz w:val="20"/>
        </w:rPr>
        <w:t>Allocated central service costs (referred to as Section I costs) are allocated to benefiting operating agencies on some reasonable basis.  These costs are usually negotiated and approved for a future year on a “fixed-with-carry-forward” basis.  Examples of such services might include general accounting, personnel administration, and purchasing.  Section I costs assigned to an operating agency through the State/local government-wide central service CAP are typically included in the agency’s indirect cost pool.</w:t>
      </w:r>
    </w:p>
    <w:p w14:paraId="611C356E" w14:textId="527DA5B7" w:rsidR="00834098" w:rsidRPr="00F00D94" w:rsidRDefault="00834098" w:rsidP="00834098">
      <w:pPr>
        <w:spacing w:after="240"/>
        <w:jc w:val="both"/>
        <w:rPr>
          <w:rFonts w:ascii="Arial" w:hAnsi="Arial" w:cs="Arial"/>
          <w:sz w:val="20"/>
        </w:rPr>
      </w:pPr>
      <w:r w:rsidRPr="00F00D94">
        <w:rPr>
          <w:rFonts w:ascii="Arial" w:hAnsi="Arial" w:cs="Arial"/>
          <w:sz w:val="20"/>
        </w:rPr>
        <w:t>Billed central service costs (referred to as Section II costs) are billed to benefiting agencies and/or programs on an individual fee-for-service or similar basis.  The billed rates are usually based on the estimated costs for providing the services.  An adjustment will be made at least annually for the difference between the revenue generated by each billed service and the actual allowable costs.  Examples of such billed services include computer services, transportation services, self-insurance, and fringe benefits.  Section II costs billed to an operating agency may be charged as direct costs to the agency’s Federal awards or included in its indirect cost pool.</w:t>
      </w:r>
    </w:p>
    <w:p w14:paraId="18A15D12" w14:textId="12992F1E" w:rsidR="00AC6E10" w:rsidRPr="00DF748E" w:rsidRDefault="00AC6E10" w:rsidP="00AC6E10">
      <w:pPr>
        <w:spacing w:after="240"/>
        <w:jc w:val="both"/>
        <w:rPr>
          <w:rFonts w:ascii="Arial" w:hAnsi="Arial" w:cs="Arial"/>
          <w:sz w:val="20"/>
        </w:rPr>
      </w:pPr>
      <w:r w:rsidRPr="00DF748E">
        <w:rPr>
          <w:rFonts w:ascii="Arial" w:hAnsi="Arial" w:cs="Arial"/>
          <w:i/>
          <w:sz w:val="20"/>
        </w:rPr>
        <w:t>(Source: 202</w:t>
      </w:r>
      <w:r w:rsidR="004622EA">
        <w:rPr>
          <w:rFonts w:ascii="Arial" w:hAnsi="Arial" w:cs="Arial"/>
          <w:i/>
          <w:sz w:val="20"/>
        </w:rPr>
        <w:t>5</w:t>
      </w:r>
      <w:r w:rsidRPr="00DF748E">
        <w:rPr>
          <w:rFonts w:ascii="Arial" w:hAnsi="Arial" w:cs="Arial"/>
          <w:i/>
          <w:sz w:val="20"/>
        </w:rPr>
        <w:t xml:space="preserve"> OMB Compliance Supplement Part 3</w:t>
      </w:r>
      <w:r w:rsidR="004622EA">
        <w:rPr>
          <w:rFonts w:ascii="Arial" w:hAnsi="Arial" w:cs="Arial"/>
          <w:i/>
          <w:sz w:val="20"/>
        </w:rPr>
        <w:t>.1</w:t>
      </w:r>
      <w:r w:rsidRPr="00DF748E">
        <w:rPr>
          <w:rFonts w:ascii="Arial" w:hAnsi="Arial" w:cs="Arial"/>
          <w:i/>
          <w:sz w:val="20"/>
        </w:rPr>
        <w:t>)</w:t>
      </w:r>
    </w:p>
    <w:p w14:paraId="775B448E" w14:textId="77777777" w:rsidR="006E7484" w:rsidRPr="00F00D94" w:rsidRDefault="006E7484" w:rsidP="006E7484">
      <w:pPr>
        <w:spacing w:after="240"/>
        <w:jc w:val="both"/>
        <w:rPr>
          <w:rFonts w:ascii="Arial" w:hAnsi="Arial" w:cs="Arial"/>
          <w:b/>
          <w:sz w:val="20"/>
        </w:rPr>
      </w:pPr>
      <w:r w:rsidRPr="00F00D94">
        <w:rPr>
          <w:rFonts w:ascii="Arial" w:hAnsi="Arial" w:cs="Arial"/>
          <w:b/>
          <w:sz w:val="20"/>
        </w:rPr>
        <w:t>Compliance Requirements – State/Local Government-Wide Central Service Costs</w:t>
      </w:r>
    </w:p>
    <w:p w14:paraId="0362030F" w14:textId="77777777" w:rsidR="006E7484" w:rsidRPr="00F00D94" w:rsidRDefault="006E7484" w:rsidP="006E7484">
      <w:pPr>
        <w:pStyle w:val="ListParagraph"/>
        <w:numPr>
          <w:ilvl w:val="0"/>
          <w:numId w:val="3"/>
        </w:numPr>
        <w:spacing w:after="240"/>
        <w:jc w:val="both"/>
        <w:rPr>
          <w:rFonts w:ascii="Arial" w:hAnsi="Arial" w:cs="Arial"/>
          <w:i/>
        </w:rPr>
      </w:pPr>
      <w:r w:rsidRPr="00F00D94">
        <w:rPr>
          <w:rFonts w:ascii="Arial" w:hAnsi="Arial" w:cs="Arial"/>
          <w:i/>
        </w:rPr>
        <w:t>Submission Requirements</w:t>
      </w:r>
    </w:p>
    <w:p w14:paraId="621C1982"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Submission requirements are identified in</w:t>
      </w:r>
      <w:r w:rsidRPr="00F00D94">
        <w:rPr>
          <w:rFonts w:ascii="Arial" w:hAnsi="Arial" w:cs="Arial"/>
          <w:color w:val="0000FF"/>
        </w:rPr>
        <w:t xml:space="preserve"> </w:t>
      </w:r>
      <w:r w:rsidRPr="00F00D94">
        <w:rPr>
          <w:rFonts w:ascii="Arial" w:hAnsi="Arial" w:cs="Arial"/>
        </w:rPr>
        <w:t>2 CFR Part 200, Appendix V, paragraph D.</w:t>
      </w:r>
    </w:p>
    <w:p w14:paraId="6B0B7FDE"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A</w:t>
      </w:r>
      <w:r w:rsidRPr="00F00D94">
        <w:rPr>
          <w:rFonts w:ascii="Arial" w:hAnsi="Arial" w:cs="Arial"/>
          <w:spacing w:val="-16"/>
        </w:rPr>
        <w:t xml:space="preserve"> </w:t>
      </w:r>
      <w:r w:rsidRPr="00F00D94">
        <w:rPr>
          <w:rFonts w:ascii="Arial" w:hAnsi="Arial" w:cs="Arial"/>
        </w:rPr>
        <w:t>State</w:t>
      </w:r>
      <w:r w:rsidRPr="00F00D94">
        <w:rPr>
          <w:rFonts w:ascii="Arial" w:hAnsi="Arial" w:cs="Arial"/>
          <w:spacing w:val="-15"/>
        </w:rPr>
        <w:t xml:space="preserve"> </w:t>
      </w:r>
      <w:r w:rsidRPr="00F00D94">
        <w:rPr>
          <w:rFonts w:ascii="Arial" w:hAnsi="Arial" w:cs="Arial"/>
        </w:rPr>
        <w:t>is</w:t>
      </w:r>
      <w:r w:rsidRPr="00F00D94">
        <w:rPr>
          <w:rFonts w:ascii="Arial" w:hAnsi="Arial" w:cs="Arial"/>
          <w:spacing w:val="-17"/>
        </w:rPr>
        <w:t xml:space="preserve"> </w:t>
      </w:r>
      <w:r w:rsidRPr="00F00D94">
        <w:rPr>
          <w:rFonts w:ascii="Arial" w:hAnsi="Arial" w:cs="Arial"/>
        </w:rPr>
        <w:t>required</w:t>
      </w:r>
      <w:r w:rsidRPr="00F00D94">
        <w:rPr>
          <w:rFonts w:ascii="Arial" w:hAnsi="Arial" w:cs="Arial"/>
          <w:spacing w:val="-14"/>
        </w:rPr>
        <w:t xml:space="preserve"> </w:t>
      </w:r>
      <w:r w:rsidRPr="00F00D94">
        <w:rPr>
          <w:rFonts w:ascii="Arial" w:hAnsi="Arial" w:cs="Arial"/>
        </w:rPr>
        <w:t>to</w:t>
      </w:r>
      <w:r w:rsidRPr="00F00D94">
        <w:rPr>
          <w:rFonts w:ascii="Arial" w:hAnsi="Arial" w:cs="Arial"/>
          <w:spacing w:val="-15"/>
        </w:rPr>
        <w:t xml:space="preserve"> </w:t>
      </w:r>
      <w:r w:rsidRPr="00F00D94">
        <w:rPr>
          <w:rFonts w:ascii="Arial" w:hAnsi="Arial" w:cs="Arial"/>
        </w:rPr>
        <w:t>submit</w:t>
      </w:r>
      <w:r w:rsidRPr="00F00D94">
        <w:rPr>
          <w:rFonts w:ascii="Arial" w:hAnsi="Arial" w:cs="Arial"/>
          <w:spacing w:val="-16"/>
        </w:rPr>
        <w:t xml:space="preserve"> </w:t>
      </w:r>
      <w:r w:rsidRPr="00F00D94">
        <w:rPr>
          <w:rFonts w:ascii="Arial" w:hAnsi="Arial" w:cs="Arial"/>
        </w:rPr>
        <w:t>a</w:t>
      </w:r>
      <w:r w:rsidRPr="00F00D94">
        <w:rPr>
          <w:rFonts w:ascii="Arial" w:hAnsi="Arial" w:cs="Arial"/>
          <w:spacing w:val="-14"/>
        </w:rPr>
        <w:t xml:space="preserve"> </w:t>
      </w:r>
      <w:r w:rsidRPr="00F00D94">
        <w:rPr>
          <w:rFonts w:ascii="Arial" w:hAnsi="Arial" w:cs="Arial"/>
        </w:rPr>
        <w:t>State-wide</w:t>
      </w:r>
      <w:r w:rsidRPr="00F00D94">
        <w:rPr>
          <w:rFonts w:ascii="Arial" w:hAnsi="Arial" w:cs="Arial"/>
          <w:spacing w:val="-15"/>
        </w:rPr>
        <w:t xml:space="preserve"> </w:t>
      </w:r>
      <w:r w:rsidRPr="00F00D94">
        <w:rPr>
          <w:rFonts w:ascii="Arial" w:hAnsi="Arial" w:cs="Arial"/>
        </w:rPr>
        <w:t>central</w:t>
      </w:r>
      <w:r w:rsidRPr="00F00D94">
        <w:rPr>
          <w:rFonts w:ascii="Arial" w:hAnsi="Arial" w:cs="Arial"/>
          <w:spacing w:val="-17"/>
        </w:rPr>
        <w:t xml:space="preserve"> </w:t>
      </w:r>
      <w:r w:rsidRPr="00F00D94">
        <w:rPr>
          <w:rFonts w:ascii="Arial" w:hAnsi="Arial" w:cs="Arial"/>
        </w:rPr>
        <w:t>service</w:t>
      </w:r>
      <w:r w:rsidRPr="00F00D94">
        <w:rPr>
          <w:rFonts w:ascii="Arial" w:hAnsi="Arial" w:cs="Arial"/>
          <w:spacing w:val="-13"/>
        </w:rPr>
        <w:t xml:space="preserve"> </w:t>
      </w:r>
      <w:r w:rsidRPr="00F00D94">
        <w:rPr>
          <w:rFonts w:ascii="Arial" w:hAnsi="Arial" w:cs="Arial"/>
        </w:rPr>
        <w:t>CAP</w:t>
      </w:r>
      <w:r w:rsidRPr="00F00D94">
        <w:rPr>
          <w:rFonts w:ascii="Arial" w:hAnsi="Arial" w:cs="Arial"/>
          <w:spacing w:val="-15"/>
        </w:rPr>
        <w:t xml:space="preserve"> </w:t>
      </w:r>
      <w:r w:rsidRPr="00F00D94">
        <w:rPr>
          <w:rFonts w:ascii="Arial" w:hAnsi="Arial" w:cs="Arial"/>
        </w:rPr>
        <w:t>to</w:t>
      </w:r>
      <w:r w:rsidRPr="00F00D94">
        <w:rPr>
          <w:rFonts w:ascii="Arial" w:hAnsi="Arial" w:cs="Arial"/>
          <w:spacing w:val="-15"/>
        </w:rPr>
        <w:t xml:space="preserve"> </w:t>
      </w:r>
      <w:r w:rsidRPr="00F00D94">
        <w:rPr>
          <w:rFonts w:ascii="Arial" w:hAnsi="Arial" w:cs="Arial"/>
        </w:rPr>
        <w:t>HHS</w:t>
      </w:r>
      <w:r w:rsidRPr="00F00D94">
        <w:rPr>
          <w:rFonts w:ascii="Arial" w:hAnsi="Arial" w:cs="Arial"/>
          <w:spacing w:val="-15"/>
        </w:rPr>
        <w:t xml:space="preserve"> </w:t>
      </w:r>
      <w:r w:rsidRPr="00F00D94">
        <w:rPr>
          <w:rFonts w:ascii="Arial" w:hAnsi="Arial" w:cs="Arial"/>
        </w:rPr>
        <w:t>for</w:t>
      </w:r>
      <w:r w:rsidRPr="00F00D94">
        <w:rPr>
          <w:rFonts w:ascii="Arial" w:hAnsi="Arial" w:cs="Arial"/>
          <w:spacing w:val="-16"/>
        </w:rPr>
        <w:t xml:space="preserve"> </w:t>
      </w:r>
      <w:r w:rsidRPr="00F00D94">
        <w:rPr>
          <w:rFonts w:ascii="Arial" w:hAnsi="Arial" w:cs="Arial"/>
        </w:rPr>
        <w:t>each year in which it claims central service costs under Federal</w:t>
      </w:r>
      <w:r w:rsidRPr="00F00D94">
        <w:rPr>
          <w:rFonts w:ascii="Arial" w:hAnsi="Arial" w:cs="Arial"/>
          <w:spacing w:val="-8"/>
        </w:rPr>
        <w:t xml:space="preserve"> </w:t>
      </w:r>
      <w:r w:rsidRPr="00F00D94">
        <w:rPr>
          <w:rFonts w:ascii="Arial" w:hAnsi="Arial" w:cs="Arial"/>
        </w:rPr>
        <w:t>awards.</w:t>
      </w:r>
    </w:p>
    <w:p w14:paraId="33355A37" w14:textId="394B3692"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 xml:space="preserve">A “major local government” is required to submit a central service CAP to its cognizant agency for indirect costs annually. </w:t>
      </w:r>
      <w:r w:rsidRPr="00F00D94">
        <w:rPr>
          <w:rFonts w:ascii="Arial" w:hAnsi="Arial" w:cs="Arial"/>
          <w:i/>
        </w:rPr>
        <w:t xml:space="preserve">Major local government </w:t>
      </w:r>
      <w:r w:rsidRPr="00F00D94">
        <w:rPr>
          <w:rFonts w:ascii="Arial" w:hAnsi="Arial" w:cs="Arial"/>
        </w:rPr>
        <w:t>means a local government that receives more than $100 million in direct Federal awards (not including pass-through awards)</w:t>
      </w:r>
      <w:r w:rsidRPr="00F00D94">
        <w:rPr>
          <w:rFonts w:ascii="Arial" w:hAnsi="Arial" w:cs="Arial"/>
          <w:spacing w:val="-17"/>
        </w:rPr>
        <w:t xml:space="preserve"> </w:t>
      </w:r>
      <w:r w:rsidRPr="00F00D94">
        <w:rPr>
          <w:rFonts w:ascii="Arial" w:hAnsi="Arial" w:cs="Arial"/>
        </w:rPr>
        <w:t>subject</w:t>
      </w:r>
      <w:r w:rsidRPr="00F00D94">
        <w:rPr>
          <w:rFonts w:ascii="Arial" w:hAnsi="Arial" w:cs="Arial"/>
          <w:spacing w:val="-15"/>
        </w:rPr>
        <w:t xml:space="preserve"> </w:t>
      </w:r>
      <w:r w:rsidRPr="00F00D94">
        <w:rPr>
          <w:rFonts w:ascii="Arial" w:hAnsi="Arial" w:cs="Arial"/>
        </w:rPr>
        <w:t>to</w:t>
      </w:r>
      <w:r w:rsidRPr="00F00D94">
        <w:rPr>
          <w:rFonts w:ascii="Arial" w:hAnsi="Arial" w:cs="Arial"/>
          <w:spacing w:val="-15"/>
        </w:rPr>
        <w:t xml:space="preserve"> </w:t>
      </w:r>
      <w:r w:rsidRPr="00F00D94">
        <w:rPr>
          <w:rFonts w:ascii="Arial" w:hAnsi="Arial" w:cs="Arial"/>
        </w:rPr>
        <w:t>2 CFR Part 200, Subpart E.</w:t>
      </w:r>
      <w:r w:rsidRPr="00F00D94">
        <w:rPr>
          <w:rFonts w:ascii="Arial" w:hAnsi="Arial" w:cs="Arial"/>
          <w:spacing w:val="34"/>
        </w:rPr>
        <w:t xml:space="preserve"> </w:t>
      </w:r>
      <w:r w:rsidRPr="00F00D94">
        <w:rPr>
          <w:rFonts w:ascii="Arial" w:hAnsi="Arial" w:cs="Arial"/>
        </w:rPr>
        <w:t>All</w:t>
      </w:r>
      <w:r w:rsidRPr="00F00D94">
        <w:rPr>
          <w:rFonts w:ascii="Arial" w:hAnsi="Arial" w:cs="Arial"/>
          <w:spacing w:val="-16"/>
        </w:rPr>
        <w:t xml:space="preserve"> </w:t>
      </w:r>
      <w:r w:rsidRPr="00F00D94">
        <w:rPr>
          <w:rFonts w:ascii="Arial" w:hAnsi="Arial" w:cs="Arial"/>
        </w:rPr>
        <w:t>other</w:t>
      </w:r>
      <w:r w:rsidRPr="00F00D94">
        <w:rPr>
          <w:rFonts w:ascii="Arial" w:hAnsi="Arial" w:cs="Arial"/>
          <w:spacing w:val="-14"/>
        </w:rPr>
        <w:t xml:space="preserve"> </w:t>
      </w:r>
      <w:r w:rsidRPr="00F00D94">
        <w:rPr>
          <w:rFonts w:ascii="Arial" w:hAnsi="Arial" w:cs="Arial"/>
        </w:rPr>
        <w:t>local</w:t>
      </w:r>
      <w:r w:rsidRPr="00F00D94">
        <w:rPr>
          <w:rFonts w:ascii="Arial" w:hAnsi="Arial" w:cs="Arial"/>
          <w:spacing w:val="-14"/>
        </w:rPr>
        <w:t xml:space="preserve"> </w:t>
      </w:r>
      <w:r w:rsidRPr="00F00D94">
        <w:rPr>
          <w:rFonts w:ascii="Arial" w:hAnsi="Arial" w:cs="Arial"/>
        </w:rPr>
        <w:t>governments claiming</w:t>
      </w:r>
      <w:r w:rsidRPr="00F00D94">
        <w:rPr>
          <w:rFonts w:ascii="Arial" w:hAnsi="Arial" w:cs="Arial"/>
          <w:spacing w:val="-12"/>
        </w:rPr>
        <w:t xml:space="preserve"> </w:t>
      </w:r>
      <w:r w:rsidRPr="00F00D94">
        <w:rPr>
          <w:rFonts w:ascii="Arial" w:hAnsi="Arial" w:cs="Arial"/>
        </w:rPr>
        <w:t>central</w:t>
      </w:r>
      <w:r w:rsidRPr="00F00D94">
        <w:rPr>
          <w:rFonts w:ascii="Arial" w:hAnsi="Arial" w:cs="Arial"/>
          <w:spacing w:val="-10"/>
        </w:rPr>
        <w:t xml:space="preserve"> </w:t>
      </w:r>
      <w:r w:rsidRPr="00F00D94">
        <w:rPr>
          <w:rFonts w:ascii="Arial" w:hAnsi="Arial" w:cs="Arial"/>
        </w:rPr>
        <w:t>service</w:t>
      </w:r>
      <w:r w:rsidRPr="00F00D94">
        <w:rPr>
          <w:rFonts w:ascii="Arial" w:hAnsi="Arial" w:cs="Arial"/>
          <w:spacing w:val="-11"/>
        </w:rPr>
        <w:t xml:space="preserve"> </w:t>
      </w:r>
      <w:r w:rsidRPr="00F00D94">
        <w:rPr>
          <w:rFonts w:ascii="Arial" w:hAnsi="Arial" w:cs="Arial"/>
        </w:rPr>
        <w:t>costs</w:t>
      </w:r>
      <w:r w:rsidRPr="00F00D94">
        <w:rPr>
          <w:rFonts w:ascii="Arial" w:hAnsi="Arial" w:cs="Arial"/>
          <w:spacing w:val="-11"/>
        </w:rPr>
        <w:t xml:space="preserve"> </w:t>
      </w:r>
      <w:r w:rsidRPr="00F00D94">
        <w:rPr>
          <w:rFonts w:ascii="Arial" w:hAnsi="Arial" w:cs="Arial"/>
        </w:rPr>
        <w:t>must</w:t>
      </w:r>
      <w:r w:rsidRPr="00F00D94">
        <w:rPr>
          <w:rFonts w:ascii="Arial" w:hAnsi="Arial" w:cs="Arial"/>
          <w:spacing w:val="-11"/>
        </w:rPr>
        <w:t xml:space="preserve"> </w:t>
      </w:r>
      <w:r w:rsidRPr="00F00D94">
        <w:rPr>
          <w:rFonts w:ascii="Arial" w:hAnsi="Arial" w:cs="Arial"/>
        </w:rPr>
        <w:t>develop</w:t>
      </w:r>
      <w:r w:rsidRPr="00F00D94">
        <w:rPr>
          <w:rFonts w:ascii="Arial" w:hAnsi="Arial" w:cs="Arial"/>
          <w:spacing w:val="-11"/>
        </w:rPr>
        <w:t xml:space="preserve"> </w:t>
      </w:r>
      <w:r w:rsidRPr="00F00D94">
        <w:rPr>
          <w:rFonts w:ascii="Arial" w:hAnsi="Arial" w:cs="Arial"/>
        </w:rPr>
        <w:t>a</w:t>
      </w:r>
      <w:r w:rsidRPr="00F00D94">
        <w:rPr>
          <w:rFonts w:ascii="Arial" w:hAnsi="Arial" w:cs="Arial"/>
          <w:spacing w:val="-9"/>
        </w:rPr>
        <w:t xml:space="preserve"> </w:t>
      </w:r>
      <w:r w:rsidRPr="00F00D94">
        <w:rPr>
          <w:rFonts w:ascii="Arial" w:hAnsi="Arial" w:cs="Arial"/>
        </w:rPr>
        <w:t>CAP</w:t>
      </w:r>
      <w:r w:rsidRPr="00F00D94">
        <w:rPr>
          <w:rFonts w:ascii="Arial" w:hAnsi="Arial" w:cs="Arial"/>
          <w:spacing w:val="-11"/>
        </w:rPr>
        <w:t xml:space="preserve"> </w:t>
      </w:r>
      <w:r w:rsidRPr="00F00D94">
        <w:rPr>
          <w:rFonts w:ascii="Arial" w:hAnsi="Arial" w:cs="Arial"/>
        </w:rPr>
        <w:t>in</w:t>
      </w:r>
      <w:r w:rsidRPr="00F00D94">
        <w:rPr>
          <w:rFonts w:ascii="Arial" w:hAnsi="Arial" w:cs="Arial"/>
          <w:spacing w:val="-10"/>
        </w:rPr>
        <w:t xml:space="preserve"> </w:t>
      </w:r>
      <w:r w:rsidRPr="00F00D94">
        <w:rPr>
          <w:rFonts w:ascii="Arial" w:hAnsi="Arial" w:cs="Arial"/>
        </w:rPr>
        <w:t>accordance</w:t>
      </w:r>
      <w:r w:rsidRPr="00F00D94">
        <w:rPr>
          <w:rFonts w:ascii="Arial" w:hAnsi="Arial" w:cs="Arial"/>
          <w:spacing w:val="-11"/>
        </w:rPr>
        <w:t xml:space="preserve"> </w:t>
      </w:r>
      <w:r w:rsidRPr="00F00D94">
        <w:rPr>
          <w:rFonts w:ascii="Arial" w:hAnsi="Arial" w:cs="Arial"/>
        </w:rPr>
        <w:t>with</w:t>
      </w:r>
      <w:r w:rsidRPr="00F00D94">
        <w:rPr>
          <w:rFonts w:ascii="Arial" w:hAnsi="Arial" w:cs="Arial"/>
          <w:spacing w:val="-10"/>
        </w:rPr>
        <w:t xml:space="preserve"> </w:t>
      </w:r>
      <w:r w:rsidRPr="00F00D94">
        <w:rPr>
          <w:rFonts w:ascii="Arial" w:hAnsi="Arial" w:cs="Arial"/>
        </w:rPr>
        <w:t xml:space="preserve">the requirements described in 2 CFR </w:t>
      </w:r>
      <w:r w:rsidR="00282FA2">
        <w:rPr>
          <w:rFonts w:ascii="Arial" w:hAnsi="Arial" w:cs="Arial"/>
        </w:rPr>
        <w:t>P</w:t>
      </w:r>
      <w:r w:rsidRPr="00F00D94">
        <w:rPr>
          <w:rFonts w:ascii="Arial" w:hAnsi="Arial" w:cs="Arial"/>
        </w:rPr>
        <w:t>art 200 and maintain the plan and related supporting documentation for audit. These local governments are not required to submit the plan for Federal approval unless they are specifically requested to do so by the cognizant agency for indirect</w:t>
      </w:r>
      <w:r w:rsidRPr="00F00D94">
        <w:rPr>
          <w:rFonts w:ascii="Arial" w:hAnsi="Arial" w:cs="Arial"/>
          <w:spacing w:val="-43"/>
        </w:rPr>
        <w:t xml:space="preserve"> </w:t>
      </w:r>
      <w:r w:rsidR="00282FA2">
        <w:rPr>
          <w:rFonts w:ascii="Arial" w:hAnsi="Arial" w:cs="Arial"/>
          <w:spacing w:val="-43"/>
        </w:rPr>
        <w:t xml:space="preserve"> </w:t>
      </w:r>
      <w:r w:rsidRPr="00F00D94">
        <w:rPr>
          <w:rFonts w:ascii="Arial" w:hAnsi="Arial" w:cs="Arial"/>
        </w:rPr>
        <w:t>costs.</w:t>
      </w:r>
    </w:p>
    <w:p w14:paraId="20D2BF7B"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All central service CAPs will be prepared and, when required, submitted within</w:t>
      </w:r>
      <w:r w:rsidRPr="00F00D94">
        <w:rPr>
          <w:rFonts w:ascii="Arial" w:hAnsi="Arial" w:cs="Arial"/>
          <w:spacing w:val="-9"/>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6</w:t>
      </w:r>
      <w:r w:rsidRPr="00F00D94">
        <w:rPr>
          <w:rFonts w:ascii="Arial" w:hAnsi="Arial" w:cs="Arial"/>
          <w:spacing w:val="-10"/>
        </w:rPr>
        <w:t xml:space="preserve"> </w:t>
      </w:r>
      <w:r w:rsidRPr="00F00D94">
        <w:rPr>
          <w:rFonts w:ascii="Arial" w:hAnsi="Arial" w:cs="Arial"/>
        </w:rPr>
        <w:t>months</w:t>
      </w:r>
      <w:r w:rsidRPr="00F00D94">
        <w:rPr>
          <w:rFonts w:ascii="Arial" w:hAnsi="Arial" w:cs="Arial"/>
          <w:spacing w:val="-12"/>
        </w:rPr>
        <w:t xml:space="preserve"> </w:t>
      </w:r>
      <w:r w:rsidRPr="00F00D94">
        <w:rPr>
          <w:rFonts w:ascii="Arial" w:hAnsi="Arial" w:cs="Arial"/>
        </w:rPr>
        <w:t>prior</w:t>
      </w:r>
      <w:r w:rsidRPr="00F00D94">
        <w:rPr>
          <w:rFonts w:ascii="Arial" w:hAnsi="Arial" w:cs="Arial"/>
          <w:spacing w:val="-10"/>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beginning</w:t>
      </w:r>
      <w:r w:rsidRPr="00F00D94">
        <w:rPr>
          <w:rFonts w:ascii="Arial" w:hAnsi="Arial" w:cs="Arial"/>
          <w:spacing w:val="-11"/>
        </w:rPr>
        <w:t xml:space="preserve"> </w:t>
      </w:r>
      <w:r w:rsidRPr="00F00D94">
        <w:rPr>
          <w:rFonts w:ascii="Arial" w:hAnsi="Arial" w:cs="Arial"/>
        </w:rPr>
        <w:t>of</w:t>
      </w:r>
      <w:r w:rsidRPr="00F00D94">
        <w:rPr>
          <w:rFonts w:ascii="Arial" w:hAnsi="Arial" w:cs="Arial"/>
          <w:spacing w:val="-6"/>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governmental</w:t>
      </w:r>
      <w:r w:rsidRPr="00F00D94">
        <w:rPr>
          <w:rFonts w:ascii="Arial" w:hAnsi="Arial" w:cs="Arial"/>
          <w:spacing w:val="-12"/>
        </w:rPr>
        <w:t xml:space="preserve"> </w:t>
      </w:r>
      <w:r w:rsidRPr="00F00D94">
        <w:rPr>
          <w:rFonts w:ascii="Arial" w:hAnsi="Arial" w:cs="Arial"/>
        </w:rPr>
        <w:t>unit’s</w:t>
      </w:r>
      <w:r w:rsidRPr="00F00D94">
        <w:rPr>
          <w:rFonts w:ascii="Arial" w:hAnsi="Arial" w:cs="Arial"/>
          <w:spacing w:val="-12"/>
        </w:rPr>
        <w:t xml:space="preserve"> </w:t>
      </w:r>
      <w:r w:rsidRPr="00F00D94">
        <w:rPr>
          <w:rFonts w:ascii="Arial" w:hAnsi="Arial" w:cs="Arial"/>
        </w:rPr>
        <w:t>fiscal years in which it proposes to claim central service costs. Extensions may be granted by the cognizant agency for indirect costs on a case-by-case basis.</w:t>
      </w:r>
    </w:p>
    <w:p w14:paraId="5008A0CF" w14:textId="77777777" w:rsidR="006E7484" w:rsidRPr="00F00D94" w:rsidRDefault="006E7484" w:rsidP="006E7484">
      <w:pPr>
        <w:pStyle w:val="ListParagraph"/>
        <w:numPr>
          <w:ilvl w:val="0"/>
          <w:numId w:val="3"/>
        </w:numPr>
        <w:spacing w:after="240"/>
        <w:jc w:val="both"/>
        <w:rPr>
          <w:rFonts w:ascii="Arial" w:hAnsi="Arial" w:cs="Arial"/>
          <w:i/>
        </w:rPr>
      </w:pPr>
      <w:r w:rsidRPr="00F00D94">
        <w:rPr>
          <w:rFonts w:ascii="Arial" w:hAnsi="Arial" w:cs="Arial"/>
          <w:i/>
        </w:rPr>
        <w:t>Documentation Requirements</w:t>
      </w:r>
    </w:p>
    <w:p w14:paraId="760DF7D8"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lastRenderedPageBreak/>
        <w:t>The central service CAP must include all central service costs that will</w:t>
      </w:r>
      <w:r w:rsidRPr="00F00D94">
        <w:rPr>
          <w:rFonts w:ascii="Arial" w:hAnsi="Arial" w:cs="Arial"/>
          <w:spacing w:val="-37"/>
        </w:rPr>
        <w:t xml:space="preserve"> </w:t>
      </w:r>
      <w:r w:rsidRPr="00F00D94">
        <w:rPr>
          <w:rFonts w:ascii="Arial" w:hAnsi="Arial" w:cs="Arial"/>
        </w:rPr>
        <w:t>be claimed (either as an allocated or a billed cost) under Federal awards. Costs of central services omitted from the CAP will not be</w:t>
      </w:r>
      <w:r w:rsidRPr="00F00D94">
        <w:rPr>
          <w:rFonts w:ascii="Arial" w:hAnsi="Arial" w:cs="Arial"/>
          <w:spacing w:val="-17"/>
        </w:rPr>
        <w:t xml:space="preserve"> </w:t>
      </w:r>
      <w:r w:rsidRPr="00F00D94">
        <w:rPr>
          <w:rFonts w:ascii="Arial" w:hAnsi="Arial" w:cs="Arial"/>
        </w:rPr>
        <w:t>reimbursed.</w:t>
      </w:r>
    </w:p>
    <w:p w14:paraId="10EA00B9"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The documentation requirements for all central service CAPs are contained in</w:t>
      </w:r>
      <w:r w:rsidRPr="00F00D94">
        <w:rPr>
          <w:rFonts w:ascii="Arial" w:hAnsi="Arial" w:cs="Arial"/>
          <w:color w:val="0000FF"/>
        </w:rPr>
        <w:t xml:space="preserve"> </w:t>
      </w:r>
      <w:r w:rsidRPr="00F00D94">
        <w:rPr>
          <w:rFonts w:ascii="Arial" w:hAnsi="Arial" w:cs="Arial"/>
          <w:u w:color="0000FF"/>
        </w:rPr>
        <w:t>2 CFR Part 200, Appendix V, paragraph E</w:t>
      </w:r>
      <w:r w:rsidRPr="00F00D94">
        <w:rPr>
          <w:rFonts w:ascii="Arial" w:hAnsi="Arial" w:cs="Arial"/>
        </w:rPr>
        <w:t>. All plans and related documentation used as a basis for claiming costs under Federal awards</w:t>
      </w:r>
      <w:r w:rsidRPr="00F00D94">
        <w:rPr>
          <w:rFonts w:ascii="Arial" w:hAnsi="Arial" w:cs="Arial"/>
          <w:spacing w:val="-5"/>
        </w:rPr>
        <w:t xml:space="preserve"> </w:t>
      </w:r>
      <w:r w:rsidRPr="00F00D94">
        <w:rPr>
          <w:rFonts w:ascii="Arial" w:hAnsi="Arial" w:cs="Arial"/>
        </w:rPr>
        <w:t>must</w:t>
      </w:r>
      <w:r w:rsidRPr="00F00D94">
        <w:rPr>
          <w:rFonts w:ascii="Arial" w:hAnsi="Arial" w:cs="Arial"/>
          <w:spacing w:val="-6"/>
        </w:rPr>
        <w:t xml:space="preserve"> </w:t>
      </w:r>
      <w:r w:rsidRPr="00F00D94">
        <w:rPr>
          <w:rFonts w:ascii="Arial" w:hAnsi="Arial" w:cs="Arial"/>
        </w:rPr>
        <w:t>be</w:t>
      </w:r>
      <w:r w:rsidRPr="00F00D94">
        <w:rPr>
          <w:rFonts w:ascii="Arial" w:hAnsi="Arial" w:cs="Arial"/>
          <w:spacing w:val="-3"/>
        </w:rPr>
        <w:t xml:space="preserve"> </w:t>
      </w:r>
      <w:r w:rsidRPr="00F00D94">
        <w:rPr>
          <w:rFonts w:ascii="Arial" w:hAnsi="Arial" w:cs="Arial"/>
        </w:rPr>
        <w:t>retained</w:t>
      </w:r>
      <w:r w:rsidRPr="00F00D94">
        <w:rPr>
          <w:rFonts w:ascii="Arial" w:hAnsi="Arial" w:cs="Arial"/>
          <w:spacing w:val="-5"/>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audit</w:t>
      </w:r>
      <w:r w:rsidRPr="00F00D94">
        <w:rPr>
          <w:rFonts w:ascii="Arial" w:hAnsi="Arial" w:cs="Arial"/>
          <w:spacing w:val="-4"/>
        </w:rPr>
        <w:t xml:space="preserve"> </w:t>
      </w:r>
      <w:r w:rsidRPr="00F00D94">
        <w:rPr>
          <w:rFonts w:ascii="Arial" w:hAnsi="Arial" w:cs="Arial"/>
        </w:rPr>
        <w:t>in</w:t>
      </w:r>
      <w:r w:rsidRPr="00F00D94">
        <w:rPr>
          <w:rFonts w:ascii="Arial" w:hAnsi="Arial" w:cs="Arial"/>
          <w:spacing w:val="-8"/>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record</w:t>
      </w:r>
      <w:r w:rsidRPr="00F00D94">
        <w:rPr>
          <w:rFonts w:ascii="Arial" w:hAnsi="Arial" w:cs="Arial"/>
          <w:spacing w:val="-4"/>
        </w:rPr>
        <w:t xml:space="preserve"> </w:t>
      </w:r>
      <w:r w:rsidRPr="00F00D94">
        <w:rPr>
          <w:rFonts w:ascii="Arial" w:hAnsi="Arial" w:cs="Arial"/>
        </w:rPr>
        <w:t>retention</w:t>
      </w:r>
      <w:r w:rsidRPr="00F00D94">
        <w:rPr>
          <w:rFonts w:ascii="Arial" w:hAnsi="Arial" w:cs="Arial"/>
          <w:position w:val="1"/>
        </w:rPr>
        <w:t xml:space="preserve"> requirements contained in</w:t>
      </w:r>
      <w:r w:rsidRPr="00F00D94">
        <w:rPr>
          <w:rFonts w:ascii="Arial" w:hAnsi="Arial" w:cs="Arial"/>
          <w:color w:val="0000FF"/>
          <w:position w:val="1"/>
        </w:rPr>
        <w:t xml:space="preserve"> </w:t>
      </w:r>
      <w:r w:rsidRPr="00F00D94">
        <w:rPr>
          <w:rFonts w:ascii="Arial" w:hAnsi="Arial" w:cs="Arial"/>
          <w:u w:color="0000FF"/>
        </w:rPr>
        <w:t>2 CFR section 200.334(f)</w:t>
      </w:r>
      <w:r w:rsidRPr="00F00D94">
        <w:rPr>
          <w:rFonts w:ascii="Arial" w:hAnsi="Arial" w:cs="Arial"/>
        </w:rPr>
        <w:t>.</w:t>
      </w:r>
    </w:p>
    <w:p w14:paraId="7C2A785E" w14:textId="444B9CAE" w:rsidR="006E7484" w:rsidRPr="00F00D94" w:rsidRDefault="006E7484" w:rsidP="006E7484">
      <w:pPr>
        <w:pStyle w:val="ListParagraph"/>
        <w:numPr>
          <w:ilvl w:val="0"/>
          <w:numId w:val="3"/>
        </w:numPr>
        <w:spacing w:after="240"/>
        <w:jc w:val="both"/>
        <w:rPr>
          <w:rFonts w:ascii="Arial" w:hAnsi="Arial" w:cs="Arial"/>
        </w:rPr>
      </w:pPr>
      <w:r w:rsidRPr="00F00D94">
        <w:rPr>
          <w:rFonts w:ascii="Arial" w:hAnsi="Arial" w:cs="Arial"/>
          <w:i/>
        </w:rPr>
        <w:t>Required</w:t>
      </w:r>
      <w:r w:rsidRPr="00F00D94">
        <w:rPr>
          <w:rFonts w:ascii="Arial" w:hAnsi="Arial" w:cs="Arial"/>
          <w:i/>
          <w:spacing w:val="-7"/>
        </w:rPr>
        <w:t xml:space="preserve"> </w:t>
      </w:r>
      <w:r w:rsidRPr="00F00D94">
        <w:rPr>
          <w:rFonts w:ascii="Arial" w:hAnsi="Arial" w:cs="Arial"/>
          <w:i/>
        </w:rPr>
        <w:t>Certification</w:t>
      </w:r>
      <w:r w:rsidRPr="00F00D94">
        <w:rPr>
          <w:rFonts w:ascii="Arial" w:hAnsi="Arial" w:cs="Arial"/>
          <w:i/>
          <w:spacing w:val="-11"/>
        </w:rPr>
        <w:t xml:space="preserve"> </w:t>
      </w:r>
      <w:r w:rsidRPr="00F00D94">
        <w:rPr>
          <w:rFonts w:ascii="Arial" w:hAnsi="Arial" w:cs="Arial"/>
          <w:i/>
        </w:rPr>
        <w:t>–</w:t>
      </w:r>
      <w:r w:rsidRPr="00F00D94">
        <w:rPr>
          <w:rFonts w:ascii="Arial" w:hAnsi="Arial" w:cs="Arial"/>
          <w:i/>
          <w:spacing w:val="-7"/>
        </w:rPr>
        <w:t xml:space="preserve"> </w:t>
      </w:r>
      <w:r w:rsidRPr="00F00D94">
        <w:rPr>
          <w:rFonts w:ascii="Arial" w:hAnsi="Arial" w:cs="Arial"/>
        </w:rPr>
        <w:t>No</w:t>
      </w:r>
      <w:r w:rsidRPr="00F00D94">
        <w:rPr>
          <w:rFonts w:ascii="Arial" w:hAnsi="Arial" w:cs="Arial"/>
          <w:spacing w:val="-7"/>
        </w:rPr>
        <w:t xml:space="preserve"> </w:t>
      </w:r>
      <w:r w:rsidRPr="00F00D94">
        <w:rPr>
          <w:rFonts w:ascii="Arial" w:hAnsi="Arial" w:cs="Arial"/>
        </w:rPr>
        <w:t>proposal</w:t>
      </w:r>
      <w:r w:rsidRPr="00F00D94">
        <w:rPr>
          <w:rFonts w:ascii="Arial" w:hAnsi="Arial" w:cs="Arial"/>
          <w:spacing w:val="-8"/>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establish</w:t>
      </w:r>
      <w:r w:rsidRPr="00F00D94">
        <w:rPr>
          <w:rFonts w:ascii="Arial" w:hAnsi="Arial" w:cs="Arial"/>
          <w:spacing w:val="-7"/>
        </w:rPr>
        <w:t xml:space="preserve"> </w:t>
      </w:r>
      <w:r w:rsidRPr="00F00D94">
        <w:rPr>
          <w:rFonts w:ascii="Arial" w:hAnsi="Arial" w:cs="Arial"/>
        </w:rPr>
        <w:t>a</w:t>
      </w:r>
      <w:r w:rsidRPr="00F00D94">
        <w:rPr>
          <w:rFonts w:ascii="Arial" w:hAnsi="Arial" w:cs="Arial"/>
          <w:spacing w:val="-7"/>
        </w:rPr>
        <w:t xml:space="preserve"> </w:t>
      </w:r>
      <w:r w:rsidRPr="00F00D94">
        <w:rPr>
          <w:rFonts w:ascii="Arial" w:hAnsi="Arial" w:cs="Arial"/>
        </w:rPr>
        <w:t>central</w:t>
      </w:r>
      <w:r w:rsidRPr="00F00D94">
        <w:rPr>
          <w:rFonts w:ascii="Arial" w:hAnsi="Arial" w:cs="Arial"/>
          <w:spacing w:val="-8"/>
        </w:rPr>
        <w:t xml:space="preserve"> </w:t>
      </w:r>
      <w:r w:rsidRPr="00F00D94">
        <w:rPr>
          <w:rFonts w:ascii="Arial" w:hAnsi="Arial" w:cs="Arial"/>
        </w:rPr>
        <w:t>service</w:t>
      </w:r>
      <w:r w:rsidRPr="00F00D94">
        <w:rPr>
          <w:rFonts w:ascii="Arial" w:hAnsi="Arial" w:cs="Arial"/>
          <w:spacing w:val="-7"/>
        </w:rPr>
        <w:t xml:space="preserve"> </w:t>
      </w:r>
      <w:r w:rsidRPr="00F00D94">
        <w:rPr>
          <w:rFonts w:ascii="Arial" w:hAnsi="Arial" w:cs="Arial"/>
        </w:rPr>
        <w:t>CAP,</w:t>
      </w:r>
      <w:r w:rsidRPr="00F00D94">
        <w:rPr>
          <w:rFonts w:ascii="Arial" w:hAnsi="Arial" w:cs="Arial"/>
          <w:spacing w:val="-7"/>
        </w:rPr>
        <w:t xml:space="preserve"> </w:t>
      </w:r>
      <w:r w:rsidRPr="00F00D94">
        <w:rPr>
          <w:rFonts w:ascii="Arial" w:hAnsi="Arial" w:cs="Arial"/>
        </w:rPr>
        <w:t xml:space="preserve">whether submitted </w:t>
      </w:r>
      <w:r w:rsidRPr="00F00D94">
        <w:rPr>
          <w:rFonts w:ascii="Arial" w:hAnsi="Arial" w:cs="Arial"/>
          <w:spacing w:val="-3"/>
        </w:rPr>
        <w:t xml:space="preserve">to </w:t>
      </w:r>
      <w:r w:rsidRPr="00F00D94">
        <w:rPr>
          <w:rFonts w:ascii="Arial" w:hAnsi="Arial" w:cs="Arial"/>
        </w:rPr>
        <w:t>the cognizant agency for indirect costs or maintained on file by the governmental</w:t>
      </w:r>
      <w:r w:rsidRPr="00F00D94">
        <w:rPr>
          <w:rFonts w:ascii="Arial" w:hAnsi="Arial" w:cs="Arial"/>
          <w:spacing w:val="-20"/>
        </w:rPr>
        <w:t xml:space="preserve"> </w:t>
      </w:r>
      <w:r w:rsidRPr="00F00D94">
        <w:rPr>
          <w:rFonts w:ascii="Arial" w:hAnsi="Arial" w:cs="Arial"/>
        </w:rPr>
        <w:t>unit,</w:t>
      </w:r>
      <w:r w:rsidRPr="00F00D94">
        <w:rPr>
          <w:rFonts w:ascii="Arial" w:hAnsi="Arial" w:cs="Arial"/>
          <w:spacing w:val="-17"/>
        </w:rPr>
        <w:t xml:space="preserve"> </w:t>
      </w:r>
      <w:r w:rsidR="0072079D">
        <w:rPr>
          <w:rFonts w:ascii="Arial" w:hAnsi="Arial" w:cs="Arial"/>
        </w:rPr>
        <w:t>will</w:t>
      </w:r>
      <w:r w:rsidR="0072079D" w:rsidRPr="00F00D94">
        <w:rPr>
          <w:rFonts w:ascii="Arial" w:hAnsi="Arial" w:cs="Arial"/>
          <w:spacing w:val="-17"/>
        </w:rPr>
        <w:t xml:space="preserve"> </w:t>
      </w:r>
      <w:r w:rsidRPr="00F00D94">
        <w:rPr>
          <w:rFonts w:ascii="Arial" w:hAnsi="Arial" w:cs="Arial"/>
        </w:rPr>
        <w:t>be</w:t>
      </w:r>
      <w:r w:rsidRPr="00F00D94">
        <w:rPr>
          <w:rFonts w:ascii="Arial" w:hAnsi="Arial" w:cs="Arial"/>
          <w:spacing w:val="-15"/>
        </w:rPr>
        <w:t xml:space="preserve"> </w:t>
      </w:r>
      <w:r w:rsidRPr="00F00D94">
        <w:rPr>
          <w:rFonts w:ascii="Arial" w:hAnsi="Arial" w:cs="Arial"/>
        </w:rPr>
        <w:t>accepted</w:t>
      </w:r>
      <w:r w:rsidRPr="00F00D94">
        <w:rPr>
          <w:rFonts w:ascii="Arial" w:hAnsi="Arial" w:cs="Arial"/>
          <w:spacing w:val="-19"/>
        </w:rPr>
        <w:t xml:space="preserve"> </w:t>
      </w:r>
      <w:r w:rsidRPr="00F00D94">
        <w:rPr>
          <w:rFonts w:ascii="Arial" w:hAnsi="Arial" w:cs="Arial"/>
        </w:rPr>
        <w:t>and</w:t>
      </w:r>
      <w:r w:rsidRPr="00F00D94">
        <w:rPr>
          <w:rFonts w:ascii="Arial" w:hAnsi="Arial" w:cs="Arial"/>
          <w:spacing w:val="-19"/>
        </w:rPr>
        <w:t xml:space="preserve"> </w:t>
      </w:r>
      <w:r w:rsidRPr="00F00D94">
        <w:rPr>
          <w:rFonts w:ascii="Arial" w:hAnsi="Arial" w:cs="Arial"/>
        </w:rPr>
        <w:t>approved</w:t>
      </w:r>
      <w:r w:rsidRPr="00F00D94">
        <w:rPr>
          <w:rFonts w:ascii="Arial" w:hAnsi="Arial" w:cs="Arial"/>
          <w:spacing w:val="-16"/>
        </w:rPr>
        <w:t xml:space="preserve"> </w:t>
      </w:r>
      <w:r w:rsidRPr="00F00D94">
        <w:rPr>
          <w:rFonts w:ascii="Arial" w:hAnsi="Arial" w:cs="Arial"/>
        </w:rPr>
        <w:t>unless</w:t>
      </w:r>
      <w:r w:rsidRPr="00F00D94">
        <w:rPr>
          <w:rFonts w:ascii="Arial" w:hAnsi="Arial" w:cs="Arial"/>
          <w:spacing w:val="-16"/>
        </w:rPr>
        <w:t xml:space="preserve"> </w:t>
      </w:r>
      <w:r w:rsidRPr="00F00D94">
        <w:rPr>
          <w:rFonts w:ascii="Arial" w:hAnsi="Arial" w:cs="Arial"/>
        </w:rPr>
        <w:t>such</w:t>
      </w:r>
      <w:r w:rsidRPr="00F00D94">
        <w:rPr>
          <w:rFonts w:ascii="Arial" w:hAnsi="Arial" w:cs="Arial"/>
          <w:spacing w:val="-16"/>
        </w:rPr>
        <w:t xml:space="preserve"> </w:t>
      </w:r>
      <w:r w:rsidRPr="00F00D94">
        <w:rPr>
          <w:rFonts w:ascii="Arial" w:hAnsi="Arial" w:cs="Arial"/>
        </w:rPr>
        <w:t>costs</w:t>
      </w:r>
      <w:r w:rsidRPr="00F00D94">
        <w:rPr>
          <w:rFonts w:ascii="Arial" w:hAnsi="Arial" w:cs="Arial"/>
          <w:spacing w:val="-17"/>
        </w:rPr>
        <w:t xml:space="preserve"> </w:t>
      </w:r>
      <w:r w:rsidRPr="00F00D94">
        <w:rPr>
          <w:rFonts w:ascii="Arial" w:hAnsi="Arial" w:cs="Arial"/>
        </w:rPr>
        <w:t>have</w:t>
      </w:r>
      <w:r w:rsidRPr="00F00D94">
        <w:rPr>
          <w:rFonts w:ascii="Arial" w:hAnsi="Arial" w:cs="Arial"/>
          <w:spacing w:val="-16"/>
        </w:rPr>
        <w:t xml:space="preserve"> </w:t>
      </w:r>
      <w:r w:rsidRPr="00F00D94">
        <w:rPr>
          <w:rFonts w:ascii="Arial" w:hAnsi="Arial" w:cs="Arial"/>
        </w:rPr>
        <w:t>been certified</w:t>
      </w:r>
      <w:r w:rsidRPr="00F00D94">
        <w:rPr>
          <w:rFonts w:ascii="Arial" w:hAnsi="Arial" w:cs="Arial"/>
          <w:spacing w:val="-8"/>
        </w:rPr>
        <w:t xml:space="preserve"> </w:t>
      </w:r>
      <w:r w:rsidRPr="00F00D94">
        <w:rPr>
          <w:rFonts w:ascii="Arial" w:hAnsi="Arial" w:cs="Arial"/>
        </w:rPr>
        <w:t>by</w:t>
      </w:r>
      <w:r w:rsidRPr="00F00D94">
        <w:rPr>
          <w:rFonts w:ascii="Arial" w:hAnsi="Arial" w:cs="Arial"/>
          <w:spacing w:val="-13"/>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governmental</w:t>
      </w:r>
      <w:r w:rsidRPr="00F00D94">
        <w:rPr>
          <w:rFonts w:ascii="Arial" w:hAnsi="Arial" w:cs="Arial"/>
          <w:spacing w:val="-9"/>
        </w:rPr>
        <w:t xml:space="preserve"> </w:t>
      </w:r>
      <w:r w:rsidRPr="00F00D94">
        <w:rPr>
          <w:rFonts w:ascii="Arial" w:hAnsi="Arial" w:cs="Arial"/>
        </w:rPr>
        <w:t>unit</w:t>
      </w:r>
      <w:r w:rsidRPr="00F00D94">
        <w:rPr>
          <w:rFonts w:ascii="Arial" w:hAnsi="Arial" w:cs="Arial"/>
          <w:spacing w:val="-8"/>
        </w:rPr>
        <w:t xml:space="preserve"> </w:t>
      </w:r>
      <w:r w:rsidRPr="00F00D94">
        <w:rPr>
          <w:rFonts w:ascii="Arial" w:hAnsi="Arial" w:cs="Arial"/>
        </w:rPr>
        <w:t>using</w:t>
      </w:r>
      <w:r w:rsidRPr="00F00D94">
        <w:rPr>
          <w:rFonts w:ascii="Arial" w:hAnsi="Arial" w:cs="Arial"/>
          <w:spacing w:val="-11"/>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Certificate</w:t>
      </w:r>
      <w:r w:rsidRPr="00F00D94">
        <w:rPr>
          <w:rFonts w:ascii="Arial" w:hAnsi="Arial" w:cs="Arial"/>
          <w:spacing w:val="-9"/>
        </w:rPr>
        <w:t xml:space="preserve"> </w:t>
      </w:r>
      <w:r w:rsidRPr="00F00D94">
        <w:rPr>
          <w:rFonts w:ascii="Arial" w:hAnsi="Arial" w:cs="Arial"/>
        </w:rPr>
        <w:t>of</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8"/>
        </w:rPr>
        <w:t xml:space="preserve"> </w:t>
      </w:r>
      <w:r w:rsidRPr="00F00D94">
        <w:rPr>
          <w:rFonts w:ascii="Arial" w:hAnsi="Arial" w:cs="Arial"/>
        </w:rPr>
        <w:t>Allocation</w:t>
      </w:r>
      <w:r w:rsidRPr="00F00D94">
        <w:rPr>
          <w:rFonts w:ascii="Arial" w:hAnsi="Arial" w:cs="Arial"/>
          <w:spacing w:val="-8"/>
        </w:rPr>
        <w:t xml:space="preserve"> </w:t>
      </w:r>
      <w:r w:rsidRPr="00F00D94">
        <w:rPr>
          <w:rFonts w:ascii="Arial" w:hAnsi="Arial" w:cs="Arial"/>
        </w:rPr>
        <w:t>Plan</w:t>
      </w:r>
      <w:r w:rsidRPr="00F00D94">
        <w:rPr>
          <w:rFonts w:ascii="Arial" w:hAnsi="Arial" w:cs="Arial"/>
          <w:spacing w:val="-7"/>
        </w:rPr>
        <w:t xml:space="preserve"> </w:t>
      </w:r>
      <w:r w:rsidRPr="00F00D94">
        <w:rPr>
          <w:rFonts w:ascii="Arial" w:hAnsi="Arial" w:cs="Arial"/>
        </w:rPr>
        <w:t>as set forth in 2 CFR Part 200, Appendix V, paragraph</w:t>
      </w:r>
      <w:r w:rsidRPr="00F00D94">
        <w:rPr>
          <w:rFonts w:ascii="Arial" w:hAnsi="Arial" w:cs="Arial"/>
          <w:spacing w:val="-7"/>
        </w:rPr>
        <w:t xml:space="preserve"> </w:t>
      </w:r>
      <w:r w:rsidRPr="00F00D94">
        <w:rPr>
          <w:rFonts w:ascii="Arial" w:hAnsi="Arial" w:cs="Arial"/>
        </w:rPr>
        <w:t>E.4.</w:t>
      </w:r>
    </w:p>
    <w:p w14:paraId="0458B313" w14:textId="77777777" w:rsidR="006E7484" w:rsidRPr="00F00D94" w:rsidRDefault="006E7484" w:rsidP="006E7484">
      <w:pPr>
        <w:pStyle w:val="ListParagraph"/>
        <w:numPr>
          <w:ilvl w:val="0"/>
          <w:numId w:val="3"/>
        </w:numPr>
        <w:spacing w:after="240"/>
        <w:jc w:val="both"/>
        <w:rPr>
          <w:rFonts w:ascii="Arial" w:hAnsi="Arial" w:cs="Arial"/>
        </w:rPr>
      </w:pPr>
      <w:r w:rsidRPr="00F00D94">
        <w:rPr>
          <w:rFonts w:ascii="Arial" w:hAnsi="Arial" w:cs="Arial"/>
          <w:i/>
        </w:rPr>
        <w:t xml:space="preserve">Allocated Central Service Costs (Section I Costs) </w:t>
      </w:r>
      <w:r w:rsidRPr="00F00D94">
        <w:rPr>
          <w:rFonts w:ascii="Arial" w:hAnsi="Arial" w:cs="Arial"/>
        </w:rPr>
        <w:t>– A carry-forward adjustment is</w:t>
      </w:r>
      <w:r w:rsidRPr="00F00D94">
        <w:rPr>
          <w:rFonts w:ascii="Arial" w:hAnsi="Arial" w:cs="Arial"/>
          <w:spacing w:val="-17"/>
        </w:rPr>
        <w:t xml:space="preserve"> </w:t>
      </w:r>
      <w:r w:rsidRPr="00F00D94">
        <w:rPr>
          <w:rFonts w:ascii="Arial" w:hAnsi="Arial" w:cs="Arial"/>
        </w:rPr>
        <w:t>not</w:t>
      </w:r>
      <w:r w:rsidRPr="00F00D94">
        <w:rPr>
          <w:rFonts w:ascii="Arial" w:hAnsi="Arial" w:cs="Arial"/>
          <w:spacing w:val="-15"/>
        </w:rPr>
        <w:t xml:space="preserve"> </w:t>
      </w:r>
      <w:r w:rsidRPr="00F00D94">
        <w:rPr>
          <w:rFonts w:ascii="Arial" w:hAnsi="Arial" w:cs="Arial"/>
        </w:rPr>
        <w:t>permitted</w:t>
      </w:r>
      <w:r w:rsidRPr="00F00D94">
        <w:rPr>
          <w:rFonts w:ascii="Arial" w:hAnsi="Arial" w:cs="Arial"/>
          <w:spacing w:val="-18"/>
        </w:rPr>
        <w:t xml:space="preserve"> </w:t>
      </w:r>
      <w:r w:rsidRPr="00F00D94">
        <w:rPr>
          <w:rFonts w:ascii="Arial" w:hAnsi="Arial" w:cs="Arial"/>
        </w:rPr>
        <w:t>for</w:t>
      </w:r>
      <w:r w:rsidRPr="00F00D94">
        <w:rPr>
          <w:rFonts w:ascii="Arial" w:hAnsi="Arial" w:cs="Arial"/>
          <w:spacing w:val="-16"/>
        </w:rPr>
        <w:t xml:space="preserve"> </w:t>
      </w:r>
      <w:r w:rsidRPr="00F00D94">
        <w:rPr>
          <w:rFonts w:ascii="Arial" w:hAnsi="Arial" w:cs="Arial"/>
        </w:rPr>
        <w:t>a</w:t>
      </w:r>
      <w:r w:rsidRPr="00F00D94">
        <w:rPr>
          <w:rFonts w:ascii="Arial" w:hAnsi="Arial" w:cs="Arial"/>
          <w:spacing w:val="-15"/>
        </w:rPr>
        <w:t xml:space="preserve"> </w:t>
      </w:r>
      <w:r w:rsidRPr="00F00D94">
        <w:rPr>
          <w:rFonts w:ascii="Arial" w:hAnsi="Arial" w:cs="Arial"/>
        </w:rPr>
        <w:t>central</w:t>
      </w:r>
      <w:r w:rsidRPr="00F00D94">
        <w:rPr>
          <w:rFonts w:ascii="Arial" w:hAnsi="Arial" w:cs="Arial"/>
          <w:spacing w:val="-16"/>
        </w:rPr>
        <w:t xml:space="preserve"> </w:t>
      </w:r>
      <w:r w:rsidRPr="00F00D94">
        <w:rPr>
          <w:rFonts w:ascii="Arial" w:hAnsi="Arial" w:cs="Arial"/>
        </w:rPr>
        <w:t>service</w:t>
      </w:r>
      <w:r w:rsidRPr="00F00D94">
        <w:rPr>
          <w:rFonts w:ascii="Arial" w:hAnsi="Arial" w:cs="Arial"/>
          <w:spacing w:val="-15"/>
        </w:rPr>
        <w:t xml:space="preserve"> </w:t>
      </w:r>
      <w:r w:rsidRPr="00F00D94">
        <w:rPr>
          <w:rFonts w:ascii="Arial" w:hAnsi="Arial" w:cs="Arial"/>
        </w:rPr>
        <w:t>activity</w:t>
      </w:r>
      <w:r w:rsidRPr="00F00D94">
        <w:rPr>
          <w:rFonts w:ascii="Arial" w:hAnsi="Arial" w:cs="Arial"/>
          <w:spacing w:val="-20"/>
        </w:rPr>
        <w:t xml:space="preserve"> </w:t>
      </w:r>
      <w:r w:rsidRPr="00F00D94">
        <w:rPr>
          <w:rFonts w:ascii="Arial" w:hAnsi="Arial" w:cs="Arial"/>
        </w:rPr>
        <w:t>that</w:t>
      </w:r>
      <w:r w:rsidRPr="00F00D94">
        <w:rPr>
          <w:rFonts w:ascii="Arial" w:hAnsi="Arial" w:cs="Arial"/>
          <w:spacing w:val="-16"/>
        </w:rPr>
        <w:t xml:space="preserve"> </w:t>
      </w:r>
      <w:r w:rsidRPr="00F00D94">
        <w:rPr>
          <w:rFonts w:ascii="Arial" w:hAnsi="Arial" w:cs="Arial"/>
        </w:rPr>
        <w:t>was</w:t>
      </w:r>
      <w:r w:rsidRPr="00F00D94">
        <w:rPr>
          <w:rFonts w:ascii="Arial" w:hAnsi="Arial" w:cs="Arial"/>
          <w:spacing w:val="-15"/>
        </w:rPr>
        <w:t xml:space="preserve"> </w:t>
      </w:r>
      <w:r w:rsidRPr="00F00D94">
        <w:rPr>
          <w:rFonts w:ascii="Arial" w:hAnsi="Arial" w:cs="Arial"/>
        </w:rPr>
        <w:t>not</w:t>
      </w:r>
      <w:r w:rsidRPr="00F00D94">
        <w:rPr>
          <w:rFonts w:ascii="Arial" w:hAnsi="Arial" w:cs="Arial"/>
          <w:spacing w:val="-15"/>
        </w:rPr>
        <w:t xml:space="preserve"> </w:t>
      </w:r>
      <w:r w:rsidRPr="00F00D94">
        <w:rPr>
          <w:rFonts w:ascii="Arial" w:hAnsi="Arial" w:cs="Arial"/>
        </w:rPr>
        <w:t>included</w:t>
      </w:r>
      <w:r w:rsidRPr="00F00D94">
        <w:rPr>
          <w:rFonts w:ascii="Arial" w:hAnsi="Arial" w:cs="Arial"/>
          <w:spacing w:val="-14"/>
        </w:rPr>
        <w:t xml:space="preserve"> </w:t>
      </w:r>
      <w:r w:rsidRPr="00F00D94">
        <w:rPr>
          <w:rFonts w:ascii="Arial" w:hAnsi="Arial" w:cs="Arial"/>
        </w:rPr>
        <w:t>in</w:t>
      </w:r>
      <w:r w:rsidRPr="00F00D94">
        <w:rPr>
          <w:rFonts w:ascii="Arial" w:hAnsi="Arial" w:cs="Arial"/>
          <w:spacing w:val="-15"/>
        </w:rPr>
        <w:t xml:space="preserve"> </w:t>
      </w:r>
      <w:r w:rsidRPr="00F00D94">
        <w:rPr>
          <w:rFonts w:ascii="Arial" w:hAnsi="Arial" w:cs="Arial"/>
        </w:rPr>
        <w:t>the</w:t>
      </w:r>
      <w:r w:rsidRPr="00F00D94">
        <w:rPr>
          <w:rFonts w:ascii="Arial" w:hAnsi="Arial" w:cs="Arial"/>
          <w:spacing w:val="-14"/>
        </w:rPr>
        <w:t xml:space="preserve"> </w:t>
      </w:r>
      <w:r w:rsidRPr="00F00D94">
        <w:rPr>
          <w:rFonts w:ascii="Arial" w:hAnsi="Arial" w:cs="Arial"/>
        </w:rPr>
        <w:t>approved</w:t>
      </w:r>
      <w:r w:rsidRPr="00F00D94">
        <w:rPr>
          <w:rFonts w:ascii="Arial" w:hAnsi="Arial" w:cs="Arial"/>
          <w:position w:val="1"/>
        </w:rPr>
        <w:t xml:space="preserve"> plan, or for unallowable costs that must be reimbursed immediately </w:t>
      </w:r>
      <w:r w:rsidRPr="00F00D94">
        <w:rPr>
          <w:rFonts w:ascii="Arial" w:hAnsi="Arial" w:cs="Arial"/>
        </w:rPr>
        <w:t>(</w:t>
      </w:r>
      <w:r w:rsidRPr="00F00D94">
        <w:rPr>
          <w:rFonts w:ascii="Arial" w:hAnsi="Arial" w:cs="Arial"/>
          <w:u w:color="0000FF"/>
        </w:rPr>
        <w:t>2 CFR Part 200, Appendix V, paragraph</w:t>
      </w:r>
      <w:r w:rsidRPr="00F00D94">
        <w:rPr>
          <w:rFonts w:ascii="Arial" w:hAnsi="Arial" w:cs="Arial"/>
        </w:rPr>
        <w:t xml:space="preserve"> G.3).</w:t>
      </w:r>
    </w:p>
    <w:p w14:paraId="59DA9C5E" w14:textId="77777777" w:rsidR="006E7484" w:rsidRPr="00F00D94" w:rsidRDefault="006E7484" w:rsidP="006E7484">
      <w:pPr>
        <w:pStyle w:val="ListParagraph"/>
        <w:numPr>
          <w:ilvl w:val="0"/>
          <w:numId w:val="3"/>
        </w:numPr>
        <w:spacing w:after="240"/>
        <w:jc w:val="both"/>
        <w:rPr>
          <w:rFonts w:ascii="Arial" w:hAnsi="Arial" w:cs="Arial"/>
          <w:i/>
        </w:rPr>
      </w:pPr>
      <w:r w:rsidRPr="00F00D94">
        <w:rPr>
          <w:rFonts w:ascii="Arial" w:hAnsi="Arial" w:cs="Arial"/>
          <w:i/>
        </w:rPr>
        <w:t>Billed Central Service Costs (Section II Costs)</w:t>
      </w:r>
    </w:p>
    <w:p w14:paraId="32ADB264"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Each billed central service activity must separately account for all revenues (including imputed revenues) generated by the</w:t>
      </w:r>
      <w:r w:rsidRPr="00F00D94">
        <w:rPr>
          <w:rFonts w:ascii="Arial" w:hAnsi="Arial" w:cs="Arial"/>
          <w:spacing w:val="-14"/>
        </w:rPr>
        <w:t xml:space="preserve"> </w:t>
      </w:r>
      <w:r w:rsidRPr="00F00D94">
        <w:rPr>
          <w:rFonts w:ascii="Arial" w:hAnsi="Arial" w:cs="Arial"/>
        </w:rPr>
        <w:t xml:space="preserve">service, </w:t>
      </w:r>
      <w:r w:rsidRPr="00F00D94">
        <w:rPr>
          <w:rFonts w:ascii="Arial" w:hAnsi="Arial" w:cs="Arial"/>
          <w:position w:val="1"/>
        </w:rPr>
        <w:t xml:space="preserve">expenses incurred to furnish the service, and profit/loss </w:t>
      </w:r>
      <w:r w:rsidRPr="0087417D">
        <w:rPr>
          <w:rFonts w:ascii="Arial" w:hAnsi="Arial" w:cs="Arial"/>
          <w:position w:val="1"/>
        </w:rPr>
        <w:t>(</w:t>
      </w:r>
      <w:r w:rsidRPr="00F00D94">
        <w:rPr>
          <w:rFonts w:ascii="Arial" w:hAnsi="Arial" w:cs="Arial"/>
          <w:position w:val="1"/>
          <w:u w:color="0000FF"/>
        </w:rPr>
        <w:t xml:space="preserve">2 CFR Part </w:t>
      </w:r>
      <w:r w:rsidRPr="00F00D94">
        <w:rPr>
          <w:rFonts w:ascii="Arial" w:hAnsi="Arial" w:cs="Arial"/>
          <w:u w:color="0000FF"/>
        </w:rPr>
        <w:t>200,</w:t>
      </w:r>
      <w:r w:rsidRPr="00F00D94">
        <w:rPr>
          <w:rFonts w:ascii="Arial" w:hAnsi="Arial" w:cs="Arial"/>
        </w:rPr>
        <w:t xml:space="preserve"> Appendix V, paragraph G.1).</w:t>
      </w:r>
    </w:p>
    <w:p w14:paraId="4CA183EA"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 xml:space="preserve">Internal service funds for central service activities are allowed a working capital reserve of up to 60 calendar days cash expenses for normal operating purposes </w:t>
      </w:r>
      <w:r w:rsidRPr="00F00D94">
        <w:rPr>
          <w:rFonts w:ascii="Arial" w:hAnsi="Arial" w:cs="Arial"/>
          <w:spacing w:val="-3"/>
        </w:rPr>
        <w:t>(</w:t>
      </w:r>
      <w:r w:rsidRPr="00F00D94">
        <w:rPr>
          <w:rFonts w:ascii="Arial" w:hAnsi="Arial" w:cs="Arial"/>
          <w:spacing w:val="-3"/>
          <w:u w:color="0000FF"/>
        </w:rPr>
        <w:t xml:space="preserve">2 </w:t>
      </w:r>
      <w:r w:rsidRPr="00F00D94">
        <w:rPr>
          <w:rFonts w:ascii="Arial" w:hAnsi="Arial" w:cs="Arial"/>
          <w:u w:color="0000FF"/>
        </w:rPr>
        <w:t>CFR Part 200, Appendix V, paragraph G.2</w:t>
      </w:r>
      <w:r w:rsidRPr="00F00D94">
        <w:rPr>
          <w:rFonts w:ascii="Arial" w:hAnsi="Arial" w:cs="Arial"/>
        </w:rPr>
        <w:t xml:space="preserve">). A working capital reserve exceeding 60 calendar days </w:t>
      </w:r>
      <w:r w:rsidRPr="00F00D94">
        <w:rPr>
          <w:rFonts w:ascii="Arial" w:hAnsi="Arial" w:cs="Arial"/>
          <w:spacing w:val="2"/>
        </w:rPr>
        <w:t xml:space="preserve">may </w:t>
      </w:r>
      <w:r w:rsidRPr="00F00D94">
        <w:rPr>
          <w:rFonts w:ascii="Arial" w:hAnsi="Arial" w:cs="Arial"/>
        </w:rPr>
        <w:t>be approved</w:t>
      </w:r>
      <w:r w:rsidRPr="00F00D94">
        <w:rPr>
          <w:rFonts w:ascii="Arial" w:hAnsi="Arial" w:cs="Arial"/>
          <w:spacing w:val="-48"/>
        </w:rPr>
        <w:t xml:space="preserve"> </w:t>
      </w:r>
      <w:r w:rsidRPr="00F00D94">
        <w:rPr>
          <w:rFonts w:ascii="Arial" w:hAnsi="Arial" w:cs="Arial"/>
        </w:rPr>
        <w:t>by the cognizant agency for indirect costs in exceptional</w:t>
      </w:r>
      <w:r w:rsidRPr="00F00D94">
        <w:rPr>
          <w:rFonts w:ascii="Arial" w:hAnsi="Arial" w:cs="Arial"/>
          <w:spacing w:val="-6"/>
        </w:rPr>
        <w:t xml:space="preserve"> </w:t>
      </w:r>
      <w:r w:rsidRPr="00F00D94">
        <w:rPr>
          <w:rFonts w:ascii="Arial" w:hAnsi="Arial" w:cs="Arial"/>
        </w:rPr>
        <w:t>cases.</w:t>
      </w:r>
    </w:p>
    <w:p w14:paraId="6B4E7CD3"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Adjustments of billed central services are required when there is a difference between the revenue generated by each billed service and the actual allowable costs (</w:t>
      </w:r>
      <w:r w:rsidRPr="00F00D94">
        <w:rPr>
          <w:rFonts w:ascii="Arial" w:hAnsi="Arial" w:cs="Arial"/>
          <w:u w:color="0000FF"/>
        </w:rPr>
        <w:t>2 CFR Part 200, Appendix V, paragraph G.4</w:t>
      </w:r>
      <w:r w:rsidRPr="00F00D94">
        <w:rPr>
          <w:rFonts w:ascii="Arial" w:hAnsi="Arial" w:cs="Arial"/>
        </w:rPr>
        <w:t>). A comparison of the revenue generated by each billed service (including total revenues whether or not billed or collected) to the actual allowable costs</w:t>
      </w:r>
      <w:r w:rsidRPr="00F00D94">
        <w:rPr>
          <w:rFonts w:ascii="Arial" w:hAnsi="Arial" w:cs="Arial"/>
          <w:spacing w:val="-7"/>
        </w:rPr>
        <w:t xml:space="preserve"> </w:t>
      </w:r>
      <w:r w:rsidRPr="00F00D94">
        <w:rPr>
          <w:rFonts w:ascii="Arial" w:hAnsi="Arial" w:cs="Arial"/>
        </w:rPr>
        <w:t>of</w:t>
      </w:r>
      <w:r w:rsidRPr="00F00D94">
        <w:rPr>
          <w:rFonts w:ascii="Arial" w:hAnsi="Arial" w:cs="Arial"/>
          <w:spacing w:val="-1"/>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service will</w:t>
      </w:r>
      <w:r w:rsidRPr="00F00D94">
        <w:rPr>
          <w:rFonts w:ascii="Arial" w:hAnsi="Arial" w:cs="Arial"/>
          <w:spacing w:val="-3"/>
        </w:rPr>
        <w:t xml:space="preserve"> </w:t>
      </w:r>
      <w:r w:rsidRPr="00F00D94">
        <w:rPr>
          <w:rFonts w:ascii="Arial" w:hAnsi="Arial" w:cs="Arial"/>
        </w:rPr>
        <w:t>be</w:t>
      </w:r>
      <w:r w:rsidRPr="00F00D94">
        <w:rPr>
          <w:rFonts w:ascii="Arial" w:hAnsi="Arial" w:cs="Arial"/>
          <w:spacing w:val="-4"/>
        </w:rPr>
        <w:t xml:space="preserve"> </w:t>
      </w:r>
      <w:r w:rsidRPr="00F00D94">
        <w:rPr>
          <w:rFonts w:ascii="Arial" w:hAnsi="Arial" w:cs="Arial"/>
        </w:rPr>
        <w:t>made</w:t>
      </w:r>
      <w:r w:rsidRPr="00F00D94">
        <w:rPr>
          <w:rFonts w:ascii="Arial" w:hAnsi="Arial" w:cs="Arial"/>
          <w:spacing w:val="-7"/>
        </w:rPr>
        <w:t xml:space="preserve"> </w:t>
      </w:r>
      <w:r w:rsidRPr="00F00D94">
        <w:rPr>
          <w:rFonts w:ascii="Arial" w:hAnsi="Arial" w:cs="Arial"/>
        </w:rPr>
        <w:t>at</w:t>
      </w:r>
      <w:r w:rsidRPr="00F00D94">
        <w:rPr>
          <w:rFonts w:ascii="Arial" w:hAnsi="Arial" w:cs="Arial"/>
          <w:spacing w:val="-5"/>
        </w:rPr>
        <w:t xml:space="preserve"> </w:t>
      </w:r>
      <w:r w:rsidRPr="00F00D94">
        <w:rPr>
          <w:rFonts w:ascii="Arial" w:hAnsi="Arial" w:cs="Arial"/>
        </w:rPr>
        <w:t>least</w:t>
      </w:r>
      <w:r w:rsidRPr="00F00D94">
        <w:rPr>
          <w:rFonts w:ascii="Arial" w:hAnsi="Arial" w:cs="Arial"/>
          <w:spacing w:val="-6"/>
        </w:rPr>
        <w:t xml:space="preserve"> </w:t>
      </w:r>
      <w:r w:rsidRPr="00F00D94">
        <w:rPr>
          <w:rFonts w:ascii="Arial" w:hAnsi="Arial" w:cs="Arial"/>
        </w:rPr>
        <w:t>annually,</w:t>
      </w:r>
      <w:r w:rsidRPr="00F00D94">
        <w:rPr>
          <w:rFonts w:ascii="Arial" w:hAnsi="Arial" w:cs="Arial"/>
          <w:spacing w:val="-4"/>
        </w:rPr>
        <w:t xml:space="preserve"> </w:t>
      </w:r>
      <w:r w:rsidRPr="00F00D94">
        <w:rPr>
          <w:rFonts w:ascii="Arial" w:hAnsi="Arial" w:cs="Arial"/>
        </w:rPr>
        <w:t>and</w:t>
      </w:r>
      <w:r w:rsidRPr="00F00D94">
        <w:rPr>
          <w:rFonts w:ascii="Arial" w:hAnsi="Arial" w:cs="Arial"/>
          <w:spacing w:val="-4"/>
        </w:rPr>
        <w:t xml:space="preserve"> </w:t>
      </w:r>
      <w:r w:rsidRPr="00F00D94">
        <w:rPr>
          <w:rFonts w:ascii="Arial" w:hAnsi="Arial" w:cs="Arial"/>
        </w:rPr>
        <w:t>an</w:t>
      </w:r>
      <w:r w:rsidRPr="00F00D94">
        <w:rPr>
          <w:rFonts w:ascii="Arial" w:hAnsi="Arial" w:cs="Arial"/>
          <w:spacing w:val="-4"/>
        </w:rPr>
        <w:t xml:space="preserve"> </w:t>
      </w:r>
      <w:r w:rsidRPr="00F00D94">
        <w:rPr>
          <w:rFonts w:ascii="Arial" w:hAnsi="Arial" w:cs="Arial"/>
        </w:rPr>
        <w:t>adjustment</w:t>
      </w:r>
      <w:r w:rsidRPr="00F00D94">
        <w:rPr>
          <w:rFonts w:ascii="Arial" w:hAnsi="Arial" w:cs="Arial"/>
          <w:spacing w:val="-5"/>
        </w:rPr>
        <w:t xml:space="preserve"> </w:t>
      </w:r>
      <w:r w:rsidRPr="00F00D94">
        <w:rPr>
          <w:rFonts w:ascii="Arial" w:hAnsi="Arial" w:cs="Arial"/>
        </w:rPr>
        <w:t>will be made for the difference between the revenue and the allowable costs. The adjustments will be made through one of the following methods, at the option of the cognizant</w:t>
      </w:r>
      <w:r w:rsidRPr="00F00D94">
        <w:rPr>
          <w:rFonts w:ascii="Arial" w:hAnsi="Arial" w:cs="Arial"/>
          <w:spacing w:val="-4"/>
        </w:rPr>
        <w:t xml:space="preserve"> </w:t>
      </w:r>
      <w:r w:rsidRPr="00F00D94">
        <w:rPr>
          <w:rFonts w:ascii="Arial" w:hAnsi="Arial" w:cs="Arial"/>
        </w:rPr>
        <w:t>agency:</w:t>
      </w:r>
    </w:p>
    <w:p w14:paraId="3D179C2B"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If</w:t>
      </w:r>
      <w:r w:rsidRPr="00F00D94">
        <w:rPr>
          <w:rFonts w:ascii="Arial" w:hAnsi="Arial" w:cs="Arial"/>
          <w:spacing w:val="-17"/>
        </w:rPr>
        <w:t xml:space="preserve"> </w:t>
      </w:r>
      <w:r w:rsidRPr="00F00D94">
        <w:rPr>
          <w:rFonts w:ascii="Arial" w:hAnsi="Arial" w:cs="Arial"/>
        </w:rPr>
        <w:t>revenue</w:t>
      </w:r>
      <w:r w:rsidRPr="00F00D94">
        <w:rPr>
          <w:rFonts w:ascii="Arial" w:hAnsi="Arial" w:cs="Arial"/>
          <w:spacing w:val="-18"/>
        </w:rPr>
        <w:t xml:space="preserve"> </w:t>
      </w:r>
      <w:r w:rsidRPr="00F00D94">
        <w:rPr>
          <w:rFonts w:ascii="Arial" w:hAnsi="Arial" w:cs="Arial"/>
        </w:rPr>
        <w:t>exceeds</w:t>
      </w:r>
      <w:r w:rsidRPr="00F00D94">
        <w:rPr>
          <w:rFonts w:ascii="Arial" w:hAnsi="Arial" w:cs="Arial"/>
          <w:spacing w:val="-19"/>
        </w:rPr>
        <w:t xml:space="preserve"> </w:t>
      </w:r>
      <w:r w:rsidRPr="00F00D94">
        <w:rPr>
          <w:rFonts w:ascii="Arial" w:hAnsi="Arial" w:cs="Arial"/>
        </w:rPr>
        <w:t>costs,</w:t>
      </w:r>
      <w:r w:rsidRPr="00F00D94">
        <w:rPr>
          <w:rFonts w:ascii="Arial" w:hAnsi="Arial" w:cs="Arial"/>
          <w:spacing w:val="-18"/>
        </w:rPr>
        <w:t xml:space="preserve"> </w:t>
      </w:r>
      <w:r w:rsidRPr="00F00D94">
        <w:rPr>
          <w:rFonts w:ascii="Arial" w:hAnsi="Arial" w:cs="Arial"/>
        </w:rPr>
        <w:t>a</w:t>
      </w:r>
      <w:r w:rsidRPr="00F00D94">
        <w:rPr>
          <w:rFonts w:ascii="Arial" w:hAnsi="Arial" w:cs="Arial"/>
          <w:spacing w:val="-19"/>
        </w:rPr>
        <w:t xml:space="preserve"> </w:t>
      </w:r>
      <w:r w:rsidRPr="00F00D94">
        <w:rPr>
          <w:rFonts w:ascii="Arial" w:hAnsi="Arial" w:cs="Arial"/>
        </w:rPr>
        <w:t>cash</w:t>
      </w:r>
      <w:r w:rsidRPr="00F00D94">
        <w:rPr>
          <w:rFonts w:ascii="Arial" w:hAnsi="Arial" w:cs="Arial"/>
          <w:spacing w:val="-18"/>
        </w:rPr>
        <w:t xml:space="preserve"> </w:t>
      </w:r>
      <w:r w:rsidRPr="00F00D94">
        <w:rPr>
          <w:rFonts w:ascii="Arial" w:hAnsi="Arial" w:cs="Arial"/>
        </w:rPr>
        <w:t>refund</w:t>
      </w:r>
      <w:r w:rsidRPr="00F00D94">
        <w:rPr>
          <w:rFonts w:ascii="Arial" w:hAnsi="Arial" w:cs="Arial"/>
          <w:spacing w:val="-18"/>
        </w:rPr>
        <w:t xml:space="preserve"> </w:t>
      </w:r>
      <w:r w:rsidRPr="00F00D94">
        <w:rPr>
          <w:rFonts w:ascii="Arial" w:hAnsi="Arial" w:cs="Arial"/>
        </w:rPr>
        <w:t>to</w:t>
      </w:r>
      <w:r w:rsidRPr="00F00D94">
        <w:rPr>
          <w:rFonts w:ascii="Arial" w:hAnsi="Arial" w:cs="Arial"/>
          <w:spacing w:val="-20"/>
        </w:rPr>
        <w:t xml:space="preserve"> </w:t>
      </w:r>
      <w:r w:rsidRPr="00F00D94">
        <w:rPr>
          <w:rFonts w:ascii="Arial" w:hAnsi="Arial" w:cs="Arial"/>
        </w:rPr>
        <w:t>the</w:t>
      </w:r>
      <w:r w:rsidRPr="00F00D94">
        <w:rPr>
          <w:rFonts w:ascii="Arial" w:hAnsi="Arial" w:cs="Arial"/>
          <w:spacing w:val="-20"/>
        </w:rPr>
        <w:t xml:space="preserve"> </w:t>
      </w:r>
      <w:r w:rsidRPr="00F00D94">
        <w:rPr>
          <w:rFonts w:ascii="Arial" w:hAnsi="Arial" w:cs="Arial"/>
        </w:rPr>
        <w:t>Federal</w:t>
      </w:r>
      <w:r w:rsidRPr="00F00D94">
        <w:rPr>
          <w:rFonts w:ascii="Arial" w:hAnsi="Arial" w:cs="Arial"/>
          <w:spacing w:val="-20"/>
        </w:rPr>
        <w:t xml:space="preserve"> </w:t>
      </w:r>
      <w:r w:rsidRPr="00F00D94">
        <w:rPr>
          <w:rFonts w:ascii="Arial" w:hAnsi="Arial" w:cs="Arial"/>
        </w:rPr>
        <w:t xml:space="preserve">Government for the Federal share of the adjustment, including earned or imputed interest from the date of expenditure and debt interest, </w:t>
      </w:r>
      <w:r w:rsidRPr="00F00D94">
        <w:rPr>
          <w:rFonts w:ascii="Arial" w:hAnsi="Arial" w:cs="Arial"/>
          <w:spacing w:val="-3"/>
        </w:rPr>
        <w:t xml:space="preserve">if </w:t>
      </w:r>
      <w:r w:rsidRPr="00F00D94">
        <w:rPr>
          <w:rFonts w:ascii="Arial" w:hAnsi="Arial" w:cs="Arial"/>
        </w:rPr>
        <w:t>applicable, chargeable in accordance with applicable cognizant agency for indirect costs</w:t>
      </w:r>
      <w:r w:rsidRPr="00F00D94">
        <w:rPr>
          <w:rFonts w:ascii="Arial" w:hAnsi="Arial" w:cs="Arial"/>
          <w:spacing w:val="-5"/>
        </w:rPr>
        <w:t xml:space="preserve"> </w:t>
      </w:r>
      <w:r w:rsidRPr="00F00D94">
        <w:rPr>
          <w:rFonts w:ascii="Arial" w:hAnsi="Arial" w:cs="Arial"/>
        </w:rPr>
        <w:t>regulations;</w:t>
      </w:r>
    </w:p>
    <w:p w14:paraId="4DCEFEA7"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Credits to the amounts charged to the individual</w:t>
      </w:r>
      <w:r w:rsidRPr="00F00D94">
        <w:rPr>
          <w:rFonts w:ascii="Arial" w:hAnsi="Arial" w:cs="Arial"/>
          <w:spacing w:val="-7"/>
        </w:rPr>
        <w:t xml:space="preserve"> </w:t>
      </w:r>
      <w:r w:rsidRPr="00F00D94">
        <w:rPr>
          <w:rFonts w:ascii="Arial" w:hAnsi="Arial" w:cs="Arial"/>
        </w:rPr>
        <w:t>programs;</w:t>
      </w:r>
    </w:p>
    <w:p w14:paraId="190C2F20"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Adjustments to future billing rates;</w:t>
      </w:r>
      <w:r w:rsidRPr="00F00D94">
        <w:rPr>
          <w:rFonts w:ascii="Arial" w:hAnsi="Arial" w:cs="Arial"/>
          <w:spacing w:val="-10"/>
        </w:rPr>
        <w:t xml:space="preserve"> </w:t>
      </w:r>
      <w:r w:rsidRPr="00F00D94">
        <w:rPr>
          <w:rFonts w:ascii="Arial" w:hAnsi="Arial" w:cs="Arial"/>
        </w:rPr>
        <w:t>or</w:t>
      </w:r>
    </w:p>
    <w:p w14:paraId="0378AC08" w14:textId="77777777" w:rsidR="006E7484" w:rsidRPr="00F00D94" w:rsidRDefault="006E7484" w:rsidP="006E7484">
      <w:pPr>
        <w:pStyle w:val="ListParagraph"/>
        <w:numPr>
          <w:ilvl w:val="2"/>
          <w:numId w:val="3"/>
        </w:numPr>
        <w:spacing w:after="240"/>
        <w:jc w:val="both"/>
        <w:rPr>
          <w:rFonts w:ascii="Arial" w:hAnsi="Arial" w:cs="Arial"/>
        </w:rPr>
      </w:pPr>
      <w:r w:rsidRPr="00F00D94">
        <w:rPr>
          <w:rFonts w:ascii="Arial" w:hAnsi="Arial" w:cs="Arial"/>
        </w:rPr>
        <w:t>Adjustments</w:t>
      </w:r>
      <w:r w:rsidRPr="00F00D94">
        <w:rPr>
          <w:rFonts w:ascii="Arial" w:hAnsi="Arial" w:cs="Arial"/>
          <w:spacing w:val="-14"/>
        </w:rPr>
        <w:t xml:space="preserve"> </w:t>
      </w:r>
      <w:r w:rsidRPr="00F00D94">
        <w:rPr>
          <w:rFonts w:ascii="Arial" w:hAnsi="Arial" w:cs="Arial"/>
        </w:rPr>
        <w:t>to</w:t>
      </w:r>
      <w:r w:rsidRPr="00F00D94">
        <w:rPr>
          <w:rFonts w:ascii="Arial" w:hAnsi="Arial" w:cs="Arial"/>
          <w:spacing w:val="-11"/>
        </w:rPr>
        <w:t xml:space="preserve"> </w:t>
      </w:r>
      <w:r w:rsidRPr="00F00D94">
        <w:rPr>
          <w:rFonts w:ascii="Arial" w:hAnsi="Arial" w:cs="Arial"/>
        </w:rPr>
        <w:t>allocated</w:t>
      </w:r>
      <w:r w:rsidRPr="00F00D94">
        <w:rPr>
          <w:rFonts w:ascii="Arial" w:hAnsi="Arial" w:cs="Arial"/>
          <w:spacing w:val="-11"/>
        </w:rPr>
        <w:t xml:space="preserve"> </w:t>
      </w:r>
      <w:r w:rsidRPr="00F00D94">
        <w:rPr>
          <w:rFonts w:ascii="Arial" w:hAnsi="Arial" w:cs="Arial"/>
        </w:rPr>
        <w:t>central</w:t>
      </w:r>
      <w:r w:rsidRPr="00F00D94">
        <w:rPr>
          <w:rFonts w:ascii="Arial" w:hAnsi="Arial" w:cs="Arial"/>
          <w:spacing w:val="-12"/>
        </w:rPr>
        <w:t xml:space="preserve"> </w:t>
      </w:r>
      <w:r w:rsidRPr="00F00D94">
        <w:rPr>
          <w:rFonts w:ascii="Arial" w:hAnsi="Arial" w:cs="Arial"/>
        </w:rPr>
        <w:t>service</w:t>
      </w:r>
      <w:r w:rsidRPr="00F00D94">
        <w:rPr>
          <w:rFonts w:ascii="Arial" w:hAnsi="Arial" w:cs="Arial"/>
          <w:spacing w:val="-11"/>
        </w:rPr>
        <w:t xml:space="preserve"> </w:t>
      </w:r>
      <w:r w:rsidRPr="00F00D94">
        <w:rPr>
          <w:rFonts w:ascii="Arial" w:hAnsi="Arial" w:cs="Arial"/>
        </w:rPr>
        <w:t>costs</w:t>
      </w:r>
      <w:r w:rsidRPr="00F00D94">
        <w:rPr>
          <w:rFonts w:ascii="Arial" w:hAnsi="Arial" w:cs="Arial"/>
          <w:spacing w:val="-12"/>
        </w:rPr>
        <w:t xml:space="preserve"> </w:t>
      </w:r>
      <w:r w:rsidRPr="00F00D94">
        <w:rPr>
          <w:rFonts w:ascii="Arial" w:hAnsi="Arial" w:cs="Arial"/>
        </w:rPr>
        <w:t>(Section</w:t>
      </w:r>
      <w:r w:rsidRPr="00F00D94">
        <w:rPr>
          <w:rFonts w:ascii="Arial" w:hAnsi="Arial" w:cs="Arial"/>
          <w:spacing w:val="-11"/>
        </w:rPr>
        <w:t xml:space="preserve"> </w:t>
      </w:r>
      <w:r w:rsidRPr="00F00D94">
        <w:rPr>
          <w:rFonts w:ascii="Arial" w:hAnsi="Arial" w:cs="Arial"/>
        </w:rPr>
        <w:t>I)</w:t>
      </w:r>
      <w:r w:rsidRPr="00F00D94">
        <w:rPr>
          <w:rFonts w:ascii="Arial" w:hAnsi="Arial" w:cs="Arial"/>
          <w:spacing w:val="-14"/>
        </w:rPr>
        <w:t xml:space="preserve"> </w:t>
      </w:r>
      <w:r w:rsidRPr="00F00D94">
        <w:rPr>
          <w:rFonts w:ascii="Arial" w:hAnsi="Arial" w:cs="Arial"/>
          <w:spacing w:val="-3"/>
        </w:rPr>
        <w:t>if</w:t>
      </w:r>
      <w:r w:rsidRPr="00F00D94">
        <w:rPr>
          <w:rFonts w:ascii="Arial" w:hAnsi="Arial" w:cs="Arial"/>
          <w:spacing w:val="-16"/>
        </w:rPr>
        <w:t xml:space="preserve"> </w:t>
      </w:r>
      <w:r w:rsidRPr="00F00D94">
        <w:rPr>
          <w:rFonts w:ascii="Arial" w:hAnsi="Arial" w:cs="Arial"/>
        </w:rPr>
        <w:t>the</w:t>
      </w:r>
      <w:r w:rsidRPr="00F00D94">
        <w:rPr>
          <w:rFonts w:ascii="Arial" w:hAnsi="Arial" w:cs="Arial"/>
          <w:spacing w:val="-11"/>
        </w:rPr>
        <w:t xml:space="preserve"> </w:t>
      </w:r>
      <w:r w:rsidRPr="00F00D94">
        <w:rPr>
          <w:rFonts w:ascii="Arial" w:hAnsi="Arial" w:cs="Arial"/>
        </w:rPr>
        <w:t>total amount of the adjustment for a particular service (Federal share and non-Federal share) does not</w:t>
      </w:r>
      <w:r w:rsidRPr="00F00D94">
        <w:rPr>
          <w:rFonts w:ascii="Arial" w:hAnsi="Arial" w:cs="Arial"/>
          <w:spacing w:val="-5"/>
        </w:rPr>
        <w:t xml:space="preserve"> </w:t>
      </w:r>
      <w:r w:rsidRPr="00F00D94">
        <w:rPr>
          <w:rFonts w:ascii="Arial" w:hAnsi="Arial" w:cs="Arial"/>
        </w:rPr>
        <w:t>exceed $500,000.</w:t>
      </w:r>
    </w:p>
    <w:p w14:paraId="476C545F" w14:textId="77777777" w:rsidR="006E7484" w:rsidRPr="00F00D94" w:rsidRDefault="006E7484" w:rsidP="006E7484">
      <w:pPr>
        <w:pStyle w:val="ListParagraph"/>
        <w:numPr>
          <w:ilvl w:val="1"/>
          <w:numId w:val="3"/>
        </w:numPr>
        <w:spacing w:after="240"/>
        <w:jc w:val="both"/>
        <w:rPr>
          <w:rFonts w:ascii="Arial" w:hAnsi="Arial" w:cs="Arial"/>
        </w:rPr>
      </w:pPr>
      <w:r w:rsidRPr="00F00D94">
        <w:rPr>
          <w:rFonts w:ascii="Arial" w:hAnsi="Arial" w:cs="Arial"/>
        </w:rPr>
        <w:t>Whenever funds are transferred from a self-insurance reserve to other accounts (e.g., general fund), refunds must be made to the Federal Government</w:t>
      </w:r>
      <w:r w:rsidRPr="00F00D94">
        <w:rPr>
          <w:rFonts w:ascii="Arial" w:hAnsi="Arial" w:cs="Arial"/>
          <w:spacing w:val="-21"/>
        </w:rPr>
        <w:t xml:space="preserve"> </w:t>
      </w:r>
      <w:r w:rsidRPr="00F00D94">
        <w:rPr>
          <w:rFonts w:ascii="Arial" w:hAnsi="Arial" w:cs="Arial"/>
        </w:rPr>
        <w:t>for</w:t>
      </w:r>
      <w:r w:rsidRPr="00F00D94">
        <w:rPr>
          <w:rFonts w:ascii="Arial" w:hAnsi="Arial" w:cs="Arial"/>
          <w:spacing w:val="-16"/>
        </w:rPr>
        <w:t xml:space="preserve"> </w:t>
      </w:r>
      <w:r w:rsidRPr="00F00D94">
        <w:rPr>
          <w:rFonts w:ascii="Arial" w:hAnsi="Arial" w:cs="Arial"/>
        </w:rPr>
        <w:t>its</w:t>
      </w:r>
      <w:r w:rsidRPr="00F00D94">
        <w:rPr>
          <w:rFonts w:ascii="Arial" w:hAnsi="Arial" w:cs="Arial"/>
          <w:spacing w:val="-18"/>
        </w:rPr>
        <w:t xml:space="preserve"> </w:t>
      </w:r>
      <w:r w:rsidRPr="00F00D94">
        <w:rPr>
          <w:rFonts w:ascii="Arial" w:hAnsi="Arial" w:cs="Arial"/>
        </w:rPr>
        <w:t>share</w:t>
      </w:r>
      <w:r w:rsidRPr="00F00D94">
        <w:rPr>
          <w:rFonts w:ascii="Arial" w:hAnsi="Arial" w:cs="Arial"/>
          <w:spacing w:val="-17"/>
        </w:rPr>
        <w:t xml:space="preserve"> </w:t>
      </w:r>
      <w:r w:rsidRPr="00F00D94">
        <w:rPr>
          <w:rFonts w:ascii="Arial" w:hAnsi="Arial" w:cs="Arial"/>
        </w:rPr>
        <w:t>of</w:t>
      </w:r>
      <w:r w:rsidRPr="00F00D94">
        <w:rPr>
          <w:rFonts w:ascii="Arial" w:hAnsi="Arial" w:cs="Arial"/>
          <w:spacing w:val="-17"/>
        </w:rPr>
        <w:t xml:space="preserve"> </w:t>
      </w:r>
      <w:r w:rsidRPr="00F00D94">
        <w:rPr>
          <w:rFonts w:ascii="Arial" w:hAnsi="Arial" w:cs="Arial"/>
        </w:rPr>
        <w:t>funds</w:t>
      </w:r>
      <w:r w:rsidRPr="00F00D94">
        <w:rPr>
          <w:rFonts w:ascii="Arial" w:hAnsi="Arial" w:cs="Arial"/>
          <w:spacing w:val="-19"/>
        </w:rPr>
        <w:t xml:space="preserve"> </w:t>
      </w:r>
      <w:r w:rsidRPr="00F00D94">
        <w:rPr>
          <w:rFonts w:ascii="Arial" w:hAnsi="Arial" w:cs="Arial"/>
        </w:rPr>
        <w:t>transferred,</w:t>
      </w:r>
      <w:r w:rsidRPr="00F00D94">
        <w:rPr>
          <w:rFonts w:ascii="Arial" w:hAnsi="Arial" w:cs="Arial"/>
          <w:spacing w:val="-20"/>
        </w:rPr>
        <w:t xml:space="preserve"> </w:t>
      </w:r>
      <w:r w:rsidRPr="00F00D94">
        <w:rPr>
          <w:rFonts w:ascii="Arial" w:hAnsi="Arial" w:cs="Arial"/>
        </w:rPr>
        <w:t>including</w:t>
      </w:r>
      <w:r w:rsidRPr="00F00D94">
        <w:rPr>
          <w:rFonts w:ascii="Arial" w:hAnsi="Arial" w:cs="Arial"/>
          <w:spacing w:val="-17"/>
        </w:rPr>
        <w:t xml:space="preserve"> </w:t>
      </w:r>
      <w:r w:rsidRPr="00F00D94">
        <w:rPr>
          <w:rFonts w:ascii="Arial" w:hAnsi="Arial" w:cs="Arial"/>
        </w:rPr>
        <w:t>earned</w:t>
      </w:r>
      <w:r w:rsidRPr="00F00D94">
        <w:rPr>
          <w:rFonts w:ascii="Arial" w:hAnsi="Arial" w:cs="Arial"/>
          <w:spacing w:val="-17"/>
        </w:rPr>
        <w:t xml:space="preserve"> </w:t>
      </w:r>
      <w:r w:rsidRPr="00F00D94">
        <w:rPr>
          <w:rFonts w:ascii="Arial" w:hAnsi="Arial" w:cs="Arial"/>
        </w:rPr>
        <w:t>or</w:t>
      </w:r>
      <w:r w:rsidRPr="00F00D94">
        <w:rPr>
          <w:rFonts w:ascii="Arial" w:hAnsi="Arial" w:cs="Arial"/>
          <w:spacing w:val="-16"/>
        </w:rPr>
        <w:t xml:space="preserve"> </w:t>
      </w:r>
      <w:r w:rsidRPr="00F00D94">
        <w:rPr>
          <w:rFonts w:ascii="Arial" w:hAnsi="Arial" w:cs="Arial"/>
        </w:rPr>
        <w:t xml:space="preserve">imputed interest from the date of transfer and debt interest, </w:t>
      </w:r>
      <w:r w:rsidRPr="00F00D94">
        <w:rPr>
          <w:rFonts w:ascii="Arial" w:hAnsi="Arial" w:cs="Arial"/>
          <w:spacing w:val="-3"/>
        </w:rPr>
        <w:t xml:space="preserve">if </w:t>
      </w:r>
      <w:r w:rsidRPr="00F00D94">
        <w:rPr>
          <w:rFonts w:ascii="Arial" w:hAnsi="Arial" w:cs="Arial"/>
        </w:rPr>
        <w:t>applicable, chargeable in accordance with applicable cognizant agency for indirect cost claims collection regulations (</w:t>
      </w:r>
      <w:r w:rsidRPr="00F00D94">
        <w:rPr>
          <w:rFonts w:ascii="Arial" w:hAnsi="Arial" w:cs="Arial"/>
          <w:u w:color="0000FF"/>
        </w:rPr>
        <w:t>2 CFR section</w:t>
      </w:r>
      <w:r w:rsidRPr="00F00D94">
        <w:rPr>
          <w:rFonts w:ascii="Arial" w:hAnsi="Arial" w:cs="Arial"/>
          <w:spacing w:val="-8"/>
          <w:u w:color="0000FF"/>
        </w:rPr>
        <w:t xml:space="preserve"> </w:t>
      </w:r>
      <w:r w:rsidRPr="00F00D94">
        <w:rPr>
          <w:rFonts w:ascii="Arial" w:hAnsi="Arial" w:cs="Arial"/>
          <w:u w:color="0000FF"/>
        </w:rPr>
        <w:t>200.447(d)(5)</w:t>
      </w:r>
      <w:r w:rsidRPr="00F00D94">
        <w:rPr>
          <w:rFonts w:ascii="Arial" w:hAnsi="Arial" w:cs="Arial"/>
        </w:rPr>
        <w:t>).</w:t>
      </w:r>
    </w:p>
    <w:p w14:paraId="612AAB50" w14:textId="23C69AB3" w:rsidR="006E7484" w:rsidRPr="00F00D94" w:rsidRDefault="006E7484" w:rsidP="00834098">
      <w:pPr>
        <w:spacing w:after="240"/>
        <w:jc w:val="both"/>
        <w:rPr>
          <w:rFonts w:ascii="Arial" w:hAnsi="Arial" w:cs="Arial"/>
        </w:rPr>
      </w:pPr>
      <w:r w:rsidRPr="00F00D94">
        <w:rPr>
          <w:rFonts w:ascii="Arial" w:hAnsi="Arial" w:cs="Arial"/>
          <w:i/>
          <w:sz w:val="20"/>
        </w:rPr>
        <w:lastRenderedPageBreak/>
        <w:t xml:space="preserve">(Source: </w:t>
      </w:r>
      <w:r w:rsidR="00115AB2" w:rsidRPr="00F00D94">
        <w:rPr>
          <w:rFonts w:ascii="Arial" w:hAnsi="Arial" w:cs="Arial"/>
          <w:i/>
          <w:sz w:val="20"/>
        </w:rPr>
        <w:t>202</w:t>
      </w:r>
      <w:r w:rsidR="0072079D">
        <w:rPr>
          <w:rFonts w:ascii="Arial" w:hAnsi="Arial" w:cs="Arial"/>
          <w:i/>
          <w:sz w:val="20"/>
        </w:rPr>
        <w:t>5</w:t>
      </w:r>
      <w:r w:rsidR="00115AB2" w:rsidRPr="00F00D94">
        <w:rPr>
          <w:rFonts w:ascii="Arial" w:hAnsi="Arial" w:cs="Arial"/>
          <w:i/>
          <w:sz w:val="20"/>
        </w:rPr>
        <w:t xml:space="preserve"> </w:t>
      </w:r>
      <w:r w:rsidRPr="00F00D94">
        <w:rPr>
          <w:rFonts w:ascii="Arial" w:hAnsi="Arial" w:cs="Arial"/>
          <w:i/>
          <w:sz w:val="20"/>
        </w:rPr>
        <w:t>OMB Compliance Supplement Part 3</w:t>
      </w:r>
      <w:r w:rsidR="0072079D">
        <w:rPr>
          <w:rFonts w:ascii="Arial" w:hAnsi="Arial" w:cs="Arial"/>
          <w:i/>
          <w:sz w:val="20"/>
        </w:rPr>
        <w:t>.1</w:t>
      </w:r>
      <w:r w:rsidRPr="00F00D94">
        <w:rPr>
          <w:rFonts w:ascii="Arial" w:hAnsi="Arial" w:cs="Arial"/>
          <w:i/>
          <w:sz w:val="20"/>
        </w:rPr>
        <w:t>)</w:t>
      </w:r>
    </w:p>
    <w:p w14:paraId="71D10D6E" w14:textId="2AF60D1B" w:rsidR="00834098" w:rsidRPr="00F00D94" w:rsidRDefault="00834098" w:rsidP="00834098">
      <w:pPr>
        <w:pStyle w:val="Heading4"/>
        <w:jc w:val="both"/>
        <w:rPr>
          <w:rFonts w:ascii="Arial" w:hAnsi="Arial" w:cs="Arial"/>
        </w:rPr>
      </w:pPr>
      <w:r w:rsidRPr="00F00D94">
        <w:rPr>
          <w:rFonts w:ascii="Arial" w:hAnsi="Arial" w:cs="Arial"/>
        </w:rPr>
        <w:t>Audit Objectives and Control Test</w:t>
      </w:r>
      <w:r w:rsidR="009E030A">
        <w:rPr>
          <w:rFonts w:ascii="Arial" w:hAnsi="Arial" w:cs="Arial"/>
        </w:rPr>
        <w:t>ing -</w:t>
      </w:r>
      <w:r w:rsidRPr="00F00D94">
        <w:rPr>
          <w:rFonts w:ascii="Arial" w:hAnsi="Arial" w:cs="Arial"/>
        </w:rPr>
        <w:t xml:space="preserve"> Allowable Costs - State/Local Government-</w:t>
      </w:r>
      <w:r w:rsidR="006A3966">
        <w:rPr>
          <w:rFonts w:ascii="Arial" w:hAnsi="Arial" w:cs="Arial"/>
        </w:rPr>
        <w:t>W</w:t>
      </w:r>
      <w:r w:rsidRPr="00F00D94">
        <w:rPr>
          <w:rFonts w:ascii="Arial" w:hAnsi="Arial" w:cs="Arial"/>
        </w:rPr>
        <w:t>ide Central Service Costs</w:t>
      </w:r>
    </w:p>
    <w:p w14:paraId="7BFD1730" w14:textId="77777777" w:rsidR="00834098" w:rsidRPr="00F00D94" w:rsidRDefault="00834098" w:rsidP="00834098">
      <w:pPr>
        <w:spacing w:after="240"/>
        <w:jc w:val="both"/>
        <w:rPr>
          <w:rFonts w:ascii="Arial" w:hAnsi="Arial" w:cs="Arial"/>
          <w:b/>
          <w:i/>
          <w:sz w:val="20"/>
        </w:rPr>
      </w:pPr>
      <w:r w:rsidRPr="00F00D94">
        <w:rPr>
          <w:rFonts w:ascii="Arial" w:hAnsi="Arial" w:cs="Arial"/>
          <w:b/>
          <w:sz w:val="20"/>
        </w:rPr>
        <w:t>Audit Objectives</w:t>
      </w:r>
    </w:p>
    <w:p w14:paraId="376F91BC" w14:textId="1529968D" w:rsidR="00834098" w:rsidRPr="00F00D94" w:rsidRDefault="00834098" w:rsidP="00834098">
      <w:pPr>
        <w:pStyle w:val="ListParagraph"/>
        <w:numPr>
          <w:ilvl w:val="0"/>
          <w:numId w:val="2"/>
        </w:numPr>
        <w:spacing w:after="240"/>
        <w:jc w:val="both"/>
        <w:rPr>
          <w:rFonts w:ascii="Arial" w:hAnsi="Arial" w:cs="Arial"/>
        </w:rPr>
      </w:pPr>
      <w:r w:rsidRPr="00F00D94">
        <w:rPr>
          <w:rFonts w:ascii="Arial" w:hAnsi="Arial" w:cs="Arial"/>
        </w:rPr>
        <w:t>Obtain an understanding of internal control</w:t>
      </w:r>
      <w:r w:rsidR="0072079D">
        <w:rPr>
          <w:rFonts w:ascii="Arial" w:hAnsi="Arial" w:cs="Arial"/>
        </w:rPr>
        <w:t xml:space="preserve"> over the compliance requirements for central service costs, </w:t>
      </w:r>
      <w:r w:rsidRPr="00F00D94">
        <w:rPr>
          <w:rFonts w:ascii="Arial" w:hAnsi="Arial" w:cs="Arial"/>
        </w:rPr>
        <w:t>assess risk, and test internal control as required by</w:t>
      </w:r>
      <w:r w:rsidRPr="00F00D94">
        <w:rPr>
          <w:rFonts w:ascii="Arial" w:hAnsi="Arial" w:cs="Arial"/>
          <w:color w:val="0000FF"/>
        </w:rPr>
        <w:t xml:space="preserve"> </w:t>
      </w:r>
      <w:r w:rsidRPr="00F00D94">
        <w:rPr>
          <w:rFonts w:ascii="Arial" w:hAnsi="Arial" w:cs="Arial"/>
          <w:u w:color="0000FF"/>
        </w:rPr>
        <w:t>2 CFR section 200.514(c).</w:t>
      </w:r>
    </w:p>
    <w:p w14:paraId="24520E14" w14:textId="77777777" w:rsidR="00834098" w:rsidRPr="00F00D94" w:rsidRDefault="00834098" w:rsidP="00834098">
      <w:pPr>
        <w:pStyle w:val="ListParagraph"/>
        <w:numPr>
          <w:ilvl w:val="0"/>
          <w:numId w:val="2"/>
        </w:numPr>
        <w:spacing w:after="240"/>
        <w:jc w:val="both"/>
        <w:rPr>
          <w:rFonts w:ascii="Arial" w:hAnsi="Arial" w:cs="Arial"/>
        </w:rPr>
      </w:pPr>
      <w:r w:rsidRPr="00F00D94">
        <w:rPr>
          <w:rFonts w:ascii="Arial" w:hAnsi="Arial" w:cs="Arial"/>
        </w:rPr>
        <w:t>Determine</w:t>
      </w:r>
      <w:r w:rsidRPr="00F00D94">
        <w:rPr>
          <w:rFonts w:ascii="Arial" w:hAnsi="Arial" w:cs="Arial"/>
          <w:spacing w:val="-9"/>
        </w:rPr>
        <w:t xml:space="preserve"> </w:t>
      </w:r>
      <w:r w:rsidRPr="00F00D94">
        <w:rPr>
          <w:rFonts w:ascii="Arial" w:hAnsi="Arial" w:cs="Arial"/>
        </w:rPr>
        <w:t>whether</w:t>
      </w:r>
      <w:r w:rsidRPr="00F00D94">
        <w:rPr>
          <w:rFonts w:ascii="Arial" w:hAnsi="Arial" w:cs="Arial"/>
          <w:spacing w:val="-12"/>
        </w:rPr>
        <w:t xml:space="preserve"> </w:t>
      </w:r>
      <w:r w:rsidRPr="00F00D94">
        <w:rPr>
          <w:rFonts w:ascii="Arial" w:hAnsi="Arial" w:cs="Arial"/>
        </w:rPr>
        <w:t>the</w:t>
      </w:r>
      <w:r w:rsidRPr="00F00D94">
        <w:rPr>
          <w:rFonts w:ascii="Arial" w:hAnsi="Arial" w:cs="Arial"/>
          <w:spacing w:val="-8"/>
        </w:rPr>
        <w:t xml:space="preserve"> </w:t>
      </w:r>
      <w:r w:rsidRPr="00F00D94">
        <w:rPr>
          <w:rFonts w:ascii="Arial" w:hAnsi="Arial" w:cs="Arial"/>
        </w:rPr>
        <w:t>governmental</w:t>
      </w:r>
      <w:r w:rsidRPr="00F00D94">
        <w:rPr>
          <w:rFonts w:ascii="Arial" w:hAnsi="Arial" w:cs="Arial"/>
          <w:spacing w:val="-12"/>
        </w:rPr>
        <w:t xml:space="preserve"> </w:t>
      </w:r>
      <w:r w:rsidRPr="00F00D94">
        <w:rPr>
          <w:rFonts w:ascii="Arial" w:hAnsi="Arial" w:cs="Arial"/>
        </w:rPr>
        <w:t>unit</w:t>
      </w:r>
      <w:r w:rsidRPr="00F00D94">
        <w:rPr>
          <w:rFonts w:ascii="Arial" w:hAnsi="Arial" w:cs="Arial"/>
          <w:spacing w:val="-9"/>
        </w:rPr>
        <w:t xml:space="preserve"> </w:t>
      </w:r>
      <w:r w:rsidRPr="00F00D94">
        <w:rPr>
          <w:rFonts w:ascii="Arial" w:hAnsi="Arial" w:cs="Arial"/>
        </w:rPr>
        <w:t>complied</w:t>
      </w:r>
      <w:r w:rsidRPr="00F00D94">
        <w:rPr>
          <w:rFonts w:ascii="Arial" w:hAnsi="Arial" w:cs="Arial"/>
          <w:spacing w:val="-8"/>
        </w:rPr>
        <w:t xml:space="preserve"> </w:t>
      </w:r>
      <w:r w:rsidRPr="00F00D94">
        <w:rPr>
          <w:rFonts w:ascii="Arial" w:hAnsi="Arial" w:cs="Arial"/>
        </w:rPr>
        <w:t>with</w:t>
      </w:r>
      <w:r w:rsidRPr="00F00D94">
        <w:rPr>
          <w:rFonts w:ascii="Arial" w:hAnsi="Arial" w:cs="Arial"/>
          <w:spacing w:val="-9"/>
        </w:rPr>
        <w:t xml:space="preserve"> </w:t>
      </w:r>
      <w:r w:rsidRPr="00F00D94">
        <w:rPr>
          <w:rFonts w:ascii="Arial" w:hAnsi="Arial" w:cs="Arial"/>
        </w:rPr>
        <w:t>the</w:t>
      </w:r>
      <w:r w:rsidRPr="00F00D94">
        <w:rPr>
          <w:rFonts w:ascii="Arial" w:hAnsi="Arial" w:cs="Arial"/>
          <w:spacing w:val="-11"/>
        </w:rPr>
        <w:t xml:space="preserve"> </w:t>
      </w:r>
      <w:r w:rsidRPr="00F00D94">
        <w:rPr>
          <w:rFonts w:ascii="Arial" w:hAnsi="Arial" w:cs="Arial"/>
        </w:rPr>
        <w:t>provisions</w:t>
      </w:r>
      <w:r w:rsidRPr="00F00D94">
        <w:rPr>
          <w:rFonts w:ascii="Arial" w:hAnsi="Arial" w:cs="Arial"/>
          <w:spacing w:val="-9"/>
        </w:rPr>
        <w:t xml:space="preserve"> </w:t>
      </w:r>
      <w:r w:rsidRPr="00F00D94">
        <w:rPr>
          <w:rFonts w:ascii="Arial" w:hAnsi="Arial" w:cs="Arial"/>
        </w:rPr>
        <w:t>of</w:t>
      </w:r>
      <w:r w:rsidRPr="00F00D94">
        <w:rPr>
          <w:rFonts w:ascii="Arial" w:hAnsi="Arial" w:cs="Arial"/>
          <w:spacing w:val="-9"/>
        </w:rPr>
        <w:t xml:space="preserve"> </w:t>
      </w:r>
      <w:r w:rsidRPr="00F00D94">
        <w:rPr>
          <w:rFonts w:ascii="Arial" w:hAnsi="Arial" w:cs="Arial"/>
        </w:rPr>
        <w:t>2</w:t>
      </w:r>
      <w:r w:rsidRPr="00F00D94">
        <w:rPr>
          <w:rFonts w:ascii="Arial" w:hAnsi="Arial" w:cs="Arial"/>
          <w:spacing w:val="-8"/>
        </w:rPr>
        <w:t xml:space="preserve"> </w:t>
      </w:r>
      <w:r w:rsidRPr="00F00D94">
        <w:rPr>
          <w:rFonts w:ascii="Arial" w:hAnsi="Arial" w:cs="Arial"/>
        </w:rPr>
        <w:t>CFR</w:t>
      </w:r>
      <w:r w:rsidRPr="00F00D94">
        <w:rPr>
          <w:rFonts w:ascii="Arial" w:hAnsi="Arial" w:cs="Arial"/>
          <w:spacing w:val="-9"/>
        </w:rPr>
        <w:t xml:space="preserve"> </w:t>
      </w:r>
      <w:r w:rsidRPr="00F00D94">
        <w:rPr>
          <w:rFonts w:ascii="Arial" w:hAnsi="Arial" w:cs="Arial"/>
        </w:rPr>
        <w:t>part 200 as</w:t>
      </w:r>
      <w:r w:rsidRPr="00F00D94">
        <w:rPr>
          <w:rFonts w:ascii="Arial" w:hAnsi="Arial" w:cs="Arial"/>
          <w:spacing w:val="-5"/>
        </w:rPr>
        <w:t xml:space="preserve"> </w:t>
      </w:r>
      <w:r w:rsidRPr="00F00D94">
        <w:rPr>
          <w:rFonts w:ascii="Arial" w:hAnsi="Arial" w:cs="Arial"/>
        </w:rPr>
        <w:t>follows:</w:t>
      </w:r>
    </w:p>
    <w:p w14:paraId="7AF2D27B" w14:textId="77777777" w:rsidR="00834098" w:rsidRPr="00F00D94" w:rsidRDefault="00834098" w:rsidP="00834098">
      <w:pPr>
        <w:pStyle w:val="ListParagraph"/>
        <w:numPr>
          <w:ilvl w:val="1"/>
          <w:numId w:val="2"/>
        </w:numPr>
        <w:spacing w:after="240"/>
        <w:jc w:val="both"/>
        <w:rPr>
          <w:rFonts w:ascii="Arial" w:hAnsi="Arial" w:cs="Arial"/>
        </w:rPr>
      </w:pPr>
      <w:r w:rsidRPr="00F00D94">
        <w:rPr>
          <w:rFonts w:ascii="Arial" w:hAnsi="Arial" w:cs="Arial"/>
        </w:rPr>
        <w:t>Charges</w:t>
      </w:r>
      <w:r w:rsidRPr="00F00D94">
        <w:rPr>
          <w:rFonts w:ascii="Arial" w:hAnsi="Arial" w:cs="Arial"/>
          <w:spacing w:val="-8"/>
        </w:rPr>
        <w:t xml:space="preserve"> </w:t>
      </w:r>
      <w:r w:rsidRPr="00F00D94">
        <w:rPr>
          <w:rFonts w:ascii="Arial" w:hAnsi="Arial" w:cs="Arial"/>
        </w:rPr>
        <w:t>to</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2"/>
        </w:rPr>
        <w:t xml:space="preserve"> </w:t>
      </w:r>
      <w:r w:rsidRPr="00F00D94">
        <w:rPr>
          <w:rFonts w:ascii="Arial" w:hAnsi="Arial" w:cs="Arial"/>
        </w:rPr>
        <w:t>allocated</w:t>
      </w:r>
      <w:r w:rsidRPr="00F00D94">
        <w:rPr>
          <w:rFonts w:ascii="Arial" w:hAnsi="Arial" w:cs="Arial"/>
          <w:spacing w:val="-7"/>
        </w:rPr>
        <w:t xml:space="preserve"> </w:t>
      </w:r>
      <w:r w:rsidRPr="00F00D94">
        <w:rPr>
          <w:rFonts w:ascii="Arial" w:hAnsi="Arial" w:cs="Arial"/>
        </w:rPr>
        <w:t>to</w:t>
      </w:r>
      <w:r w:rsidRPr="00F00D94">
        <w:rPr>
          <w:rFonts w:ascii="Arial" w:hAnsi="Arial" w:cs="Arial"/>
          <w:spacing w:val="-9"/>
        </w:rPr>
        <w:t xml:space="preserve"> </w:t>
      </w:r>
      <w:r w:rsidRPr="00F00D94">
        <w:rPr>
          <w:rFonts w:ascii="Arial" w:hAnsi="Arial" w:cs="Arial"/>
        </w:rPr>
        <w:t>Federal</w:t>
      </w:r>
      <w:r w:rsidRPr="00F00D94">
        <w:rPr>
          <w:rFonts w:ascii="Arial" w:hAnsi="Arial" w:cs="Arial"/>
          <w:spacing w:val="-11"/>
        </w:rPr>
        <w:t xml:space="preserve"> </w:t>
      </w:r>
      <w:r w:rsidRPr="00F00D94">
        <w:rPr>
          <w:rFonts w:ascii="Arial" w:hAnsi="Arial" w:cs="Arial"/>
        </w:rPr>
        <w:t>awards</w:t>
      </w:r>
      <w:r w:rsidRPr="00F00D94">
        <w:rPr>
          <w:rFonts w:ascii="Arial" w:hAnsi="Arial" w:cs="Arial"/>
          <w:spacing w:val="-7"/>
        </w:rPr>
        <w:t xml:space="preserve"> </w:t>
      </w:r>
      <w:r w:rsidRPr="00F00D94">
        <w:rPr>
          <w:rFonts w:ascii="Arial" w:hAnsi="Arial" w:cs="Arial"/>
        </w:rPr>
        <w:t>through</w:t>
      </w:r>
      <w:r w:rsidRPr="00F00D94">
        <w:rPr>
          <w:rFonts w:ascii="Arial" w:hAnsi="Arial" w:cs="Arial"/>
          <w:spacing w:val="-7"/>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central</w:t>
      </w:r>
      <w:r w:rsidRPr="00F00D94">
        <w:rPr>
          <w:rFonts w:ascii="Arial" w:hAnsi="Arial" w:cs="Arial"/>
          <w:spacing w:val="-8"/>
        </w:rPr>
        <w:t xml:space="preserve"> </w:t>
      </w:r>
      <w:r w:rsidRPr="00F00D94">
        <w:rPr>
          <w:rFonts w:ascii="Arial" w:hAnsi="Arial" w:cs="Arial"/>
        </w:rPr>
        <w:t>service CAPs were for allowable</w:t>
      </w:r>
      <w:r w:rsidRPr="00F00D94">
        <w:rPr>
          <w:rFonts w:ascii="Arial" w:hAnsi="Arial" w:cs="Arial"/>
          <w:spacing w:val="-2"/>
        </w:rPr>
        <w:t xml:space="preserve"> </w:t>
      </w:r>
      <w:r w:rsidRPr="00F00D94">
        <w:rPr>
          <w:rFonts w:ascii="Arial" w:hAnsi="Arial" w:cs="Arial"/>
        </w:rPr>
        <w:t>costs.</w:t>
      </w:r>
    </w:p>
    <w:p w14:paraId="5081A1E2" w14:textId="77777777" w:rsidR="00834098" w:rsidRPr="00F00D94" w:rsidRDefault="00834098" w:rsidP="00834098">
      <w:pPr>
        <w:pStyle w:val="ListParagraph"/>
        <w:numPr>
          <w:ilvl w:val="1"/>
          <w:numId w:val="2"/>
        </w:numPr>
        <w:spacing w:after="240"/>
        <w:jc w:val="both"/>
        <w:rPr>
          <w:rFonts w:ascii="Arial" w:hAnsi="Arial" w:cs="Arial"/>
        </w:rPr>
      </w:pPr>
      <w:r w:rsidRPr="00F00D94">
        <w:rPr>
          <w:rFonts w:ascii="Arial" w:hAnsi="Arial" w:cs="Arial"/>
        </w:rPr>
        <w:t>The</w:t>
      </w:r>
      <w:r w:rsidRPr="00F00D94">
        <w:rPr>
          <w:rFonts w:ascii="Arial" w:hAnsi="Arial" w:cs="Arial"/>
          <w:spacing w:val="-16"/>
        </w:rPr>
        <w:t xml:space="preserve"> </w:t>
      </w:r>
      <w:r w:rsidRPr="00F00D94">
        <w:rPr>
          <w:rFonts w:ascii="Arial" w:hAnsi="Arial" w:cs="Arial"/>
        </w:rPr>
        <w:t>methods</w:t>
      </w:r>
      <w:r w:rsidRPr="00F00D94">
        <w:rPr>
          <w:rFonts w:ascii="Arial" w:hAnsi="Arial" w:cs="Arial"/>
          <w:spacing w:val="-16"/>
        </w:rPr>
        <w:t xml:space="preserve"> </w:t>
      </w:r>
      <w:r w:rsidRPr="00F00D94">
        <w:rPr>
          <w:rFonts w:ascii="Arial" w:hAnsi="Arial" w:cs="Arial"/>
        </w:rPr>
        <w:t>of</w:t>
      </w:r>
      <w:r w:rsidRPr="00F00D94">
        <w:rPr>
          <w:rFonts w:ascii="Arial" w:hAnsi="Arial" w:cs="Arial"/>
          <w:spacing w:val="-10"/>
        </w:rPr>
        <w:t xml:space="preserve"> </w:t>
      </w:r>
      <w:r w:rsidRPr="00F00D94">
        <w:rPr>
          <w:rFonts w:ascii="Arial" w:hAnsi="Arial" w:cs="Arial"/>
        </w:rPr>
        <w:t>allocating</w:t>
      </w:r>
      <w:r w:rsidRPr="00F00D94">
        <w:rPr>
          <w:rFonts w:ascii="Arial" w:hAnsi="Arial" w:cs="Arial"/>
          <w:spacing w:val="-14"/>
        </w:rPr>
        <w:t xml:space="preserve"> </w:t>
      </w:r>
      <w:r w:rsidRPr="00F00D94">
        <w:rPr>
          <w:rFonts w:ascii="Arial" w:hAnsi="Arial" w:cs="Arial"/>
        </w:rPr>
        <w:t>the</w:t>
      </w:r>
      <w:r w:rsidRPr="00F00D94">
        <w:rPr>
          <w:rFonts w:ascii="Arial" w:hAnsi="Arial" w:cs="Arial"/>
          <w:spacing w:val="-10"/>
        </w:rPr>
        <w:t xml:space="preserve"> </w:t>
      </w:r>
      <w:r w:rsidRPr="00F00D94">
        <w:rPr>
          <w:rFonts w:ascii="Arial" w:hAnsi="Arial" w:cs="Arial"/>
        </w:rPr>
        <w:t>costs</w:t>
      </w:r>
      <w:r w:rsidRPr="00F00D94">
        <w:rPr>
          <w:rFonts w:ascii="Arial" w:hAnsi="Arial" w:cs="Arial"/>
          <w:spacing w:val="-12"/>
        </w:rPr>
        <w:t xml:space="preserve"> </w:t>
      </w:r>
      <w:r w:rsidRPr="00F00D94">
        <w:rPr>
          <w:rFonts w:ascii="Arial" w:hAnsi="Arial" w:cs="Arial"/>
        </w:rPr>
        <w:t>are</w:t>
      </w:r>
      <w:r w:rsidRPr="00F00D94">
        <w:rPr>
          <w:rFonts w:ascii="Arial" w:hAnsi="Arial" w:cs="Arial"/>
          <w:spacing w:val="-12"/>
        </w:rPr>
        <w:t xml:space="preserve"> </w:t>
      </w:r>
      <w:r w:rsidRPr="00F00D94">
        <w:rPr>
          <w:rFonts w:ascii="Arial" w:hAnsi="Arial" w:cs="Arial"/>
        </w:rPr>
        <w:t>in</w:t>
      </w:r>
      <w:r w:rsidRPr="00F00D94">
        <w:rPr>
          <w:rFonts w:ascii="Arial" w:hAnsi="Arial" w:cs="Arial"/>
          <w:spacing w:val="-13"/>
        </w:rPr>
        <w:t xml:space="preserve"> </w:t>
      </w:r>
      <w:r w:rsidRPr="00F00D94">
        <w:rPr>
          <w:rFonts w:ascii="Arial" w:hAnsi="Arial" w:cs="Arial"/>
        </w:rPr>
        <w:t>accordance</w:t>
      </w:r>
      <w:r w:rsidRPr="00F00D94">
        <w:rPr>
          <w:rFonts w:ascii="Arial" w:hAnsi="Arial" w:cs="Arial"/>
          <w:spacing w:val="-12"/>
        </w:rPr>
        <w:t xml:space="preserve"> </w:t>
      </w:r>
      <w:r w:rsidRPr="00F00D94">
        <w:rPr>
          <w:rFonts w:ascii="Arial" w:hAnsi="Arial" w:cs="Arial"/>
        </w:rPr>
        <w:t>with</w:t>
      </w:r>
      <w:r w:rsidRPr="00F00D94">
        <w:rPr>
          <w:rFonts w:ascii="Arial" w:hAnsi="Arial" w:cs="Arial"/>
          <w:spacing w:val="-11"/>
        </w:rPr>
        <w:t xml:space="preserve"> </w:t>
      </w:r>
      <w:r w:rsidRPr="00F00D94">
        <w:rPr>
          <w:rFonts w:ascii="Arial" w:hAnsi="Arial" w:cs="Arial"/>
        </w:rPr>
        <w:t>the</w:t>
      </w:r>
      <w:r w:rsidRPr="00F00D94">
        <w:rPr>
          <w:rFonts w:ascii="Arial" w:hAnsi="Arial" w:cs="Arial"/>
          <w:spacing w:val="-12"/>
        </w:rPr>
        <w:t xml:space="preserve"> </w:t>
      </w:r>
      <w:r w:rsidRPr="00F00D94">
        <w:rPr>
          <w:rFonts w:ascii="Arial" w:hAnsi="Arial" w:cs="Arial"/>
        </w:rPr>
        <w:t>cost</w:t>
      </w:r>
      <w:r w:rsidRPr="00F00D94">
        <w:rPr>
          <w:rFonts w:ascii="Arial" w:hAnsi="Arial" w:cs="Arial"/>
          <w:spacing w:val="-12"/>
        </w:rPr>
        <w:t xml:space="preserve"> </w:t>
      </w:r>
      <w:r w:rsidRPr="00F00D94">
        <w:rPr>
          <w:rFonts w:ascii="Arial" w:hAnsi="Arial" w:cs="Arial"/>
        </w:rPr>
        <w:t xml:space="preserve">principles, and produce an equitable and consistent distribution of costs, which benefit from the central service costs being allocated (e.g., cost allocation bases include all activities, including all State departments and agencies and, </w:t>
      </w:r>
      <w:r w:rsidRPr="00F00D94">
        <w:rPr>
          <w:rFonts w:ascii="Arial" w:hAnsi="Arial" w:cs="Arial"/>
          <w:spacing w:val="-4"/>
        </w:rPr>
        <w:t>if</w:t>
      </w:r>
      <w:r w:rsidRPr="00F00D94">
        <w:rPr>
          <w:rFonts w:ascii="Arial" w:hAnsi="Arial" w:cs="Arial"/>
          <w:spacing w:val="58"/>
        </w:rPr>
        <w:t xml:space="preserve"> </w:t>
      </w:r>
      <w:r w:rsidRPr="00F00D94">
        <w:rPr>
          <w:rFonts w:ascii="Arial" w:hAnsi="Arial" w:cs="Arial"/>
        </w:rPr>
        <w:t>appropriate, non-State organizations which receive</w:t>
      </w:r>
      <w:r w:rsidRPr="00F00D94">
        <w:rPr>
          <w:rFonts w:ascii="Arial" w:hAnsi="Arial" w:cs="Arial"/>
          <w:spacing w:val="-1"/>
        </w:rPr>
        <w:t xml:space="preserve"> </w:t>
      </w:r>
      <w:r w:rsidRPr="00F00D94">
        <w:rPr>
          <w:rFonts w:ascii="Arial" w:hAnsi="Arial" w:cs="Arial"/>
        </w:rPr>
        <w:t>services).</w:t>
      </w:r>
    </w:p>
    <w:p w14:paraId="182C35D8" w14:textId="49E3D80B" w:rsidR="00834098" w:rsidRDefault="00834098" w:rsidP="00DF748E">
      <w:pPr>
        <w:pStyle w:val="ListParagraph"/>
        <w:numPr>
          <w:ilvl w:val="1"/>
          <w:numId w:val="2"/>
        </w:numPr>
        <w:spacing w:after="240"/>
        <w:jc w:val="both"/>
        <w:rPr>
          <w:rFonts w:ascii="Arial" w:hAnsi="Arial" w:cs="Arial"/>
        </w:rPr>
      </w:pPr>
      <w:r w:rsidRPr="00F00D94">
        <w:rPr>
          <w:rFonts w:ascii="Arial" w:hAnsi="Arial" w:cs="Arial"/>
        </w:rPr>
        <w:t>Cost allocations were in accordance with central service CAPs approved by the cognizant agency for indirect costs or, in cases where such plans are not subject to approval, in accordance with the plan on</w:t>
      </w:r>
      <w:r w:rsidRPr="00F00D94">
        <w:rPr>
          <w:rFonts w:ascii="Arial" w:hAnsi="Arial" w:cs="Arial"/>
          <w:spacing w:val="-4"/>
        </w:rPr>
        <w:t xml:space="preserve"> </w:t>
      </w:r>
      <w:r w:rsidRPr="00F00D94">
        <w:rPr>
          <w:rFonts w:ascii="Arial" w:hAnsi="Arial" w:cs="Arial"/>
        </w:rPr>
        <w:t>file.</w:t>
      </w:r>
    </w:p>
    <w:p w14:paraId="44E40134" w14:textId="77816AAC" w:rsidR="00D16225" w:rsidRPr="00D16225" w:rsidRDefault="00D16225" w:rsidP="00D16225">
      <w:pPr>
        <w:spacing w:after="240"/>
        <w:jc w:val="both"/>
        <w:rPr>
          <w:rFonts w:ascii="Arial" w:hAnsi="Arial" w:cs="Arial"/>
          <w:i/>
          <w:sz w:val="20"/>
        </w:rPr>
      </w:pPr>
      <w:r w:rsidRPr="00D16225">
        <w:rPr>
          <w:rFonts w:ascii="Arial" w:hAnsi="Arial" w:cs="Arial"/>
          <w:i/>
          <w:sz w:val="20"/>
        </w:rPr>
        <w:t xml:space="preserve">(Source: </w:t>
      </w:r>
      <w:r w:rsidR="00115AB2" w:rsidRPr="00D16225">
        <w:rPr>
          <w:rFonts w:ascii="Arial" w:hAnsi="Arial" w:cs="Arial"/>
          <w:i/>
          <w:sz w:val="20"/>
        </w:rPr>
        <w:t>202</w:t>
      </w:r>
      <w:r w:rsidR="0072079D">
        <w:rPr>
          <w:rFonts w:ascii="Arial" w:hAnsi="Arial" w:cs="Arial"/>
          <w:i/>
          <w:sz w:val="20"/>
        </w:rPr>
        <w:t>5</w:t>
      </w:r>
      <w:r w:rsidR="00115AB2" w:rsidRPr="00D16225">
        <w:rPr>
          <w:rFonts w:ascii="Arial" w:hAnsi="Arial" w:cs="Arial"/>
          <w:i/>
          <w:sz w:val="20"/>
        </w:rPr>
        <w:t xml:space="preserve"> </w:t>
      </w:r>
      <w:r w:rsidRPr="00D16225">
        <w:rPr>
          <w:rFonts w:ascii="Arial" w:hAnsi="Arial" w:cs="Arial"/>
          <w:i/>
          <w:sz w:val="20"/>
        </w:rPr>
        <w:t>OMB Compliance Supplement Part 3</w:t>
      </w:r>
      <w:r w:rsidR="0072079D">
        <w:rPr>
          <w:rFonts w:ascii="Arial" w:hAnsi="Arial" w:cs="Arial"/>
          <w:i/>
          <w:sz w:val="20"/>
        </w:rPr>
        <w:t>.1</w:t>
      </w:r>
      <w:r w:rsidRPr="00D16225">
        <w:rPr>
          <w:rFonts w:ascii="Arial" w:hAnsi="Arial" w:cs="Arial"/>
          <w:i/>
          <w:sz w:val="20"/>
        </w:rPr>
        <w:t>)</w:t>
      </w:r>
    </w:p>
    <w:p w14:paraId="1269019B" w14:textId="348B29B6" w:rsidR="00E869FC" w:rsidRPr="00E869FC" w:rsidRDefault="00E869FC" w:rsidP="00834098">
      <w:pPr>
        <w:spacing w:after="240"/>
        <w:jc w:val="both"/>
        <w:rPr>
          <w:rFonts w:ascii="Arial" w:hAnsi="Arial" w:cs="Arial"/>
          <w:b/>
          <w:szCs w:val="24"/>
        </w:rPr>
      </w:pPr>
      <w:r w:rsidRPr="00E869FC">
        <w:rPr>
          <w:rStyle w:val="Hyperlink"/>
          <w:rFonts w:cs="Arial"/>
          <w:b/>
          <w:color w:val="auto"/>
          <w:szCs w:val="24"/>
          <w:u w:val="none"/>
        </w:rPr>
        <w:t xml:space="preserve">Control </w:t>
      </w:r>
      <w:r w:rsidR="00826558">
        <w:rPr>
          <w:rStyle w:val="Hyperlink"/>
          <w:rFonts w:cs="Arial"/>
          <w:b/>
          <w:color w:val="auto"/>
          <w:szCs w:val="24"/>
          <w:u w:val="none"/>
        </w:rPr>
        <w:t xml:space="preserve">Documentation and </w:t>
      </w:r>
      <w:r w:rsidRPr="00E869FC">
        <w:rPr>
          <w:rStyle w:val="Hyperlink"/>
          <w:rFonts w:cs="Arial"/>
          <w:b/>
          <w:color w:val="auto"/>
          <w:szCs w:val="24"/>
          <w:u w:val="none"/>
        </w:rPr>
        <w:t>Testing</w:t>
      </w:r>
    </w:p>
    <w:tbl>
      <w:tblPr>
        <w:tblStyle w:val="TableGrid"/>
        <w:tblW w:w="5000" w:type="pct"/>
        <w:tblLook w:val="04A0" w:firstRow="1" w:lastRow="0" w:firstColumn="1" w:lastColumn="0" w:noHBand="0" w:noVBand="1"/>
      </w:tblPr>
      <w:tblGrid>
        <w:gridCol w:w="9350"/>
      </w:tblGrid>
      <w:tr w:rsidR="00834098" w:rsidRPr="00F00D94" w14:paraId="7AD14600" w14:textId="77777777" w:rsidTr="00E14DF1">
        <w:tc>
          <w:tcPr>
            <w:tcW w:w="5000" w:type="pct"/>
          </w:tcPr>
          <w:p w14:paraId="50E65A1F" w14:textId="77777777" w:rsidR="00E869FC" w:rsidRPr="00E869FC" w:rsidRDefault="00E869FC" w:rsidP="00E869FC">
            <w:pPr>
              <w:spacing w:after="240"/>
              <w:jc w:val="both"/>
              <w:rPr>
                <w:rFonts w:cs="Arial"/>
                <w:b/>
                <w:sz w:val="20"/>
              </w:rPr>
            </w:pPr>
            <w:r w:rsidRPr="00E869FC">
              <w:rPr>
                <w:rStyle w:val="Hyperlink"/>
                <w:bCs/>
                <w:i/>
                <w:iCs/>
                <w:color w:val="002060"/>
                <w:sz w:val="20"/>
                <w:u w:val="none"/>
              </w:rPr>
              <w:t>Auditors should clearly document what control procedures address the compliance requirement. Reference or link to documentation or where testing was performed.</w:t>
            </w:r>
          </w:p>
          <w:p w14:paraId="301C2C75"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3E24C23" w14:textId="77777777" w:rsidR="00E869FC" w:rsidRPr="00F00D94" w:rsidRDefault="00E869FC" w:rsidP="00E869FC">
            <w:pPr>
              <w:pStyle w:val="AuditProcedureHeading"/>
              <w:spacing w:after="240"/>
              <w:jc w:val="both"/>
              <w:rPr>
                <w:rFonts w:cs="Arial"/>
                <w:b/>
                <w:bCs/>
                <w:szCs w:val="20"/>
                <w:u w:val="single"/>
              </w:rPr>
            </w:pPr>
          </w:p>
          <w:p w14:paraId="5B8FA711" w14:textId="302873C1" w:rsidR="00E869FC" w:rsidRPr="00F00D94" w:rsidRDefault="00E869FC" w:rsidP="00E869F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109148A" w14:textId="77777777" w:rsidR="00E869FC" w:rsidRPr="00F00D94" w:rsidRDefault="00E869FC" w:rsidP="00E869FC">
            <w:pPr>
              <w:pStyle w:val="AuditProcedureHeading"/>
              <w:spacing w:after="240"/>
              <w:jc w:val="both"/>
              <w:rPr>
                <w:rFonts w:cs="Arial"/>
                <w:b/>
                <w:bCs/>
                <w:szCs w:val="20"/>
                <w:u w:val="single"/>
              </w:rPr>
            </w:pPr>
          </w:p>
          <w:p w14:paraId="4465B20C" w14:textId="77777777" w:rsidR="00E869FC" w:rsidRPr="00F00D94" w:rsidRDefault="00E869FC" w:rsidP="00E869F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C6C4DE1" w14:textId="77777777" w:rsidR="00E869FC" w:rsidRPr="00F00D94" w:rsidRDefault="00E869FC" w:rsidP="00E869FC">
            <w:pPr>
              <w:spacing w:after="240"/>
              <w:jc w:val="both"/>
              <w:rPr>
                <w:rFonts w:ascii="Arial" w:hAnsi="Arial" w:cs="Arial"/>
                <w:b/>
                <w:sz w:val="20"/>
                <w:u w:val="single"/>
              </w:rPr>
            </w:pPr>
          </w:p>
          <w:p w14:paraId="31F46A36" w14:textId="77777777" w:rsidR="00E869FC" w:rsidRPr="00F00D94" w:rsidRDefault="00E869FC" w:rsidP="00E869F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2A97A9A" w14:textId="2D953A32" w:rsidR="00834098" w:rsidRPr="002214AF" w:rsidRDefault="00834098" w:rsidP="00E869FC">
            <w:pPr>
              <w:spacing w:after="240"/>
              <w:jc w:val="both"/>
              <w:rPr>
                <w:rFonts w:ascii="Arial" w:eastAsiaTheme="minorHAnsi" w:hAnsi="Arial" w:cs="Arial"/>
                <w:sz w:val="20"/>
              </w:rPr>
            </w:pPr>
          </w:p>
        </w:tc>
      </w:tr>
    </w:tbl>
    <w:p w14:paraId="497768F5" w14:textId="77777777" w:rsidR="00834098" w:rsidRPr="00F00D94" w:rsidRDefault="00834098" w:rsidP="00834098">
      <w:pPr>
        <w:spacing w:after="240"/>
        <w:jc w:val="both"/>
        <w:rPr>
          <w:rFonts w:ascii="Arial" w:hAnsi="Arial" w:cs="Arial"/>
        </w:rPr>
      </w:pPr>
    </w:p>
    <w:p w14:paraId="05025BB2" w14:textId="66FCF963" w:rsidR="00834098" w:rsidRPr="00F00D94" w:rsidRDefault="00834098" w:rsidP="00834098">
      <w:pPr>
        <w:pStyle w:val="Heading4"/>
        <w:jc w:val="both"/>
        <w:rPr>
          <w:rFonts w:ascii="Arial" w:hAnsi="Arial" w:cs="Arial"/>
          <w:b w:val="0"/>
        </w:rPr>
      </w:pPr>
      <w:r w:rsidRPr="00F00D94">
        <w:rPr>
          <w:rFonts w:ascii="Arial" w:hAnsi="Arial" w:cs="Arial"/>
        </w:rPr>
        <w:lastRenderedPageBreak/>
        <w:t xml:space="preserve">Suggested </w:t>
      </w:r>
      <w:r w:rsidR="00826558">
        <w:rPr>
          <w:rFonts w:ascii="Arial" w:hAnsi="Arial" w:cs="Arial"/>
        </w:rPr>
        <w:t>Substantive</w:t>
      </w:r>
      <w:r w:rsidR="00826558" w:rsidRPr="00F00D94">
        <w:rPr>
          <w:rFonts w:ascii="Arial" w:hAnsi="Arial" w:cs="Arial"/>
        </w:rPr>
        <w:t xml:space="preserve"> </w:t>
      </w:r>
      <w:r w:rsidRPr="00F00D94">
        <w:rPr>
          <w:rFonts w:ascii="Arial" w:hAnsi="Arial" w:cs="Arial"/>
        </w:rPr>
        <w:t>Audit Procedures</w:t>
      </w:r>
      <w:r w:rsidR="00826558">
        <w:rPr>
          <w:rFonts w:ascii="Arial" w:hAnsi="Arial" w:cs="Arial"/>
        </w:rPr>
        <w:t xml:space="preserve"> – Compliance </w:t>
      </w:r>
      <w:r w:rsidRPr="00F00D94">
        <w:rPr>
          <w:rFonts w:ascii="Arial" w:hAnsi="Arial" w:cs="Arial"/>
        </w:rPr>
        <w:t>– State/Local Government-Wide Central Service Costs</w:t>
      </w:r>
    </w:p>
    <w:tbl>
      <w:tblPr>
        <w:tblStyle w:val="TableGrid"/>
        <w:tblW w:w="5000" w:type="pct"/>
        <w:tblLook w:val="04A0" w:firstRow="1" w:lastRow="0" w:firstColumn="1" w:lastColumn="0" w:noHBand="0" w:noVBand="1"/>
      </w:tblPr>
      <w:tblGrid>
        <w:gridCol w:w="9350"/>
      </w:tblGrid>
      <w:tr w:rsidR="00834098" w:rsidRPr="00F00D94" w14:paraId="048DEE54" w14:textId="77777777" w:rsidTr="00E14DF1">
        <w:tc>
          <w:tcPr>
            <w:tcW w:w="5000" w:type="pct"/>
          </w:tcPr>
          <w:p w14:paraId="68393ECF" w14:textId="322DAB18" w:rsidR="00E869FC" w:rsidRPr="00937A9B" w:rsidRDefault="00E869FC" w:rsidP="00E869FC">
            <w:pPr>
              <w:spacing w:after="240"/>
              <w:ind w:hanging="18"/>
              <w:jc w:val="both"/>
              <w:rPr>
                <w:rFonts w:ascii="Arial" w:hAnsi="Arial" w:cs="Arial"/>
                <w:bCs/>
                <w:sz w:val="20"/>
              </w:rPr>
            </w:pPr>
            <w:r w:rsidRPr="00937A9B">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671FADD8" w14:textId="3AE64551" w:rsidR="00CE6F40" w:rsidRPr="00937A9B" w:rsidRDefault="00CE6F40" w:rsidP="00E869FC">
            <w:pPr>
              <w:spacing w:after="240"/>
              <w:ind w:hanging="18"/>
              <w:jc w:val="both"/>
              <w:rPr>
                <w:rFonts w:ascii="Arial" w:hAnsi="Arial" w:cs="Arial"/>
                <w:i/>
                <w:iCs/>
                <w:sz w:val="20"/>
              </w:rPr>
            </w:pPr>
            <w:r w:rsidRPr="00937A9B">
              <w:rPr>
                <w:rFonts w:ascii="Arial" w:hAnsi="Arial" w:cs="Arial"/>
                <w:bCs/>
                <w:i/>
                <w:iCs/>
                <w:sz w:val="20"/>
              </w:rPr>
              <w:t xml:space="preserve">(Source: </w:t>
            </w:r>
            <w:r w:rsidR="00115AB2" w:rsidRPr="00937A9B">
              <w:rPr>
                <w:rFonts w:ascii="Arial" w:hAnsi="Arial" w:cs="Arial"/>
                <w:bCs/>
                <w:i/>
                <w:iCs/>
                <w:sz w:val="20"/>
              </w:rPr>
              <w:t>202</w:t>
            </w:r>
            <w:r w:rsidR="0072079D">
              <w:rPr>
                <w:rFonts w:ascii="Arial" w:hAnsi="Arial" w:cs="Arial"/>
                <w:bCs/>
                <w:i/>
                <w:iCs/>
                <w:sz w:val="20"/>
              </w:rPr>
              <w:t>5</w:t>
            </w:r>
            <w:r w:rsidR="00115AB2" w:rsidRPr="00937A9B">
              <w:rPr>
                <w:rFonts w:ascii="Arial" w:hAnsi="Arial" w:cs="Arial"/>
                <w:bCs/>
                <w:i/>
                <w:iCs/>
                <w:sz w:val="20"/>
              </w:rPr>
              <w:t xml:space="preserve"> </w:t>
            </w:r>
            <w:r w:rsidRPr="00937A9B">
              <w:rPr>
                <w:rFonts w:ascii="Arial" w:hAnsi="Arial" w:cs="Arial"/>
                <w:bCs/>
                <w:i/>
                <w:iCs/>
                <w:sz w:val="20"/>
              </w:rPr>
              <w:t>OMB Compliance Supplement Part 3</w:t>
            </w:r>
            <w:r w:rsidR="0072079D">
              <w:rPr>
                <w:rFonts w:ascii="Arial" w:hAnsi="Arial" w:cs="Arial"/>
                <w:bCs/>
                <w:i/>
                <w:iCs/>
                <w:sz w:val="20"/>
              </w:rPr>
              <w:t>.1</w:t>
            </w:r>
            <w:r w:rsidRPr="00937A9B">
              <w:rPr>
                <w:rFonts w:ascii="Arial" w:hAnsi="Arial" w:cs="Arial"/>
                <w:bCs/>
                <w:i/>
                <w:iCs/>
                <w:sz w:val="20"/>
              </w:rPr>
              <w:t>)</w:t>
            </w:r>
          </w:p>
          <w:p w14:paraId="1E89BB36" w14:textId="0CA9C6B8" w:rsidR="00834098" w:rsidRPr="00F00D94" w:rsidRDefault="00834098" w:rsidP="00E14DF1">
            <w:pPr>
              <w:spacing w:after="240"/>
              <w:ind w:left="720" w:hanging="720"/>
              <w:jc w:val="both"/>
              <w:rPr>
                <w:rFonts w:ascii="Arial" w:hAnsi="Arial" w:cs="Arial"/>
                <w:sz w:val="20"/>
              </w:rPr>
            </w:pPr>
            <w:r w:rsidRPr="00F00D94">
              <w:rPr>
                <w:rFonts w:ascii="Arial" w:hAnsi="Arial" w:cs="Arial"/>
                <w:sz w:val="20"/>
              </w:rPr>
              <w:t>a.</w:t>
            </w:r>
            <w:r w:rsidRPr="00F00D94">
              <w:rPr>
                <w:rFonts w:ascii="Arial" w:hAnsi="Arial" w:cs="Arial"/>
                <w:sz w:val="20"/>
              </w:rPr>
              <w:tab/>
              <w:t>For local governments that are not required to submit the central service CAP and related supporting documentation, the auditor should consider the risk of the reduced level of oversight in designing the nature, timing and extent of compliance testing.</w:t>
            </w:r>
          </w:p>
          <w:p w14:paraId="24DFCA34" w14:textId="77777777" w:rsidR="00834098" w:rsidRPr="00F00D94" w:rsidRDefault="00834098" w:rsidP="00E14DF1">
            <w:pPr>
              <w:spacing w:after="240"/>
              <w:ind w:left="720" w:hanging="720"/>
              <w:jc w:val="both"/>
              <w:rPr>
                <w:rFonts w:ascii="Arial" w:hAnsi="Arial" w:cs="Arial"/>
                <w:sz w:val="20"/>
              </w:rPr>
            </w:pPr>
            <w:r w:rsidRPr="00F00D94">
              <w:rPr>
                <w:rFonts w:ascii="Arial" w:hAnsi="Arial" w:cs="Arial"/>
                <w:sz w:val="20"/>
              </w:rPr>
              <w:t>b.</w:t>
            </w:r>
            <w:r w:rsidRPr="00F00D94">
              <w:rPr>
                <w:rFonts w:ascii="Arial" w:hAnsi="Arial" w:cs="Arial"/>
                <w:i/>
                <w:iCs/>
                <w:sz w:val="20"/>
              </w:rPr>
              <w:tab/>
              <w:t>General Audit Procedures for State/Local Government-Wide Central Service CAPs</w:t>
            </w:r>
            <w:r w:rsidRPr="00F00D94">
              <w:rPr>
                <w:rFonts w:ascii="Arial" w:hAnsi="Arial" w:cs="Arial"/>
                <w:sz w:val="20"/>
              </w:rPr>
              <w:t xml:space="preserve"> – The following procedures apply to charges to cost pools that are allocated wholly or partially to Federal awards or used in formulating indirect cost rates used for recovering indirect costs under Federal awards.</w:t>
            </w:r>
          </w:p>
          <w:p w14:paraId="385D0096"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 xml:space="preserve">(1) </w:t>
            </w:r>
            <w:r w:rsidRPr="00F00D94">
              <w:rPr>
                <w:rFonts w:ascii="Arial" w:hAnsi="Arial" w:cs="Arial"/>
                <w:sz w:val="20"/>
              </w:rPr>
              <w:tab/>
              <w:t>Test a sample of transactions for conformance with:</w:t>
            </w:r>
          </w:p>
          <w:p w14:paraId="62EC5035"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(a) </w:t>
            </w:r>
            <w:r w:rsidRPr="00F00D94">
              <w:rPr>
                <w:rFonts w:ascii="Arial" w:hAnsi="Arial" w:cs="Arial"/>
                <w:sz w:val="20"/>
              </w:rPr>
              <w:tab/>
              <w:t>The criteria contained in the “Basic Considerations” section of 2 CFR Part 200, Subpart E (200.402 – 200.411).</w:t>
            </w:r>
          </w:p>
          <w:p w14:paraId="1ECDF9AB"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(b) </w:t>
            </w:r>
            <w:r w:rsidRPr="00F00D94">
              <w:rPr>
                <w:rFonts w:ascii="Arial" w:hAnsi="Arial" w:cs="Arial"/>
                <w:sz w:val="20"/>
              </w:rPr>
              <w:tab/>
              <w:t>The principles to establish allowability or unallowability of certain items of cost (2 CFR 200.420 – 200.476).</w:t>
            </w:r>
          </w:p>
          <w:p w14:paraId="5EEFC4A0" w14:textId="2EFDFF95"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2F570E1C" w14:textId="77777777" w:rsidR="00834098" w:rsidRPr="00F00D94" w:rsidRDefault="00834098" w:rsidP="00E14DF1">
            <w:pPr>
              <w:spacing w:after="240"/>
              <w:ind w:left="72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State/Local Government-Wide Central Service CAPs</w:t>
            </w:r>
          </w:p>
          <w:p w14:paraId="39C515CC"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(1)</w:t>
            </w:r>
            <w:r w:rsidRPr="00F00D94">
              <w:rPr>
                <w:rFonts w:ascii="Arial" w:hAnsi="Arial" w:cs="Arial"/>
                <w:sz w:val="20"/>
              </w:rPr>
              <w:tab/>
              <w:t>Verify that the central service CAP includes the required documentation in accordance with 2 CFR Part 200 Appendix V, paragraph E.</w:t>
            </w:r>
          </w:p>
          <w:p w14:paraId="58E213D7" w14:textId="77777777" w:rsidR="00834098" w:rsidRPr="00F00D94" w:rsidRDefault="00834098" w:rsidP="00E14DF1">
            <w:pPr>
              <w:spacing w:after="240"/>
              <w:ind w:left="1440" w:hanging="720"/>
              <w:jc w:val="both"/>
              <w:rPr>
                <w:rFonts w:ascii="Arial" w:hAnsi="Arial" w:cs="Arial"/>
                <w:i/>
                <w:iCs/>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State/Local Government-Wide Central Service CAPs – Allocated Section I Costs</w:t>
            </w:r>
          </w:p>
          <w:p w14:paraId="74200C0C"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(a) </w:t>
            </w:r>
            <w:r w:rsidRPr="00F00D94">
              <w:rPr>
                <w:rFonts w:ascii="Arial" w:hAnsi="Arial" w:cs="Arial"/>
                <w:sz w:val="20"/>
              </w:rPr>
              <w:tab/>
              <w:t>If new allocated central service costs were added, review the justification for including the item as Section I costs to ascertain if the costs are allowable (e.g., if costs benefit Federal awards).</w:t>
            </w:r>
          </w:p>
          <w:p w14:paraId="0C7B2C9C"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(b) </w:t>
            </w:r>
            <w:r w:rsidRPr="00F00D94">
              <w:rPr>
                <w:rFonts w:ascii="Arial" w:hAnsi="Arial" w:cs="Arial"/>
                <w:sz w:val="20"/>
              </w:rPr>
              <w:tab/>
              <w:t>Identify the central service costs that incurred a significant increase in actual costs from the prior year’s costs.  Test a sample of transactions to verify the allowability of the costs.</w:t>
            </w:r>
          </w:p>
          <w:p w14:paraId="6C6B2713" w14:textId="77777777" w:rsidR="00834098" w:rsidRPr="00F00D94" w:rsidRDefault="00834098" w:rsidP="00E14DF1">
            <w:pPr>
              <w:tabs>
                <w:tab w:val="left" w:pos="1080"/>
                <w:tab w:val="left" w:pos="1260"/>
                <w:tab w:val="left" w:pos="2880"/>
              </w:tabs>
              <w:spacing w:after="240"/>
              <w:ind w:left="2160" w:hanging="720"/>
              <w:jc w:val="both"/>
              <w:rPr>
                <w:rFonts w:ascii="Arial" w:hAnsi="Arial" w:cs="Arial"/>
                <w:sz w:val="20"/>
              </w:rPr>
            </w:pPr>
            <w:r w:rsidRPr="00F00D94">
              <w:rPr>
                <w:rFonts w:ascii="Arial" w:hAnsi="Arial" w:cs="Arial"/>
                <w:sz w:val="20"/>
              </w:rPr>
              <w:t>(c)</w:t>
            </w:r>
            <w:r w:rsidRPr="00F00D94">
              <w:rPr>
                <w:rFonts w:ascii="Arial" w:hAnsi="Arial" w:cs="Arial"/>
                <w:sz w:val="20"/>
              </w:rPr>
              <w:tab/>
              <w:t>Ascertain if the bases used to allocate costs are appropriate, i.e., costs are allocated in accordance with relative benefits received.</w:t>
            </w:r>
          </w:p>
          <w:p w14:paraId="65C6EBE7"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(d) </w:t>
            </w:r>
            <w:r w:rsidRPr="00F00D94">
              <w:rPr>
                <w:rFonts w:ascii="Arial" w:hAnsi="Arial" w:cs="Arial"/>
                <w:sz w:val="20"/>
              </w:rPr>
              <w:tab/>
              <w:t xml:space="preserve">Ascertain if the proposed bases include all activities that benefit from the central service costs being allocated, including all users that receive the services.  For example, the State-wide central service CAP should allocate costs to all </w:t>
            </w:r>
            <w:r w:rsidRPr="00F00D94">
              <w:rPr>
                <w:rFonts w:ascii="Arial" w:hAnsi="Arial" w:cs="Arial"/>
                <w:sz w:val="20"/>
              </w:rPr>
              <w:lastRenderedPageBreak/>
              <w:t>benefiting State departments and agencies, and, where appropriate, non-State organizations, such as local government agencies.</w:t>
            </w:r>
          </w:p>
          <w:p w14:paraId="1B54DB41" w14:textId="77777777" w:rsidR="00834098" w:rsidRPr="00F00D94" w:rsidRDefault="00834098" w:rsidP="00E14DF1">
            <w:pPr>
              <w:tabs>
                <w:tab w:val="left" w:pos="1080"/>
                <w:tab w:val="left" w:pos="1260"/>
                <w:tab w:val="left" w:pos="2880"/>
              </w:tabs>
              <w:spacing w:after="240"/>
              <w:ind w:left="216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Perform an analysis of the allocation bases by selecting agencies with significant Federal awards to determine if the percentage of costs allocated to these agencies has increased from the prior year.  For those selected agencies with significant allocation percentage increases, ascertain if the data included in the bases are current and accurate. </w:t>
            </w:r>
          </w:p>
          <w:p w14:paraId="216C1A64" w14:textId="77777777" w:rsidR="00834098" w:rsidRPr="00F00D94" w:rsidRDefault="00834098" w:rsidP="00E14DF1">
            <w:pPr>
              <w:tabs>
                <w:tab w:val="left" w:pos="1080"/>
                <w:tab w:val="left" w:pos="1260"/>
                <w:tab w:val="left" w:pos="2880"/>
              </w:tabs>
              <w:spacing w:after="240"/>
              <w:ind w:left="216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Verify that carry-forward adjustments are properly computed in accordance with 2 CFR Part 200, Appendix V, paragraph G.3.  </w:t>
            </w:r>
          </w:p>
          <w:p w14:paraId="4B3D36A2" w14:textId="77777777" w:rsidR="00834098" w:rsidRPr="00F00D94" w:rsidRDefault="00834098" w:rsidP="00E14DF1">
            <w:pPr>
              <w:spacing w:after="240"/>
              <w:ind w:left="144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Testing of the State/Local Government-Wide Central Service CAPs – Billed Section II Costs</w:t>
            </w:r>
          </w:p>
          <w:p w14:paraId="0665C98F"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(a) </w:t>
            </w:r>
            <w:r w:rsidRPr="00F00D94">
              <w:rPr>
                <w:rFonts w:ascii="Arial" w:hAnsi="Arial" w:cs="Arial"/>
                <w:sz w:val="20"/>
              </w:rPr>
              <w:tab/>
              <w:t xml:space="preserve">For billed central service activities accounted for in separate funds (e.g., internal service funds), ascertain if: </w:t>
            </w:r>
          </w:p>
          <w:p w14:paraId="09F22B39" w14:textId="77777777" w:rsidR="00834098" w:rsidRPr="00F00D94" w:rsidRDefault="00834098" w:rsidP="00E14DF1">
            <w:pPr>
              <w:spacing w:after="240"/>
              <w:ind w:left="2880" w:hanging="720"/>
              <w:jc w:val="both"/>
              <w:rPr>
                <w:rFonts w:ascii="Arial" w:hAnsi="Arial" w:cs="Arial"/>
                <w:sz w:val="20"/>
              </w:rPr>
            </w:pPr>
            <w:r w:rsidRPr="00F00D94">
              <w:rPr>
                <w:rFonts w:ascii="Arial" w:hAnsi="Arial" w:cs="Arial"/>
                <w:sz w:val="20"/>
              </w:rPr>
              <w:t>(i)</w:t>
            </w:r>
            <w:r w:rsidRPr="00F00D94">
              <w:rPr>
                <w:rFonts w:ascii="Arial" w:hAnsi="Arial" w:cs="Arial"/>
                <w:sz w:val="20"/>
              </w:rPr>
              <w:tab/>
              <w:t>Retained earnings/fund balances (including reserves) are computed in accordance with the cost principles;</w:t>
            </w:r>
          </w:p>
          <w:p w14:paraId="2A70ECFF" w14:textId="77777777" w:rsidR="00834098" w:rsidRPr="00F00D94" w:rsidRDefault="00834098" w:rsidP="00E14DF1">
            <w:pPr>
              <w:spacing w:after="240"/>
              <w:ind w:left="2880" w:hanging="720"/>
              <w:jc w:val="both"/>
              <w:rPr>
                <w:rFonts w:ascii="Arial" w:hAnsi="Arial" w:cs="Arial"/>
                <w:sz w:val="20"/>
              </w:rPr>
            </w:pPr>
            <w:r w:rsidRPr="00F00D94">
              <w:rPr>
                <w:rFonts w:ascii="Arial" w:hAnsi="Arial" w:cs="Arial"/>
                <w:sz w:val="20"/>
              </w:rPr>
              <w:t>(ii)</w:t>
            </w:r>
            <w:r w:rsidRPr="00F00D94">
              <w:rPr>
                <w:rFonts w:ascii="Arial" w:hAnsi="Arial" w:cs="Arial"/>
                <w:sz w:val="20"/>
              </w:rPr>
              <w:tab/>
              <w:t>Working capital reserves are not excessive in amount (generally not greater than 60 calendar days for cash expenses for normal operations incurred for the period exclusive of depreciation, capital costs, and debt principal costs); and</w:t>
            </w:r>
          </w:p>
          <w:p w14:paraId="4940AA75" w14:textId="77777777" w:rsidR="00834098" w:rsidRPr="00F00D94" w:rsidRDefault="00834098" w:rsidP="00E14DF1">
            <w:pPr>
              <w:spacing w:after="240"/>
              <w:ind w:left="2880" w:hanging="720"/>
              <w:jc w:val="both"/>
              <w:rPr>
                <w:rFonts w:ascii="Arial" w:hAnsi="Arial" w:cs="Arial"/>
                <w:sz w:val="20"/>
              </w:rPr>
            </w:pPr>
            <w:r w:rsidRPr="00F00D94">
              <w:rPr>
                <w:rFonts w:ascii="Arial" w:hAnsi="Arial" w:cs="Arial"/>
                <w:sz w:val="20"/>
              </w:rPr>
              <w:t>(iii)</w:t>
            </w:r>
            <w:r w:rsidRPr="00F00D94">
              <w:rPr>
                <w:rFonts w:ascii="Arial" w:hAnsi="Arial" w:cs="Arial"/>
                <w:sz w:val="20"/>
              </w:rPr>
              <w:tab/>
              <w:t>Adjustments were made when there is a difference between the revenue generated by each billed service and the actual allowable costs.</w:t>
            </w:r>
          </w:p>
          <w:p w14:paraId="50D830B5" w14:textId="77777777" w:rsidR="00834098" w:rsidRPr="00F00D94" w:rsidRDefault="00834098" w:rsidP="00E14DF1">
            <w:pPr>
              <w:spacing w:after="240"/>
              <w:ind w:left="2160" w:hanging="720"/>
              <w:jc w:val="both"/>
              <w:rPr>
                <w:rFonts w:ascii="Arial" w:hAnsi="Arial" w:cs="Arial"/>
                <w:sz w:val="20"/>
              </w:rPr>
            </w:pPr>
            <w:r w:rsidRPr="00F00D94">
              <w:rPr>
                <w:rFonts w:ascii="Arial" w:hAnsi="Arial" w:cs="Arial"/>
                <w:sz w:val="20"/>
              </w:rPr>
              <w:t>(b)</w:t>
            </w:r>
            <w:r w:rsidRPr="00F00D94">
              <w:rPr>
                <w:rFonts w:ascii="Arial" w:hAnsi="Arial" w:cs="Arial"/>
                <w:sz w:val="20"/>
              </w:rPr>
              <w:tab/>
              <w:t>Test to ensure that all users of services are billed in a consistent manner. For example, examine selected billings to determine if all users (including users outside the governmental unit) are charged the same rate for the same service.</w:t>
            </w:r>
          </w:p>
          <w:p w14:paraId="10D1604E" w14:textId="77777777" w:rsidR="00834098" w:rsidRPr="00F00D94" w:rsidRDefault="00834098" w:rsidP="00E14DF1">
            <w:pPr>
              <w:spacing w:after="240"/>
              <w:ind w:left="2160" w:hanging="720"/>
              <w:jc w:val="both"/>
              <w:rPr>
                <w:rFonts w:ascii="Arial" w:hAnsi="Arial" w:cs="Arial"/>
                <w:sz w:val="20"/>
              </w:rPr>
            </w:pPr>
            <w:r w:rsidRPr="00F00D94">
              <w:rPr>
                <w:rFonts w:ascii="Arial" w:hAnsi="Arial" w:cs="Arial"/>
                <w:sz w:val="20"/>
              </w:rPr>
              <w:t>(c)</w:t>
            </w:r>
            <w:r w:rsidRPr="00F00D94">
              <w:rPr>
                <w:rFonts w:ascii="Arial" w:hAnsi="Arial" w:cs="Arial"/>
                <w:sz w:val="20"/>
              </w:rPr>
              <w:tab/>
              <w:t>Test that billing rates exclude unallowable costs, in accordance with the cost principles and Federal statutes.</w:t>
            </w:r>
          </w:p>
          <w:p w14:paraId="4B684DED"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(d) </w:t>
            </w:r>
            <w:r w:rsidRPr="00F00D94">
              <w:rPr>
                <w:rFonts w:ascii="Arial" w:hAnsi="Arial" w:cs="Arial"/>
                <w:sz w:val="20"/>
              </w:rPr>
              <w:tab/>
              <w:t>Test, where billed central service activities are funded through general revenue appropriations, that the billing rates (or charges) were developed based on actual costs and were adjusted to eliminate profits.</w:t>
            </w:r>
          </w:p>
          <w:p w14:paraId="7B8262C6" w14:textId="77777777" w:rsidR="00834098" w:rsidRPr="00F00D94" w:rsidRDefault="00834098" w:rsidP="00E14DF1">
            <w:pPr>
              <w:tabs>
                <w:tab w:val="left" w:pos="2880"/>
              </w:tabs>
              <w:spacing w:after="240"/>
              <w:ind w:left="2160" w:hanging="720"/>
              <w:jc w:val="both"/>
              <w:rPr>
                <w:rFonts w:ascii="Arial" w:hAnsi="Arial" w:cs="Arial"/>
                <w:sz w:val="20"/>
              </w:rPr>
            </w:pPr>
            <w:r w:rsidRPr="00F00D94">
              <w:rPr>
                <w:rFonts w:ascii="Arial" w:hAnsi="Arial" w:cs="Arial"/>
                <w:sz w:val="20"/>
              </w:rPr>
              <w:t xml:space="preserve">(e) </w:t>
            </w:r>
            <w:r w:rsidRPr="00F00D94">
              <w:rPr>
                <w:rFonts w:ascii="Arial" w:hAnsi="Arial" w:cs="Arial"/>
                <w:sz w:val="20"/>
              </w:rPr>
              <w:tab/>
              <w:t>For self-insurance and pension funds, ascertain if the fund contributions are appropriate for such activities as indicated in the current actuarial report.</w:t>
            </w:r>
          </w:p>
          <w:p w14:paraId="5414326D" w14:textId="62CAFD02" w:rsidR="00834098" w:rsidRDefault="00834098" w:rsidP="00E14DF1">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 xml:space="preserve">(f) </w:t>
            </w:r>
            <w:r w:rsidRPr="00F00D94">
              <w:rPr>
                <w:rFonts w:ascii="Arial" w:hAnsi="Arial" w:cs="Arial"/>
                <w:sz w:val="20"/>
              </w:rPr>
              <w:tab/>
              <w:t>Determine if refunds were made to the Federal Government for its share of funds transferred from the self-insurance reserve to other accounts, including imputed or earned interest from the date of the transfer.</w:t>
            </w:r>
          </w:p>
          <w:p w14:paraId="2059242C" w14:textId="77777777" w:rsidR="00964DA9" w:rsidRPr="00F00D94" w:rsidRDefault="00964DA9" w:rsidP="00E14DF1">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p>
          <w:p w14:paraId="25DF5A0A" w14:textId="2372AA4F" w:rsidR="00834098" w:rsidRPr="00F00D94" w:rsidRDefault="00C81992" w:rsidP="00D31807">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6ED83B60" w14:textId="77777777" w:rsidR="000A1D90" w:rsidRDefault="000A1D90"/>
    <w:sectPr w:rsidR="000A1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60A06"/>
    <w:multiLevelType w:val="hybridMultilevel"/>
    <w:tmpl w:val="C220DC00"/>
    <w:lvl w:ilvl="0" w:tplc="A036E58C">
      <w:start w:val="1"/>
      <w:numFmt w:val="lowerLetter"/>
      <w:lvlText w:val="%1."/>
      <w:lvlJc w:val="left"/>
      <w:pPr>
        <w:ind w:left="720" w:hanging="360"/>
      </w:pPr>
      <w:rPr>
        <w:i w:val="0"/>
        <w:iCs/>
      </w:rPr>
    </w:lvl>
    <w:lvl w:ilvl="1" w:tplc="C34E0518">
      <w:start w:val="1"/>
      <w:numFmt w:val="decimal"/>
      <w:lvlText w:val="(%2)"/>
      <w:lvlJc w:val="left"/>
      <w:pPr>
        <w:ind w:left="1440" w:hanging="360"/>
      </w:pPr>
      <w:rPr>
        <w:rFonts w:ascii="Arial" w:eastAsia="Arial" w:hAnsi="Arial" w:cs="Arial" w:hint="default"/>
        <w:w w:val="99"/>
        <w:sz w:val="20"/>
        <w:szCs w:val="20"/>
        <w:lang w:val="en-US" w:eastAsia="en-US" w:bidi="en-US"/>
      </w:r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712912CE"/>
    <w:multiLevelType w:val="hybridMultilevel"/>
    <w:tmpl w:val="F3CA2C46"/>
    <w:lvl w:ilvl="0" w:tplc="04090019">
      <w:start w:val="1"/>
      <w:numFmt w:val="lowerLetter"/>
      <w:lvlText w:val="%1."/>
      <w:lvlJc w:val="left"/>
      <w:pPr>
        <w:ind w:left="720" w:hanging="360"/>
      </w:pPr>
    </w:lvl>
    <w:lvl w:ilvl="1" w:tplc="C34E0518">
      <w:start w:val="1"/>
      <w:numFmt w:val="decimal"/>
      <w:lvlText w:val="(%2)"/>
      <w:lvlJc w:val="left"/>
      <w:pPr>
        <w:ind w:left="1440" w:hanging="360"/>
      </w:pPr>
      <w:rPr>
        <w:rFonts w:ascii="Arial" w:eastAsia="Arial" w:hAnsi="Arial" w:cs="Arial" w:hint="default"/>
        <w:w w:val="99"/>
        <w:sz w:val="20"/>
        <w:szCs w:val="20"/>
        <w:lang w:val="en-US" w:eastAsia="en-US" w:bidi="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032987">
    <w:abstractNumId w:val="1"/>
  </w:num>
  <w:num w:numId="2" w16cid:durableId="61829153">
    <w:abstractNumId w:val="2"/>
  </w:num>
  <w:num w:numId="3" w16cid:durableId="173030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98"/>
    <w:rsid w:val="000666AF"/>
    <w:rsid w:val="000769F5"/>
    <w:rsid w:val="000A1D90"/>
    <w:rsid w:val="00115AB2"/>
    <w:rsid w:val="00181D62"/>
    <w:rsid w:val="00201081"/>
    <w:rsid w:val="00254A1D"/>
    <w:rsid w:val="00264FF1"/>
    <w:rsid w:val="00282FA2"/>
    <w:rsid w:val="002B33AA"/>
    <w:rsid w:val="00303B75"/>
    <w:rsid w:val="00417AE8"/>
    <w:rsid w:val="004211B3"/>
    <w:rsid w:val="0044282B"/>
    <w:rsid w:val="004622EA"/>
    <w:rsid w:val="005047CC"/>
    <w:rsid w:val="005A54B7"/>
    <w:rsid w:val="006A3966"/>
    <w:rsid w:val="006E7484"/>
    <w:rsid w:val="0072079D"/>
    <w:rsid w:val="00826558"/>
    <w:rsid w:val="00834098"/>
    <w:rsid w:val="008515FF"/>
    <w:rsid w:val="00937A9B"/>
    <w:rsid w:val="00964DA9"/>
    <w:rsid w:val="00965BB5"/>
    <w:rsid w:val="009E030A"/>
    <w:rsid w:val="00A11F1E"/>
    <w:rsid w:val="00A46E3E"/>
    <w:rsid w:val="00A74E09"/>
    <w:rsid w:val="00AC6E10"/>
    <w:rsid w:val="00C81992"/>
    <w:rsid w:val="00CE6F40"/>
    <w:rsid w:val="00D16225"/>
    <w:rsid w:val="00D21339"/>
    <w:rsid w:val="00D31807"/>
    <w:rsid w:val="00DF748E"/>
    <w:rsid w:val="00E869FC"/>
    <w:rsid w:val="00EC5241"/>
    <w:rsid w:val="00ED6741"/>
    <w:rsid w:val="00F3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A6E9"/>
  <w15:chartTrackingRefBased/>
  <w15:docId w15:val="{AD3B23E4-ACB0-410F-B19C-764AB387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98"/>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834098"/>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34098"/>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4098"/>
    <w:rPr>
      <w:rFonts w:ascii="Arial" w:eastAsia="Times New Roman" w:hAnsi="Arial" w:cs="Times New Roman"/>
      <w:b/>
      <w:sz w:val="24"/>
      <w:szCs w:val="20"/>
    </w:rPr>
  </w:style>
  <w:style w:type="character" w:customStyle="1" w:styleId="Heading4Char">
    <w:name w:val="Heading 4 Char"/>
    <w:basedOn w:val="DefaultParagraphFont"/>
    <w:link w:val="Heading4"/>
    <w:rsid w:val="00834098"/>
    <w:rPr>
      <w:rFonts w:ascii="Times New Roman" w:eastAsia="Times New Roman" w:hAnsi="Times New Roman" w:cs="Times New Roman"/>
      <w:b/>
      <w:bCs/>
      <w:sz w:val="24"/>
      <w:szCs w:val="24"/>
    </w:rPr>
  </w:style>
  <w:style w:type="paragraph" w:styleId="ListParagraph">
    <w:name w:val="List Paragraph"/>
    <w:basedOn w:val="Normal"/>
    <w:uiPriority w:val="1"/>
    <w:qFormat/>
    <w:rsid w:val="00834098"/>
    <w:pPr>
      <w:suppressAutoHyphens/>
      <w:autoSpaceDE w:val="0"/>
      <w:autoSpaceDN w:val="0"/>
      <w:adjustRightInd w:val="0"/>
      <w:ind w:left="720"/>
    </w:pPr>
    <w:rPr>
      <w:sz w:val="20"/>
    </w:rPr>
  </w:style>
  <w:style w:type="table" w:styleId="TableGrid">
    <w:name w:val="Table Grid"/>
    <w:basedOn w:val="TableNormal"/>
    <w:uiPriority w:val="59"/>
    <w:rsid w:val="008340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834098"/>
    <w:pPr>
      <w:spacing w:after="60"/>
    </w:pPr>
    <w:rPr>
      <w:rFonts w:ascii="Arial" w:eastAsia="Calibri" w:hAnsi="Arial"/>
      <w:sz w:val="20"/>
      <w:szCs w:val="22"/>
    </w:rPr>
  </w:style>
  <w:style w:type="paragraph" w:customStyle="1" w:styleId="APStepItem">
    <w:name w:val="AP_StepItem"/>
    <w:basedOn w:val="Normal"/>
    <w:locked/>
    <w:rsid w:val="00834098"/>
    <w:pPr>
      <w:numPr>
        <w:numId w:val="1"/>
      </w:numPr>
      <w:spacing w:after="60"/>
      <w:jc w:val="both"/>
    </w:pPr>
    <w:rPr>
      <w:rFonts w:ascii="Arial" w:eastAsia="Calibri" w:hAnsi="Arial"/>
      <w:sz w:val="20"/>
      <w:szCs w:val="22"/>
    </w:rPr>
  </w:style>
  <w:style w:type="character" w:styleId="Hyperlink">
    <w:name w:val="Hyperlink"/>
    <w:uiPriority w:val="99"/>
    <w:rsid w:val="00E869FC"/>
    <w:rPr>
      <w:rFonts w:ascii="Arial" w:hAnsi="Arial"/>
      <w:color w:val="0000FF"/>
      <w:u w:val="single"/>
    </w:rPr>
  </w:style>
  <w:style w:type="paragraph" w:styleId="CommentText">
    <w:name w:val="annotation text"/>
    <w:basedOn w:val="Normal"/>
    <w:link w:val="CommentTextChar"/>
    <w:rsid w:val="00E869FC"/>
    <w:pPr>
      <w:autoSpaceDE w:val="0"/>
      <w:autoSpaceDN w:val="0"/>
      <w:adjustRightInd w:val="0"/>
      <w:spacing w:after="240"/>
    </w:pPr>
    <w:rPr>
      <w:sz w:val="20"/>
    </w:rPr>
  </w:style>
  <w:style w:type="character" w:customStyle="1" w:styleId="CommentTextChar">
    <w:name w:val="Comment Text Char"/>
    <w:basedOn w:val="DefaultParagraphFont"/>
    <w:link w:val="CommentText"/>
    <w:rsid w:val="00E869FC"/>
    <w:rPr>
      <w:rFonts w:ascii="Times New Roman" w:eastAsia="Times New Roman" w:hAnsi="Times New Roman" w:cs="Times New Roman"/>
      <w:sz w:val="20"/>
      <w:szCs w:val="20"/>
    </w:rPr>
  </w:style>
  <w:style w:type="character" w:styleId="CommentReference">
    <w:name w:val="annotation reference"/>
    <w:rsid w:val="00E869FC"/>
    <w:rPr>
      <w:sz w:val="16"/>
      <w:szCs w:val="16"/>
    </w:rPr>
  </w:style>
  <w:style w:type="paragraph" w:styleId="Revision">
    <w:name w:val="Revision"/>
    <w:hidden/>
    <w:uiPriority w:val="99"/>
    <w:semiHidden/>
    <w:rsid w:val="009E030A"/>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9E030A"/>
    <w:pPr>
      <w:autoSpaceDE/>
      <w:autoSpaceDN/>
      <w:adjustRightInd/>
      <w:spacing w:after="0"/>
    </w:pPr>
    <w:rPr>
      <w:b/>
      <w:bCs/>
    </w:rPr>
  </w:style>
  <w:style w:type="character" w:customStyle="1" w:styleId="CommentSubjectChar">
    <w:name w:val="Comment Subject Char"/>
    <w:basedOn w:val="CommentTextChar"/>
    <w:link w:val="CommentSubject"/>
    <w:uiPriority w:val="99"/>
    <w:semiHidden/>
    <w:rsid w:val="009E03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14047</CharactersWithSpaces>
  <SharedDoc>false</SharedDoc>
  <HyperlinkBase>http://ohioauditor.gov/ipa/UniformGuidance/2025/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Amanda M. Stidham</cp:lastModifiedBy>
  <cp:revision>7</cp:revision>
  <dcterms:created xsi:type="dcterms:W3CDTF">2025-10-30T13:34:00Z</dcterms:created>
  <dcterms:modified xsi:type="dcterms:W3CDTF">2025-10-31T13:24:00Z</dcterms:modified>
</cp:coreProperties>
</file>