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D39C" w14:textId="704DDE26" w:rsidR="008A629D" w:rsidRPr="00F00D94" w:rsidRDefault="00B86ADC" w:rsidP="008A629D">
      <w:pPr>
        <w:pStyle w:val="Heading3"/>
        <w:jc w:val="both"/>
        <w:rPr>
          <w:rFonts w:cs="Arial"/>
          <w:b w:val="0"/>
        </w:rPr>
      </w:pPr>
      <w:bookmarkStart w:id="0" w:name="_Toc110413023"/>
      <w:r>
        <w:rPr>
          <w:rFonts w:cs="Arial"/>
        </w:rPr>
        <w:t xml:space="preserve">De Minimis </w:t>
      </w:r>
      <w:r w:rsidR="008A629D" w:rsidRPr="00F00D94">
        <w:rPr>
          <w:rFonts w:cs="Arial"/>
        </w:rPr>
        <w:t>Indirect Cost Rate</w:t>
      </w:r>
      <w:bookmarkEnd w:id="0"/>
    </w:p>
    <w:p w14:paraId="0FAACE08" w14:textId="6751C160" w:rsidR="008A629D" w:rsidRPr="00F00D94" w:rsidRDefault="008A629D" w:rsidP="008A629D">
      <w:pPr>
        <w:spacing w:after="240"/>
        <w:jc w:val="both"/>
        <w:rPr>
          <w:rFonts w:ascii="Arial" w:hAnsi="Arial" w:cs="Arial"/>
          <w:sz w:val="20"/>
        </w:rPr>
      </w:pPr>
      <w:r w:rsidRPr="00F00D94">
        <w:rPr>
          <w:rFonts w:ascii="Arial" w:hAnsi="Arial" w:cs="Arial"/>
          <w:sz w:val="20"/>
        </w:rPr>
        <w:t xml:space="preserve">Except for those non-Federal entities described in 2 CFR Part 200, Appendix VII, paragraph D.1.b, if a non-Federal entity </w:t>
      </w:r>
      <w:r w:rsidR="00611752">
        <w:rPr>
          <w:rFonts w:ascii="Arial" w:hAnsi="Arial" w:cs="Arial"/>
          <w:sz w:val="20"/>
        </w:rPr>
        <w:t>does not have a current</w:t>
      </w:r>
      <w:r w:rsidRPr="00F00D94">
        <w:rPr>
          <w:rFonts w:ascii="Arial" w:hAnsi="Arial" w:cs="Arial"/>
          <w:sz w:val="20"/>
        </w:rPr>
        <w:t xml:space="preserve"> negotiated indirect cost rate</w:t>
      </w:r>
      <w:r w:rsidR="00611752">
        <w:rPr>
          <w:rFonts w:ascii="Arial" w:hAnsi="Arial" w:cs="Arial"/>
          <w:sz w:val="20"/>
        </w:rPr>
        <w:t xml:space="preserve"> (including provisional rate)</w:t>
      </w:r>
      <w:r w:rsidRPr="00F00D94">
        <w:rPr>
          <w:rFonts w:ascii="Arial" w:hAnsi="Arial" w:cs="Arial"/>
          <w:sz w:val="20"/>
        </w:rPr>
        <w:t>, it may elect to charge a de</w:t>
      </w:r>
      <w:r w:rsidR="00B86ADC">
        <w:rPr>
          <w:rFonts w:ascii="Arial" w:hAnsi="Arial" w:cs="Arial"/>
          <w:sz w:val="20"/>
        </w:rPr>
        <w:t xml:space="preserve"> </w:t>
      </w:r>
      <w:r w:rsidRPr="00F00D94">
        <w:rPr>
          <w:rFonts w:ascii="Arial" w:hAnsi="Arial" w:cs="Arial"/>
          <w:sz w:val="20"/>
        </w:rPr>
        <w:t>minimis rate of 10 percent of modified total direct costs (MTDC). Such a rate may be used indefinitely or until the non-Federal entity chooses to negotiate a rate, which the non-Federal entity may do at any time.  If a non-Federal entity chooses to use the de minimis rate, that rate must be used consistently for all of its Federal awards.  Also, as described in 2 CFR 200.403, costs must be consistently charged as either indirect or direct,</w:t>
      </w:r>
      <w:r w:rsidR="00B86ADC">
        <w:rPr>
          <w:rFonts w:ascii="Arial" w:hAnsi="Arial" w:cs="Arial"/>
          <w:sz w:val="20"/>
        </w:rPr>
        <w:t xml:space="preserve"> </w:t>
      </w:r>
      <w:r w:rsidRPr="00F00D94">
        <w:rPr>
          <w:rFonts w:ascii="Arial" w:hAnsi="Arial" w:cs="Arial"/>
          <w:sz w:val="20"/>
        </w:rPr>
        <w:t>but may not be double charged or inconsistently charged as both. In accordance with 2 CFR 200.400(g), a non-Federal entity may not earn or keep any profit resulting from Federal financial assistance, unless explicitly authorized by the terms and conditions of the award. A non-federal entity can always choose to charge the federal award</w:t>
      </w:r>
      <w:r w:rsidR="00611752">
        <w:rPr>
          <w:rFonts w:ascii="Arial" w:hAnsi="Arial" w:cs="Arial"/>
          <w:sz w:val="20"/>
        </w:rPr>
        <w:t>s</w:t>
      </w:r>
      <w:r w:rsidRPr="00F00D94">
        <w:rPr>
          <w:rFonts w:ascii="Arial" w:hAnsi="Arial" w:cs="Arial"/>
          <w:sz w:val="20"/>
        </w:rPr>
        <w:t xml:space="preserve"> less than the negotiated rates or the de minimis rate. </w:t>
      </w:r>
    </w:p>
    <w:p w14:paraId="26AED1E3" w14:textId="4674791C" w:rsidR="008A629D" w:rsidRPr="00F00D94" w:rsidRDefault="008A629D" w:rsidP="008A629D">
      <w:pPr>
        <w:spacing w:after="240"/>
        <w:jc w:val="both"/>
        <w:rPr>
          <w:rFonts w:ascii="Arial" w:hAnsi="Arial" w:cs="Arial"/>
          <w:i/>
          <w:sz w:val="20"/>
        </w:rPr>
      </w:pPr>
      <w:r w:rsidRPr="00F00D94">
        <w:rPr>
          <w:rFonts w:ascii="Arial" w:hAnsi="Arial" w:cs="Arial"/>
          <w:i/>
          <w:sz w:val="20"/>
        </w:rPr>
        <w:t xml:space="preserve">(Source: </w:t>
      </w:r>
      <w:r w:rsidR="00D266EB" w:rsidRPr="00F00D94">
        <w:rPr>
          <w:rFonts w:ascii="Arial" w:hAnsi="Arial" w:cs="Arial"/>
          <w:i/>
          <w:sz w:val="20"/>
        </w:rPr>
        <w:t>202</w:t>
      </w:r>
      <w:r w:rsidR="00611752">
        <w:rPr>
          <w:rFonts w:ascii="Arial" w:hAnsi="Arial" w:cs="Arial"/>
          <w:i/>
          <w:sz w:val="20"/>
        </w:rPr>
        <w:t>5</w:t>
      </w:r>
      <w:r w:rsidR="00D266EB" w:rsidRPr="00F00D94">
        <w:rPr>
          <w:rFonts w:ascii="Arial" w:hAnsi="Arial" w:cs="Arial"/>
          <w:i/>
          <w:sz w:val="20"/>
        </w:rPr>
        <w:t xml:space="preserve"> </w:t>
      </w:r>
      <w:r w:rsidRPr="00F00D94">
        <w:rPr>
          <w:rFonts w:ascii="Arial" w:hAnsi="Arial" w:cs="Arial"/>
          <w:i/>
          <w:sz w:val="20"/>
        </w:rPr>
        <w:t>OMB Compliance Supplement Part 3</w:t>
      </w:r>
      <w:r w:rsidR="00611752">
        <w:rPr>
          <w:rFonts w:ascii="Arial" w:hAnsi="Arial" w:cs="Arial"/>
          <w:i/>
          <w:sz w:val="20"/>
        </w:rPr>
        <w:t>.1</w:t>
      </w:r>
      <w:r w:rsidRPr="00F00D94">
        <w:rPr>
          <w:rFonts w:ascii="Arial" w:hAnsi="Arial" w:cs="Arial"/>
          <w:i/>
          <w:sz w:val="20"/>
        </w:rPr>
        <w:t>)</w:t>
      </w:r>
    </w:p>
    <w:p w14:paraId="1BB6C829" w14:textId="4A6688BC" w:rsidR="008A629D" w:rsidRPr="00F00D94" w:rsidRDefault="008A629D" w:rsidP="008A629D">
      <w:pPr>
        <w:pStyle w:val="Heading4"/>
        <w:jc w:val="both"/>
        <w:rPr>
          <w:rFonts w:ascii="Arial" w:hAnsi="Arial" w:cs="Arial"/>
        </w:rPr>
      </w:pPr>
      <w:r w:rsidRPr="00F00D94">
        <w:rPr>
          <w:rFonts w:ascii="Arial" w:hAnsi="Arial" w:cs="Arial"/>
        </w:rPr>
        <w:t xml:space="preserve">Audit Objectives and Control Testing </w:t>
      </w:r>
    </w:p>
    <w:p w14:paraId="4E298670" w14:textId="77777777" w:rsidR="008A629D" w:rsidRPr="007C718A" w:rsidRDefault="008A629D" w:rsidP="008A629D">
      <w:pPr>
        <w:pStyle w:val="BodyText"/>
        <w:widowControl w:val="0"/>
        <w:autoSpaceDE w:val="0"/>
        <w:autoSpaceDN w:val="0"/>
        <w:rPr>
          <w:rFonts w:ascii="Arial" w:hAnsi="Arial" w:cs="Arial"/>
          <w:b/>
          <w:sz w:val="20"/>
          <w:szCs w:val="20"/>
        </w:rPr>
      </w:pPr>
      <w:r w:rsidRPr="007C718A">
        <w:rPr>
          <w:rStyle w:val="Hyperlink"/>
          <w:rFonts w:ascii="Arial" w:hAnsi="Arial" w:cs="Arial"/>
          <w:b/>
          <w:color w:val="auto"/>
          <w:sz w:val="20"/>
          <w:szCs w:val="20"/>
          <w:u w:val="none"/>
        </w:rPr>
        <w:t>Audit Objectives</w:t>
      </w:r>
    </w:p>
    <w:p w14:paraId="5E58FB9B" w14:textId="7D56FCF6" w:rsidR="008A629D" w:rsidRPr="008A3EB3" w:rsidRDefault="008A629D" w:rsidP="008A3EB3">
      <w:pPr>
        <w:pStyle w:val="ListParagraph"/>
        <w:widowControl w:val="0"/>
        <w:numPr>
          <w:ilvl w:val="0"/>
          <w:numId w:val="2"/>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200.514(c).</w:t>
      </w:r>
      <w:r w:rsidRPr="008A3EB3">
        <w:rPr>
          <w:rFonts w:ascii="Arial" w:hAnsi="Arial" w:cs="Arial"/>
          <w:color w:val="0000FF"/>
        </w:rPr>
        <w:t xml:space="preserve"> </w:t>
      </w:r>
    </w:p>
    <w:p w14:paraId="16B955E2" w14:textId="77777777" w:rsidR="008A629D" w:rsidRPr="00F00D94" w:rsidRDefault="008A629D" w:rsidP="008A629D">
      <w:pPr>
        <w:pStyle w:val="ListParagraph"/>
        <w:widowControl w:val="0"/>
        <w:numPr>
          <w:ilvl w:val="0"/>
          <w:numId w:val="2"/>
        </w:numPr>
        <w:tabs>
          <w:tab w:val="left" w:pos="1161"/>
        </w:tabs>
        <w:suppressAutoHyphens w:val="0"/>
        <w:adjustRightInd/>
        <w:spacing w:before="1" w:after="240"/>
        <w:ind w:left="360" w:hanging="360"/>
        <w:jc w:val="both"/>
        <w:rPr>
          <w:rFonts w:ascii="Arial" w:hAnsi="Arial" w:cs="Arial"/>
        </w:rPr>
      </w:pPr>
      <w:r w:rsidRPr="00F00D94">
        <w:rPr>
          <w:rFonts w:ascii="Arial" w:hAnsi="Arial" w:cs="Arial"/>
        </w:rPr>
        <w:t>Determine that the de minimis rate is applied to the appropriate base</w:t>
      </w:r>
      <w:r w:rsidRPr="00F00D94">
        <w:rPr>
          <w:rFonts w:ascii="Arial" w:hAnsi="Arial" w:cs="Arial"/>
          <w:spacing w:val="-21"/>
        </w:rPr>
        <w:t xml:space="preserve"> </w:t>
      </w:r>
      <w:r w:rsidRPr="00F00D94">
        <w:rPr>
          <w:rFonts w:ascii="Arial" w:hAnsi="Arial" w:cs="Arial"/>
        </w:rPr>
        <w:t>amount.</w:t>
      </w:r>
    </w:p>
    <w:p w14:paraId="5F207A25" w14:textId="77777777" w:rsidR="008A629D" w:rsidRPr="00F00D94" w:rsidRDefault="008A629D" w:rsidP="008A629D">
      <w:pPr>
        <w:pStyle w:val="ListParagraph"/>
        <w:widowControl w:val="0"/>
        <w:numPr>
          <w:ilvl w:val="0"/>
          <w:numId w:val="2"/>
        </w:numPr>
        <w:suppressAutoHyphens w:val="0"/>
        <w:adjustRightInd/>
        <w:spacing w:after="240"/>
        <w:ind w:left="360" w:hanging="360"/>
        <w:jc w:val="both"/>
        <w:rPr>
          <w:rFonts w:ascii="Arial" w:hAnsi="Arial" w:cs="Arial"/>
        </w:rPr>
      </w:pPr>
      <w:r w:rsidRPr="00F00D94">
        <w:rPr>
          <w:rFonts w:ascii="Arial" w:hAnsi="Arial" w:cs="Arial"/>
        </w:rPr>
        <w:t>Determine that the de minimis rate is used consistently by a non-federal entity under its federal awards.</w:t>
      </w:r>
    </w:p>
    <w:p w14:paraId="7BFABC5F" w14:textId="0D3368C0" w:rsidR="008A629D" w:rsidRDefault="008A629D" w:rsidP="008A629D">
      <w:pPr>
        <w:spacing w:after="240"/>
        <w:jc w:val="both"/>
        <w:rPr>
          <w:rFonts w:ascii="Arial" w:hAnsi="Arial" w:cs="Arial"/>
          <w:i/>
          <w:sz w:val="20"/>
        </w:rPr>
      </w:pPr>
      <w:r w:rsidRPr="00F00D94">
        <w:rPr>
          <w:rFonts w:ascii="Arial" w:hAnsi="Arial" w:cs="Arial"/>
          <w:i/>
          <w:sz w:val="20"/>
        </w:rPr>
        <w:t xml:space="preserve">(Source: </w:t>
      </w:r>
      <w:r w:rsidR="00D266EB" w:rsidRPr="00F00D94">
        <w:rPr>
          <w:rFonts w:ascii="Arial" w:hAnsi="Arial" w:cs="Arial"/>
          <w:i/>
          <w:sz w:val="20"/>
        </w:rPr>
        <w:t>202</w:t>
      </w:r>
      <w:r w:rsidR="00611752">
        <w:rPr>
          <w:rFonts w:ascii="Arial" w:hAnsi="Arial" w:cs="Arial"/>
          <w:i/>
          <w:sz w:val="20"/>
        </w:rPr>
        <w:t>5</w:t>
      </w:r>
      <w:r w:rsidR="00D266EB" w:rsidRPr="00F00D94">
        <w:rPr>
          <w:rFonts w:ascii="Arial" w:hAnsi="Arial" w:cs="Arial"/>
          <w:i/>
          <w:sz w:val="20"/>
        </w:rPr>
        <w:t xml:space="preserve"> </w:t>
      </w:r>
      <w:r w:rsidRPr="00F00D94">
        <w:rPr>
          <w:rFonts w:ascii="Arial" w:hAnsi="Arial" w:cs="Arial"/>
          <w:i/>
          <w:sz w:val="20"/>
        </w:rPr>
        <w:t>OMB Compliance Supplement Part 3</w:t>
      </w:r>
      <w:r w:rsidR="00611752">
        <w:rPr>
          <w:rFonts w:ascii="Arial" w:hAnsi="Arial" w:cs="Arial"/>
          <w:i/>
          <w:sz w:val="20"/>
        </w:rPr>
        <w:t>.1</w:t>
      </w:r>
      <w:r w:rsidRPr="00F00D94">
        <w:rPr>
          <w:rFonts w:ascii="Arial" w:hAnsi="Arial" w:cs="Arial"/>
          <w:i/>
          <w:sz w:val="20"/>
        </w:rPr>
        <w:t>)</w:t>
      </w:r>
    </w:p>
    <w:p w14:paraId="491A2CD9" w14:textId="3FA09ADB" w:rsidR="007C718A" w:rsidRPr="007C718A" w:rsidRDefault="007C718A" w:rsidP="008A629D">
      <w:pPr>
        <w:spacing w:after="240"/>
        <w:jc w:val="both"/>
        <w:rPr>
          <w:rFonts w:ascii="Arial" w:hAnsi="Arial" w:cs="Arial"/>
          <w:b/>
          <w:szCs w:val="24"/>
        </w:rPr>
      </w:pPr>
      <w:r w:rsidRPr="007C718A">
        <w:rPr>
          <w:rStyle w:val="Hyperlink"/>
          <w:rFonts w:ascii="Arial" w:hAnsi="Arial" w:cs="Arial"/>
          <w:b/>
          <w:color w:val="auto"/>
          <w:szCs w:val="24"/>
          <w:u w:val="none"/>
        </w:rPr>
        <w:t xml:space="preserve">Control </w:t>
      </w:r>
      <w:r w:rsidR="00963AF7">
        <w:rPr>
          <w:rStyle w:val="Hyperlink"/>
          <w:rFonts w:ascii="Arial" w:hAnsi="Arial" w:cs="Arial"/>
          <w:b/>
          <w:color w:val="auto"/>
          <w:szCs w:val="24"/>
          <w:u w:val="none"/>
        </w:rPr>
        <w:t xml:space="preserve">Documentation and </w:t>
      </w:r>
      <w:r w:rsidRPr="007C718A">
        <w:rPr>
          <w:rStyle w:val="Hyperlink"/>
          <w:rFonts w:ascii="Arial" w:hAnsi="Arial" w:cs="Arial"/>
          <w:b/>
          <w:color w:val="auto"/>
          <w:szCs w:val="24"/>
          <w:u w:val="none"/>
        </w:rPr>
        <w:t>Testing</w:t>
      </w:r>
    </w:p>
    <w:tbl>
      <w:tblPr>
        <w:tblStyle w:val="TableGrid"/>
        <w:tblW w:w="5000" w:type="pct"/>
        <w:tblLook w:val="04A0" w:firstRow="1" w:lastRow="0" w:firstColumn="1" w:lastColumn="0" w:noHBand="0" w:noVBand="1"/>
      </w:tblPr>
      <w:tblGrid>
        <w:gridCol w:w="9350"/>
      </w:tblGrid>
      <w:tr w:rsidR="008A629D" w:rsidRPr="00F00D94" w14:paraId="4520EF38" w14:textId="77777777" w:rsidTr="00E14DF1">
        <w:tc>
          <w:tcPr>
            <w:tcW w:w="5000" w:type="pct"/>
          </w:tcPr>
          <w:p w14:paraId="611575AF" w14:textId="77777777" w:rsidR="007C718A" w:rsidRPr="007C718A" w:rsidRDefault="007C718A" w:rsidP="007C718A">
            <w:pPr>
              <w:spacing w:after="240"/>
              <w:jc w:val="both"/>
              <w:rPr>
                <w:rFonts w:ascii="Arial" w:hAnsi="Arial" w:cs="Arial"/>
                <w:b/>
                <w:sz w:val="20"/>
              </w:rPr>
            </w:pPr>
            <w:r w:rsidRPr="007C718A">
              <w:rPr>
                <w:rStyle w:val="Hyperlink"/>
                <w:rFonts w:ascii="Arial" w:hAnsi="Arial" w:cs="Arial"/>
                <w:bCs/>
                <w:i/>
                <w:iCs/>
                <w:color w:val="002060"/>
                <w:sz w:val="20"/>
                <w:u w:val="none"/>
              </w:rPr>
              <w:t>Auditors should clearly document what control procedures address the compliance requirement. Reference or link to documentation or where testing was performed.</w:t>
            </w:r>
          </w:p>
          <w:p w14:paraId="0F509D09" w14:textId="77777777" w:rsidR="007C718A" w:rsidRPr="00F00D94" w:rsidRDefault="007C718A" w:rsidP="007C718A">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2A5094F" w14:textId="77777777" w:rsidR="007C718A" w:rsidRPr="00F00D94" w:rsidRDefault="007C718A" w:rsidP="007C718A">
            <w:pPr>
              <w:pStyle w:val="AuditProcedureHeading"/>
              <w:spacing w:after="240"/>
              <w:jc w:val="both"/>
              <w:rPr>
                <w:rFonts w:cs="Arial"/>
                <w:b/>
                <w:bCs/>
                <w:szCs w:val="20"/>
                <w:u w:val="single"/>
              </w:rPr>
            </w:pPr>
          </w:p>
          <w:p w14:paraId="3062E787" w14:textId="2DA0FFB0" w:rsidR="007C718A" w:rsidRPr="00F00D94" w:rsidRDefault="007C718A" w:rsidP="007C718A">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D58F8FD" w14:textId="77777777" w:rsidR="007C718A" w:rsidRPr="00F00D94" w:rsidRDefault="007C718A" w:rsidP="007C718A">
            <w:pPr>
              <w:pStyle w:val="AuditProcedureHeading"/>
              <w:spacing w:after="240"/>
              <w:jc w:val="both"/>
              <w:rPr>
                <w:rFonts w:cs="Arial"/>
                <w:b/>
                <w:bCs/>
                <w:szCs w:val="20"/>
                <w:u w:val="single"/>
              </w:rPr>
            </w:pPr>
          </w:p>
          <w:p w14:paraId="3954DEAC" w14:textId="77777777" w:rsidR="007C718A" w:rsidRPr="00F00D94" w:rsidRDefault="007C718A" w:rsidP="007C718A">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7EF4162" w14:textId="77777777" w:rsidR="007C718A" w:rsidRPr="00F00D94" w:rsidRDefault="007C718A" w:rsidP="007C718A">
            <w:pPr>
              <w:spacing w:after="240"/>
              <w:jc w:val="both"/>
              <w:rPr>
                <w:rFonts w:ascii="Arial" w:hAnsi="Arial" w:cs="Arial"/>
                <w:b/>
                <w:sz w:val="20"/>
                <w:u w:val="single"/>
              </w:rPr>
            </w:pPr>
          </w:p>
          <w:p w14:paraId="00ABF85D" w14:textId="77777777" w:rsidR="007C718A" w:rsidRPr="00F00D94" w:rsidRDefault="007C718A" w:rsidP="007C718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FFB4207" w14:textId="77777777" w:rsidR="008A629D" w:rsidRPr="00F00D94" w:rsidRDefault="008A629D" w:rsidP="00E14DF1">
            <w:pPr>
              <w:spacing w:after="240"/>
              <w:jc w:val="both"/>
              <w:rPr>
                <w:rFonts w:ascii="Arial" w:eastAsiaTheme="minorHAnsi" w:hAnsi="Arial" w:cs="Arial"/>
                <w:sz w:val="20"/>
              </w:rPr>
            </w:pPr>
          </w:p>
        </w:tc>
      </w:tr>
    </w:tbl>
    <w:p w14:paraId="1B8607AB" w14:textId="77777777" w:rsidR="008A629D" w:rsidRPr="00F00D94" w:rsidRDefault="008A629D" w:rsidP="008A629D">
      <w:pPr>
        <w:spacing w:after="240"/>
        <w:rPr>
          <w:rFonts w:ascii="Arial" w:hAnsi="Arial" w:cs="Arial"/>
        </w:rPr>
      </w:pPr>
    </w:p>
    <w:p w14:paraId="74EA35A9" w14:textId="36488522" w:rsidR="008A629D" w:rsidRPr="00F00D94" w:rsidRDefault="008A629D" w:rsidP="003F3FED">
      <w:pPr>
        <w:pStyle w:val="Heading4"/>
        <w:jc w:val="left"/>
      </w:pPr>
      <w:r w:rsidRPr="00F00D94">
        <w:rPr>
          <w:rFonts w:ascii="Arial" w:hAnsi="Arial" w:cs="Arial"/>
        </w:rPr>
        <w:lastRenderedPageBreak/>
        <w:t xml:space="preserve">Suggested </w:t>
      </w:r>
      <w:r w:rsidR="00963AF7">
        <w:rPr>
          <w:rFonts w:ascii="Arial" w:hAnsi="Arial" w:cs="Arial"/>
        </w:rPr>
        <w:t xml:space="preserve">Substantive </w:t>
      </w:r>
      <w:r w:rsidRPr="00F00D94">
        <w:rPr>
          <w:rFonts w:ascii="Arial" w:hAnsi="Arial" w:cs="Arial"/>
        </w:rPr>
        <w:t xml:space="preserve">Audit Procedures </w:t>
      </w:r>
      <w:r w:rsidR="00963AF7">
        <w:rPr>
          <w:rFonts w:ascii="Arial" w:hAnsi="Arial" w:cs="Arial"/>
        </w:rPr>
        <w:t xml:space="preserve">– Compliance </w:t>
      </w:r>
      <w:r w:rsidRPr="00F00D94">
        <w:rPr>
          <w:rFonts w:ascii="Arial" w:hAnsi="Arial" w:cs="Arial"/>
        </w:rPr>
        <w:t>– De Minimis Indirect Cost Rate</w:t>
      </w:r>
    </w:p>
    <w:tbl>
      <w:tblPr>
        <w:tblStyle w:val="TableGrid"/>
        <w:tblW w:w="5000" w:type="pct"/>
        <w:tblLook w:val="04A0" w:firstRow="1" w:lastRow="0" w:firstColumn="1" w:lastColumn="0" w:noHBand="0" w:noVBand="1"/>
      </w:tblPr>
      <w:tblGrid>
        <w:gridCol w:w="9350"/>
      </w:tblGrid>
      <w:tr w:rsidR="008A629D" w:rsidRPr="00F00D94" w14:paraId="7F8CD978" w14:textId="77777777" w:rsidTr="00E14DF1">
        <w:tc>
          <w:tcPr>
            <w:tcW w:w="5000" w:type="pct"/>
          </w:tcPr>
          <w:p w14:paraId="447072C6" w14:textId="77777777" w:rsidR="00982AA0" w:rsidRDefault="00982AA0" w:rsidP="00982AA0">
            <w:pPr>
              <w:spacing w:after="240"/>
              <w:jc w:val="both"/>
              <w:rPr>
                <w:rFonts w:ascii="Arial" w:hAnsi="Arial" w:cs="Arial"/>
                <w:i/>
                <w:sz w:val="20"/>
              </w:rPr>
            </w:pPr>
            <w:r w:rsidRPr="00AC7B25">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6B001AC5" w14:textId="08463923" w:rsidR="007C718A" w:rsidRDefault="00982AA0" w:rsidP="00982AA0">
            <w:pPr>
              <w:spacing w:after="240"/>
              <w:jc w:val="both"/>
              <w:rPr>
                <w:rFonts w:ascii="Arial" w:hAnsi="Arial" w:cs="Arial"/>
                <w:i/>
                <w:sz w:val="20"/>
              </w:rPr>
            </w:pPr>
            <w:r>
              <w:rPr>
                <w:rFonts w:ascii="Arial" w:hAnsi="Arial" w:cs="Arial"/>
                <w:i/>
                <w:sz w:val="20"/>
              </w:rPr>
              <w:t xml:space="preserve">(Source: </w:t>
            </w:r>
            <w:r w:rsidR="00D266EB">
              <w:rPr>
                <w:rFonts w:ascii="Arial" w:hAnsi="Arial" w:cs="Arial"/>
                <w:i/>
                <w:sz w:val="20"/>
              </w:rPr>
              <w:t>202</w:t>
            </w:r>
            <w:r w:rsidR="00611752">
              <w:rPr>
                <w:rFonts w:ascii="Arial" w:hAnsi="Arial" w:cs="Arial"/>
                <w:i/>
                <w:sz w:val="20"/>
              </w:rPr>
              <w:t>5</w:t>
            </w:r>
            <w:r w:rsidR="00D266EB">
              <w:rPr>
                <w:rFonts w:ascii="Arial" w:hAnsi="Arial" w:cs="Arial"/>
                <w:i/>
                <w:sz w:val="20"/>
              </w:rPr>
              <w:t xml:space="preserve"> </w:t>
            </w:r>
            <w:r>
              <w:rPr>
                <w:rFonts w:ascii="Arial" w:hAnsi="Arial" w:cs="Arial"/>
                <w:i/>
                <w:sz w:val="20"/>
              </w:rPr>
              <w:t>OMB Compliance Supplement Part 3</w:t>
            </w:r>
            <w:r w:rsidR="00611752">
              <w:rPr>
                <w:rFonts w:ascii="Arial" w:hAnsi="Arial" w:cs="Arial"/>
                <w:i/>
                <w:sz w:val="20"/>
              </w:rPr>
              <w:t>.1</w:t>
            </w:r>
            <w:r>
              <w:rPr>
                <w:rFonts w:ascii="Arial" w:hAnsi="Arial" w:cs="Arial"/>
                <w:i/>
                <w:sz w:val="20"/>
              </w:rPr>
              <w:t>)</w:t>
            </w:r>
          </w:p>
          <w:p w14:paraId="15EAC4A3" w14:textId="090AADB7" w:rsidR="00180536" w:rsidRPr="007C718A" w:rsidRDefault="00180536" w:rsidP="00982AA0">
            <w:pPr>
              <w:spacing w:after="240"/>
              <w:jc w:val="both"/>
              <w:rPr>
                <w:rFonts w:ascii="Arial" w:hAnsi="Arial" w:cs="Arial"/>
                <w:bCs/>
                <w:i/>
                <w:iCs/>
                <w:color w:val="002060"/>
                <w:sz w:val="20"/>
              </w:rPr>
            </w:pPr>
            <w:r w:rsidRPr="00F00D94">
              <w:rPr>
                <w:rFonts w:ascii="Arial" w:hAnsi="Arial" w:cs="Arial"/>
                <w:sz w:val="20"/>
              </w:rPr>
              <w:t>The following suggested audit procedures apply to any non-Federal entity using a de minimis indirect cost rate, whether as a recipient or subrecipient.  None of the procedures related to indirect costs in the sections organized by type of non-Federal entity apply when a de minimis rate is used.</w:t>
            </w:r>
          </w:p>
          <w:p w14:paraId="4492F38A" w14:textId="2294B5E2" w:rsidR="008A629D" w:rsidRPr="00F00D94" w:rsidRDefault="008A629D" w:rsidP="00E14DF1">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Determine that the non-Federal entity </w:t>
            </w:r>
            <w:r w:rsidR="00611752">
              <w:rPr>
                <w:rFonts w:ascii="Arial" w:hAnsi="Arial" w:cs="Arial"/>
                <w:sz w:val="20"/>
              </w:rPr>
              <w:t xml:space="preserve">does </w:t>
            </w:r>
            <w:r w:rsidRPr="00F00D94">
              <w:rPr>
                <w:rFonts w:ascii="Arial" w:hAnsi="Arial" w:cs="Arial"/>
                <w:sz w:val="20"/>
              </w:rPr>
              <w:t xml:space="preserve">not </w:t>
            </w:r>
            <w:r w:rsidR="00611752">
              <w:rPr>
                <w:rFonts w:ascii="Arial" w:hAnsi="Arial" w:cs="Arial"/>
                <w:sz w:val="20"/>
              </w:rPr>
              <w:t xml:space="preserve">have a current Federal negotiated </w:t>
            </w:r>
            <w:r w:rsidRPr="00F00D94">
              <w:rPr>
                <w:rFonts w:ascii="Arial" w:hAnsi="Arial" w:cs="Arial"/>
                <w:sz w:val="20"/>
              </w:rPr>
              <w:t>indirect cost</w:t>
            </w:r>
            <w:r w:rsidR="00611752">
              <w:rPr>
                <w:rFonts w:ascii="Arial" w:hAnsi="Arial" w:cs="Arial"/>
                <w:sz w:val="20"/>
              </w:rPr>
              <w:t xml:space="preserve"> </w:t>
            </w:r>
            <w:r w:rsidRPr="00F00D94">
              <w:rPr>
                <w:rFonts w:ascii="Arial" w:hAnsi="Arial" w:cs="Arial"/>
                <w:sz w:val="20"/>
              </w:rPr>
              <w:t>rate</w:t>
            </w:r>
            <w:r w:rsidR="00611752">
              <w:rPr>
                <w:rFonts w:ascii="Arial" w:hAnsi="Arial" w:cs="Arial"/>
                <w:sz w:val="20"/>
              </w:rPr>
              <w:t xml:space="preserve"> (including provisional rate)</w:t>
            </w:r>
            <w:r w:rsidRPr="00F00D94">
              <w:rPr>
                <w:rFonts w:ascii="Arial" w:hAnsi="Arial" w:cs="Arial"/>
                <w:sz w:val="20"/>
              </w:rPr>
              <w:t>.</w:t>
            </w:r>
          </w:p>
          <w:p w14:paraId="5495C634" w14:textId="77777777" w:rsidR="008A629D" w:rsidRPr="00F00D94" w:rsidRDefault="008A629D" w:rsidP="00E14DF1">
            <w:pPr>
              <w:spacing w:after="240"/>
              <w:jc w:val="both"/>
              <w:rPr>
                <w:rFonts w:ascii="Arial" w:hAnsi="Arial" w:cs="Arial"/>
                <w:sz w:val="20"/>
              </w:rPr>
            </w:pPr>
            <w:r w:rsidRPr="00F00D94">
              <w:rPr>
                <w:rFonts w:ascii="Arial" w:hAnsi="Arial" w:cs="Arial"/>
                <w:sz w:val="20"/>
              </w:rPr>
              <w:t>2.</w:t>
            </w:r>
            <w:r w:rsidRPr="00F00D94">
              <w:rPr>
                <w:rFonts w:ascii="Arial" w:hAnsi="Arial" w:cs="Arial"/>
                <w:sz w:val="20"/>
              </w:rPr>
              <w:tab/>
              <w:t>Test a sample of transactions for conformance with 2 CFR 200.414(f).</w:t>
            </w:r>
          </w:p>
          <w:p w14:paraId="10E1A743" w14:textId="77777777" w:rsidR="008A629D" w:rsidRPr="00F00D94" w:rsidRDefault="008A629D" w:rsidP="00E14DF1">
            <w:pP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Select a sample of claims for reimbursement of indirect costs and verify that the de minimis rate was used consistently, the rate was applied to the appropriate base, and the amounts claimed were the product of applying the rate to a modified total direct costs base.  </w:t>
            </w:r>
          </w:p>
          <w:p w14:paraId="3BDA7E2C" w14:textId="3E125619" w:rsidR="008A629D" w:rsidRPr="00F00D94" w:rsidRDefault="008A629D" w:rsidP="00E14DF1">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costs included in the base are consistent with the costs that were included in the base year</w:t>
            </w:r>
            <w:r w:rsidR="00DF3B74">
              <w:rPr>
                <w:rFonts w:ascii="Arial" w:hAnsi="Arial" w:cs="Arial"/>
                <w:sz w:val="20"/>
              </w:rPr>
              <w:t xml:space="preserve"> (</w:t>
            </w:r>
            <w:r w:rsidRPr="00F00D94">
              <w:rPr>
                <w:rFonts w:ascii="Arial" w:hAnsi="Arial" w:cs="Arial"/>
                <w:sz w:val="20"/>
              </w:rPr>
              <w:t>i.e., verify that current year modified total direct costs do not include costs items that were treated as indirect costs in the base year</w:t>
            </w:r>
            <w:r w:rsidR="00DF3B74">
              <w:rPr>
                <w:rFonts w:ascii="Arial" w:hAnsi="Arial" w:cs="Arial"/>
                <w:sz w:val="20"/>
              </w:rPr>
              <w:t>)</w:t>
            </w:r>
            <w:r w:rsidRPr="00F00D94">
              <w:rPr>
                <w:rFonts w:ascii="Arial" w:hAnsi="Arial" w:cs="Arial"/>
                <w:sz w:val="20"/>
              </w:rPr>
              <w:t xml:space="preserve">.  </w:t>
            </w:r>
          </w:p>
          <w:p w14:paraId="482726BD" w14:textId="4E90DF0F" w:rsidR="008A629D" w:rsidRDefault="008A629D" w:rsidP="00E14DF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For a non-Federal entity conducting a single function, which is predominately funded by Federal awards, determine whether use of the de minimis indirect cost rate resulted in the non-Federal entity double-charging or inconsistently charging costs as both direct and indirect.</w:t>
            </w:r>
          </w:p>
          <w:p w14:paraId="26CA1B8A" w14:textId="77777777" w:rsidR="00F60FF6" w:rsidRPr="00F00D94" w:rsidRDefault="00F60FF6" w:rsidP="00E14DF1">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p>
          <w:p w14:paraId="210608D0" w14:textId="012DEAD1" w:rsidR="008A629D" w:rsidRPr="003F3FED" w:rsidRDefault="00B86ADC" w:rsidP="003F3FED">
            <w:pPr>
              <w:pStyle w:val="APStepItem"/>
              <w:numPr>
                <w:ilvl w:val="0"/>
                <w:numId w:val="0"/>
              </w:numPr>
              <w:tabs>
                <w:tab w:val="num" w:pos="1170"/>
              </w:tabs>
              <w:ind w:left="360" w:hanging="360"/>
              <w:rPr>
                <w:rFonts w:cs="Arial"/>
                <w:bCs/>
                <w:i/>
                <w:iCs/>
                <w:szCs w:val="20"/>
              </w:rPr>
            </w:pPr>
            <w:r w:rsidRPr="003F3FED">
              <w:rPr>
                <w:rFonts w:cs="Arial"/>
                <w:bCs/>
                <w:i/>
                <w:iCs/>
                <w:color w:val="002060"/>
                <w:szCs w:val="20"/>
              </w:rPr>
              <w:t xml:space="preserve">Auditors </w:t>
            </w:r>
            <w:r>
              <w:rPr>
                <w:rFonts w:cs="Arial"/>
                <w:bCs/>
                <w:i/>
                <w:iCs/>
                <w:color w:val="002060"/>
                <w:szCs w:val="20"/>
              </w:rPr>
              <w:t>must</w:t>
            </w:r>
            <w:r w:rsidRPr="003F3FED">
              <w:rPr>
                <w:rFonts w:cs="Arial"/>
                <w:bCs/>
                <w:i/>
                <w:iCs/>
                <w:color w:val="002060"/>
                <w:szCs w:val="20"/>
              </w:rPr>
              <w:t xml:space="preserve"> include results of </w:t>
            </w:r>
            <w:r>
              <w:rPr>
                <w:rFonts w:cs="Arial"/>
                <w:bCs/>
                <w:i/>
                <w:iCs/>
                <w:color w:val="002060"/>
                <w:szCs w:val="20"/>
              </w:rPr>
              <w:t xml:space="preserve">this </w:t>
            </w:r>
            <w:r w:rsidRPr="003F3FED">
              <w:rPr>
                <w:rFonts w:cs="Arial"/>
                <w:bCs/>
                <w:i/>
                <w:iCs/>
                <w:color w:val="002060"/>
                <w:szCs w:val="20"/>
              </w:rPr>
              <w:t xml:space="preserve">testing in the </w:t>
            </w:r>
            <w:r>
              <w:rPr>
                <w:rFonts w:cs="Arial"/>
                <w:bCs/>
                <w:i/>
                <w:iCs/>
                <w:color w:val="002060"/>
                <w:szCs w:val="20"/>
              </w:rPr>
              <w:t xml:space="preserve">Section B - </w:t>
            </w:r>
            <w:r w:rsidRPr="003F3FED">
              <w:rPr>
                <w:rFonts w:cs="Arial"/>
                <w:bCs/>
                <w:i/>
                <w:iCs/>
                <w:color w:val="002060"/>
                <w:szCs w:val="20"/>
              </w:rPr>
              <w:t xml:space="preserve">Audit Implications Summary of </w:t>
            </w:r>
            <w:r>
              <w:rPr>
                <w:rFonts w:cs="Arial"/>
                <w:bCs/>
                <w:i/>
                <w:iCs/>
                <w:color w:val="002060"/>
                <w:szCs w:val="20"/>
              </w:rPr>
              <w:t>the FACCR.</w:t>
            </w:r>
          </w:p>
        </w:tc>
      </w:tr>
    </w:tbl>
    <w:p w14:paraId="37673E1A"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1BA"/>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16cid:durableId="342753280">
    <w:abstractNumId w:val="1"/>
  </w:num>
  <w:num w:numId="2" w16cid:durableId="45549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9D"/>
    <w:rsid w:val="000A1D90"/>
    <w:rsid w:val="00180536"/>
    <w:rsid w:val="002028E3"/>
    <w:rsid w:val="002227CC"/>
    <w:rsid w:val="00307506"/>
    <w:rsid w:val="003C2538"/>
    <w:rsid w:val="003F3FED"/>
    <w:rsid w:val="00611752"/>
    <w:rsid w:val="00702326"/>
    <w:rsid w:val="0077733A"/>
    <w:rsid w:val="007C718A"/>
    <w:rsid w:val="0083635C"/>
    <w:rsid w:val="008515FF"/>
    <w:rsid w:val="008A3EB3"/>
    <w:rsid w:val="008A629D"/>
    <w:rsid w:val="00963AF7"/>
    <w:rsid w:val="00965BB5"/>
    <w:rsid w:val="00981A46"/>
    <w:rsid w:val="00982AA0"/>
    <w:rsid w:val="009B7E16"/>
    <w:rsid w:val="00A11F1E"/>
    <w:rsid w:val="00AF507F"/>
    <w:rsid w:val="00B86ADC"/>
    <w:rsid w:val="00BA555C"/>
    <w:rsid w:val="00CB51E3"/>
    <w:rsid w:val="00D266EB"/>
    <w:rsid w:val="00D46B69"/>
    <w:rsid w:val="00DB40B0"/>
    <w:rsid w:val="00DF3B74"/>
    <w:rsid w:val="00F60FF6"/>
    <w:rsid w:val="00FE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8244"/>
  <w15:chartTrackingRefBased/>
  <w15:docId w15:val="{D27F92FD-E557-443A-B45C-DB5CFB08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D"/>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8A629D"/>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A629D"/>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629D"/>
    <w:rPr>
      <w:rFonts w:ascii="Arial" w:eastAsia="Times New Roman" w:hAnsi="Arial" w:cs="Times New Roman"/>
      <w:b/>
      <w:sz w:val="24"/>
      <w:szCs w:val="20"/>
    </w:rPr>
  </w:style>
  <w:style w:type="character" w:customStyle="1" w:styleId="Heading4Char">
    <w:name w:val="Heading 4 Char"/>
    <w:basedOn w:val="DefaultParagraphFont"/>
    <w:link w:val="Heading4"/>
    <w:rsid w:val="008A629D"/>
    <w:rPr>
      <w:rFonts w:ascii="Times New Roman" w:eastAsia="Times New Roman" w:hAnsi="Times New Roman" w:cs="Times New Roman"/>
      <w:b/>
      <w:bCs/>
      <w:sz w:val="24"/>
      <w:szCs w:val="24"/>
    </w:rPr>
  </w:style>
  <w:style w:type="character" w:styleId="Hyperlink">
    <w:name w:val="Hyperlink"/>
    <w:uiPriority w:val="99"/>
    <w:rsid w:val="008A629D"/>
    <w:rPr>
      <w:color w:val="0000FF"/>
      <w:u w:val="single"/>
    </w:rPr>
  </w:style>
  <w:style w:type="paragraph" w:styleId="BodyText">
    <w:name w:val="Body Text"/>
    <w:basedOn w:val="Normal"/>
    <w:link w:val="BodyTextChar"/>
    <w:rsid w:val="008A629D"/>
    <w:pPr>
      <w:spacing w:after="240"/>
    </w:pPr>
    <w:rPr>
      <w:szCs w:val="24"/>
    </w:rPr>
  </w:style>
  <w:style w:type="character" w:customStyle="1" w:styleId="BodyTextChar">
    <w:name w:val="Body Text Char"/>
    <w:basedOn w:val="DefaultParagraphFont"/>
    <w:link w:val="BodyText"/>
    <w:rsid w:val="008A629D"/>
    <w:rPr>
      <w:rFonts w:ascii="Times New Roman" w:eastAsia="Times New Roman" w:hAnsi="Times New Roman" w:cs="Times New Roman"/>
      <w:sz w:val="24"/>
      <w:szCs w:val="24"/>
    </w:rPr>
  </w:style>
  <w:style w:type="paragraph" w:styleId="ListParagraph">
    <w:name w:val="List Paragraph"/>
    <w:basedOn w:val="Normal"/>
    <w:uiPriority w:val="1"/>
    <w:qFormat/>
    <w:rsid w:val="008A629D"/>
    <w:pPr>
      <w:suppressAutoHyphens/>
      <w:autoSpaceDE w:val="0"/>
      <w:autoSpaceDN w:val="0"/>
      <w:adjustRightInd w:val="0"/>
      <w:ind w:left="720"/>
    </w:pPr>
    <w:rPr>
      <w:sz w:val="20"/>
    </w:rPr>
  </w:style>
  <w:style w:type="table" w:styleId="TableGrid">
    <w:name w:val="Table Grid"/>
    <w:basedOn w:val="TableNormal"/>
    <w:uiPriority w:val="59"/>
    <w:rsid w:val="008A6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8A629D"/>
    <w:pPr>
      <w:spacing w:after="60"/>
    </w:pPr>
    <w:rPr>
      <w:rFonts w:ascii="Arial" w:eastAsia="Calibri" w:hAnsi="Arial"/>
      <w:sz w:val="20"/>
      <w:szCs w:val="22"/>
    </w:rPr>
  </w:style>
  <w:style w:type="paragraph" w:customStyle="1" w:styleId="APStepItem">
    <w:name w:val="AP_StepItem"/>
    <w:basedOn w:val="Normal"/>
    <w:locked/>
    <w:rsid w:val="008A629D"/>
    <w:pPr>
      <w:numPr>
        <w:numId w:val="1"/>
      </w:numPr>
      <w:spacing w:after="60"/>
      <w:jc w:val="both"/>
    </w:pPr>
    <w:rPr>
      <w:rFonts w:ascii="Arial" w:eastAsia="Calibri" w:hAnsi="Arial"/>
      <w:sz w:val="20"/>
      <w:szCs w:val="22"/>
    </w:rPr>
  </w:style>
  <w:style w:type="character" w:styleId="CommentReference">
    <w:name w:val="annotation reference"/>
    <w:basedOn w:val="DefaultParagraphFont"/>
    <w:unhideWhenUsed/>
    <w:rsid w:val="007C718A"/>
    <w:rPr>
      <w:sz w:val="16"/>
      <w:szCs w:val="16"/>
    </w:rPr>
  </w:style>
  <w:style w:type="paragraph" w:styleId="CommentText">
    <w:name w:val="annotation text"/>
    <w:basedOn w:val="Normal"/>
    <w:link w:val="CommentTextChar"/>
    <w:unhideWhenUsed/>
    <w:rsid w:val="007C718A"/>
    <w:rPr>
      <w:sz w:val="20"/>
    </w:rPr>
  </w:style>
  <w:style w:type="character" w:customStyle="1" w:styleId="CommentTextChar">
    <w:name w:val="Comment Text Char"/>
    <w:basedOn w:val="DefaultParagraphFont"/>
    <w:link w:val="CommentText"/>
    <w:rsid w:val="007C71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718A"/>
    <w:rPr>
      <w:b/>
      <w:bCs/>
    </w:rPr>
  </w:style>
  <w:style w:type="character" w:customStyle="1" w:styleId="CommentSubjectChar">
    <w:name w:val="Comment Subject Char"/>
    <w:basedOn w:val="CommentTextChar"/>
    <w:link w:val="CommentSubject"/>
    <w:uiPriority w:val="99"/>
    <w:semiHidden/>
    <w:rsid w:val="007C718A"/>
    <w:rPr>
      <w:rFonts w:ascii="Times New Roman" w:eastAsia="Times New Roman" w:hAnsi="Times New Roman" w:cs="Times New Roman"/>
      <w:b/>
      <w:bCs/>
      <w:sz w:val="20"/>
      <w:szCs w:val="20"/>
    </w:rPr>
  </w:style>
  <w:style w:type="paragraph" w:styleId="Revision">
    <w:name w:val="Revision"/>
    <w:hidden/>
    <w:uiPriority w:val="99"/>
    <w:semiHidden/>
    <w:rsid w:val="00F60FF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3952</CharactersWithSpaces>
  <SharedDoc>false</SharedDoc>
  <HyperlinkBase>http://ohioauditor.gov/ipa/UniformGuidance/2025/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Amanda M. Stidham</cp:lastModifiedBy>
  <cp:revision>5</cp:revision>
  <dcterms:created xsi:type="dcterms:W3CDTF">2025-10-30T14:08:00Z</dcterms:created>
  <dcterms:modified xsi:type="dcterms:W3CDTF">2025-10-31T14:08:00Z</dcterms:modified>
</cp:coreProperties>
</file>