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4DD2183A" w:rsidR="00B3756A" w:rsidRPr="00A0464C" w:rsidRDefault="00ED4441" w:rsidP="003D19F2">
            <w:pPr>
              <w:jc w:val="both"/>
              <w:rPr>
                <w:rFonts w:ascii="Arial" w:hAnsi="Arial" w:cs="Arial"/>
                <w:sz w:val="24"/>
                <w:szCs w:val="24"/>
              </w:rPr>
            </w:pPr>
            <w:r>
              <w:rPr>
                <w:rFonts w:ascii="Arial" w:hAnsi="Arial" w:cs="Arial"/>
                <w:sz w:val="24"/>
                <w:szCs w:val="24"/>
              </w:rPr>
              <w:t>Opioid State Targeted Response</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524CBFCE" w:rsidR="00B3756A" w:rsidRPr="00A0464C" w:rsidRDefault="00ED4441" w:rsidP="003D19F2">
            <w:pPr>
              <w:jc w:val="both"/>
              <w:rPr>
                <w:rFonts w:ascii="Arial" w:hAnsi="Arial" w:cs="Arial"/>
                <w:sz w:val="24"/>
                <w:szCs w:val="24"/>
              </w:rPr>
            </w:pPr>
            <w:r>
              <w:rPr>
                <w:rFonts w:ascii="Arial" w:hAnsi="Arial" w:cs="Arial"/>
                <w:sz w:val="24"/>
                <w:szCs w:val="24"/>
              </w:rPr>
              <w:t>93.788</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4063E499" w:rsidR="00B3756A" w:rsidRPr="00886A3E" w:rsidRDefault="00ED4441"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580C7B38" w:rsidR="00B3756A" w:rsidRPr="00A0464C" w:rsidRDefault="004E2A40" w:rsidP="003D19F2">
            <w:pPr>
              <w:jc w:val="both"/>
              <w:rPr>
                <w:rFonts w:ascii="Arial" w:hAnsi="Arial" w:cs="Arial"/>
                <w:sz w:val="24"/>
                <w:szCs w:val="24"/>
              </w:rPr>
            </w:pPr>
            <w:r w:rsidRPr="004E2A40">
              <w:rPr>
                <w:rFonts w:ascii="Arial" w:hAnsi="Arial" w:cs="Arial"/>
                <w:sz w:val="24"/>
                <w:szCs w:val="24"/>
              </w:rPr>
              <w:t>Ohio Department of Behavioral Health</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D312544" w14:textId="7E2DDA49" w:rsidR="004E2A40" w:rsidRPr="009B3647" w:rsidRDefault="004E2A40" w:rsidP="004E2A40">
            <w:pPr>
              <w:jc w:val="both"/>
              <w:rPr>
                <w:rFonts w:ascii="Arial" w:hAnsi="Arial" w:cs="Arial"/>
                <w:sz w:val="23"/>
                <w:szCs w:val="23"/>
              </w:rPr>
            </w:pPr>
            <w:r w:rsidRPr="009B3647">
              <w:rPr>
                <w:rFonts w:ascii="Arial" w:hAnsi="Arial" w:cs="Arial"/>
                <w:sz w:val="23"/>
                <w:szCs w:val="23"/>
              </w:rPr>
              <w:t>This FACCR was prepared under the 2024 Revisions to the Uniform Guidance. Based on the FY25 Table B Current Awards on the Ohio Department of Behavioral Health website (</w:t>
            </w:r>
            <w:hyperlink r:id="rId11" w:history="1">
              <w:r w:rsidRPr="009B3647">
                <w:rPr>
                  <w:rStyle w:val="Hyperlink"/>
                  <w:rFonts w:cs="Arial"/>
                  <w:sz w:val="23"/>
                  <w:szCs w:val="23"/>
                </w:rPr>
                <w:t>Table-B-2025-12-02.pdf</w:t>
              </w:r>
            </w:hyperlink>
            <w:r w:rsidRPr="009B3647">
              <w:rPr>
                <w:rFonts w:ascii="Arial" w:hAnsi="Arial" w:cs="Arial"/>
                <w:sz w:val="23"/>
                <w:szCs w:val="23"/>
              </w:rPr>
              <w:t>), for AL #</w:t>
            </w:r>
            <w:r>
              <w:rPr>
                <w:rFonts w:ascii="Arial" w:hAnsi="Arial" w:cs="Arial"/>
                <w:sz w:val="23"/>
                <w:szCs w:val="23"/>
              </w:rPr>
              <w:t>93.788</w:t>
            </w:r>
            <w:r w:rsidRPr="009B3647">
              <w:rPr>
                <w:rFonts w:ascii="Arial" w:hAnsi="Arial" w:cs="Arial"/>
                <w:sz w:val="23"/>
                <w:szCs w:val="23"/>
              </w:rPr>
              <w:t xml:space="preserve">, State Grant ID </w:t>
            </w:r>
            <w:r w:rsidRPr="004E2A40">
              <w:rPr>
                <w:rFonts w:ascii="Arial" w:hAnsi="Arial" w:cs="Arial"/>
                <w:sz w:val="23"/>
                <w:szCs w:val="23"/>
              </w:rPr>
              <w:t>DMHF24SOR4</w:t>
            </w:r>
            <w:r>
              <w:rPr>
                <w:rFonts w:ascii="Arial" w:hAnsi="Arial" w:cs="Arial"/>
                <w:sz w:val="23"/>
                <w:szCs w:val="23"/>
              </w:rPr>
              <w:t>, grants under NOA years 2 and 3 are</w:t>
            </w:r>
            <w:r w:rsidRPr="009B3647">
              <w:rPr>
                <w:rFonts w:ascii="Arial" w:hAnsi="Arial" w:cs="Arial"/>
                <w:sz w:val="23"/>
                <w:szCs w:val="23"/>
              </w:rPr>
              <w:t xml:space="preserve"> subject to the revised Uniform Guidance. </w:t>
            </w:r>
          </w:p>
          <w:p w14:paraId="716F753F" w14:textId="77777777" w:rsidR="004E2A40" w:rsidRPr="009B3647" w:rsidRDefault="004E2A40" w:rsidP="004E2A40">
            <w:pPr>
              <w:jc w:val="both"/>
              <w:rPr>
                <w:rFonts w:ascii="Arial" w:hAnsi="Arial" w:cs="Arial"/>
                <w:sz w:val="23"/>
                <w:szCs w:val="23"/>
              </w:rPr>
            </w:pPr>
          </w:p>
          <w:p w14:paraId="5BF1E008" w14:textId="72E4923E" w:rsidR="004E2A40" w:rsidRPr="009B3647" w:rsidRDefault="004E2A40" w:rsidP="004E2A40">
            <w:pPr>
              <w:jc w:val="both"/>
              <w:rPr>
                <w:rFonts w:ascii="Arial" w:hAnsi="Arial" w:cs="Arial"/>
                <w:sz w:val="23"/>
                <w:szCs w:val="23"/>
              </w:rPr>
            </w:pPr>
            <w:r w:rsidRPr="009B3647">
              <w:rPr>
                <w:rFonts w:ascii="Arial" w:hAnsi="Arial" w:cs="Arial"/>
                <w:sz w:val="23"/>
                <w:szCs w:val="23"/>
              </w:rPr>
              <w:t xml:space="preserve">There are </w:t>
            </w:r>
            <w:r>
              <w:rPr>
                <w:rFonts w:ascii="Arial" w:hAnsi="Arial" w:cs="Arial"/>
                <w:sz w:val="23"/>
                <w:szCs w:val="23"/>
              </w:rPr>
              <w:t>two</w:t>
            </w:r>
            <w:r w:rsidRPr="009B3647">
              <w:rPr>
                <w:rFonts w:ascii="Arial" w:hAnsi="Arial" w:cs="Arial"/>
                <w:sz w:val="23"/>
                <w:szCs w:val="23"/>
              </w:rPr>
              <w:t xml:space="preserve"> older subgrants under this funding stream that are subject to the Uniform Guidance prior to the 2024 revisions. For testing purposes, the applicable State Grant ID must be obtained and FY25 Table B should be referenced to determine whether the revised Uniform Guidance applies to the funding being tested.</w:t>
            </w:r>
          </w:p>
          <w:p w14:paraId="692C6D58" w14:textId="77777777" w:rsidR="004E2A40" w:rsidRPr="009B3647" w:rsidRDefault="004E2A40" w:rsidP="004E2A40">
            <w:pPr>
              <w:jc w:val="both"/>
              <w:rPr>
                <w:rFonts w:ascii="Arial" w:hAnsi="Arial" w:cs="Arial"/>
                <w:sz w:val="23"/>
                <w:szCs w:val="23"/>
              </w:rPr>
            </w:pPr>
          </w:p>
          <w:p w14:paraId="4B7C991A" w14:textId="686BAC06" w:rsidR="00B3756A" w:rsidRDefault="004E2A40" w:rsidP="004E2A40">
            <w:pPr>
              <w:jc w:val="both"/>
              <w:rPr>
                <w:rFonts w:ascii="Arial" w:hAnsi="Arial" w:cs="Arial"/>
                <w:sz w:val="24"/>
                <w:szCs w:val="24"/>
              </w:rPr>
            </w:pPr>
            <w:r w:rsidRPr="009B3647">
              <w:rPr>
                <w:rFonts w:ascii="Arial" w:hAnsi="Arial" w:cs="Arial"/>
                <w:sz w:val="23"/>
                <w:szCs w:val="23"/>
              </w:rPr>
              <w:t>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4138564"/>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ED4441">
      <w:pPr>
        <w:pStyle w:val="BodyText"/>
        <w:widowControl w:val="0"/>
        <w:numPr>
          <w:ilvl w:val="0"/>
          <w:numId w:val="33"/>
        </w:numPr>
        <w:autoSpaceDE w:val="0"/>
        <w:autoSpaceDN w:val="0"/>
        <w:spacing w:after="0"/>
        <w:rPr>
          <w:rFonts w:ascii="Arial" w:hAnsi="Arial" w:cs="Arial"/>
          <w:szCs w:val="20"/>
        </w:rPr>
      </w:pPr>
      <w:hyperlink r:id="rId14"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ED4441">
      <w:pPr>
        <w:pStyle w:val="BodyText"/>
        <w:widowControl w:val="0"/>
        <w:numPr>
          <w:ilvl w:val="0"/>
          <w:numId w:val="33"/>
        </w:numPr>
        <w:autoSpaceDE w:val="0"/>
        <w:autoSpaceDN w:val="0"/>
        <w:spacing w:after="0"/>
        <w:rPr>
          <w:rFonts w:ascii="Arial" w:hAnsi="Arial" w:cs="Arial"/>
          <w:szCs w:val="20"/>
        </w:rPr>
      </w:pPr>
      <w:hyperlink r:id="rId15" w:history="1">
        <w:r w:rsidRPr="00F00D94">
          <w:rPr>
            <w:rStyle w:val="Hyperlink"/>
            <w:rFonts w:cs="Arial"/>
            <w:szCs w:val="20"/>
          </w:rPr>
          <w:t>2013 COSO</w:t>
        </w:r>
      </w:hyperlink>
    </w:p>
    <w:p w14:paraId="7786A02D" w14:textId="2FD698E7" w:rsidR="004717CE" w:rsidRPr="00D74A1B" w:rsidRDefault="00D74A1B" w:rsidP="00ED4441">
      <w:pPr>
        <w:pStyle w:val="BodyText"/>
        <w:widowControl w:val="0"/>
        <w:numPr>
          <w:ilvl w:val="0"/>
          <w:numId w:val="33"/>
        </w:numPr>
        <w:autoSpaceDE w:val="0"/>
        <w:autoSpaceDN w:val="0"/>
        <w:spacing w:after="0"/>
        <w:rPr>
          <w:rStyle w:val="Hyperlink"/>
          <w:rFonts w:cs="Arial"/>
          <w:color w:val="auto"/>
          <w:szCs w:val="20"/>
          <w:u w:val="none"/>
        </w:rPr>
      </w:pPr>
      <w:hyperlink r:id="rId16" w:history="1">
        <w:r w:rsidRPr="00D74A1B">
          <w:rPr>
            <w:rStyle w:val="Hyperlink"/>
            <w:rFonts w:cs="Arial"/>
            <w:szCs w:val="20"/>
          </w:rPr>
          <w:t>GAO's 2014 Green Book</w:t>
        </w:r>
      </w:hyperlink>
      <w:r w:rsidRPr="00D74A1B">
        <w:rPr>
          <w:rFonts w:ascii="Arial" w:hAnsi="Arial" w:cs="Arial"/>
          <w:szCs w:val="20"/>
        </w:rPr>
        <w:t xml:space="preserve"> and </w:t>
      </w:r>
      <w:hyperlink r:id="rId17" w:history="1">
        <w:r w:rsidR="003D1B0E" w:rsidRPr="00D74A1B">
          <w:rPr>
            <w:rStyle w:val="Hyperlink"/>
            <w:rFonts w:cs="Arial"/>
            <w:szCs w:val="20"/>
          </w:rPr>
          <w:t>GAO’s 2025 Green Book</w:t>
        </w:r>
      </w:hyperlink>
    </w:p>
    <w:p w14:paraId="47FC5089" w14:textId="56B49229" w:rsidR="00DF7D32" w:rsidRPr="00F00D94" w:rsidRDefault="004717CE" w:rsidP="00ED4441">
      <w:pPr>
        <w:pStyle w:val="BodyText"/>
        <w:widowControl w:val="0"/>
        <w:numPr>
          <w:ilvl w:val="0"/>
          <w:numId w:val="33"/>
        </w:numPr>
        <w:autoSpaceDE w:val="0"/>
        <w:autoSpaceDN w:val="0"/>
        <w:spacing w:after="0"/>
        <w:rPr>
          <w:rStyle w:val="Hyperlink"/>
          <w:rFonts w:cs="Arial"/>
          <w:color w:val="auto"/>
          <w:szCs w:val="20"/>
          <w:u w:val="none"/>
        </w:rPr>
      </w:pPr>
      <w:hyperlink r:id="rId18"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ED4441">
      <w:pPr>
        <w:pStyle w:val="ListParagraph"/>
        <w:numPr>
          <w:ilvl w:val="1"/>
          <w:numId w:val="29"/>
        </w:numPr>
        <w:suppressAutoHyphens w:val="0"/>
        <w:autoSpaceDE/>
        <w:autoSpaceDN/>
        <w:adjustRightInd/>
        <w:spacing w:after="240"/>
        <w:jc w:val="both"/>
        <w:rPr>
          <w:rFonts w:ascii="Arial" w:hAnsi="Arial" w:cs="Arial"/>
          <w:b/>
          <w:color w:val="000000" w:themeColor="text1"/>
        </w:rPr>
        <w:sectPr w:rsidR="00805DDB" w:rsidRPr="00F00D94">
          <w:footerReference w:type="default" r:id="rId19"/>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4138565"/>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20"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1"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2"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4138566"/>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7F132D5" w14:textId="1F52B45F" w:rsidR="004E6A5A"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4138564" w:history="1">
            <w:r w:rsidR="004E6A5A" w:rsidRPr="001C0CC9">
              <w:rPr>
                <w:rStyle w:val="Hyperlink"/>
                <w:rFonts w:cs="Arial"/>
                <w:noProof/>
              </w:rPr>
              <w:t>Important Information</w:t>
            </w:r>
            <w:r w:rsidR="004E6A5A">
              <w:rPr>
                <w:noProof/>
                <w:webHidden/>
              </w:rPr>
              <w:tab/>
            </w:r>
            <w:r w:rsidR="004E6A5A">
              <w:rPr>
                <w:noProof/>
                <w:webHidden/>
              </w:rPr>
              <w:fldChar w:fldCharType="begin"/>
            </w:r>
            <w:r w:rsidR="004E6A5A">
              <w:rPr>
                <w:noProof/>
                <w:webHidden/>
              </w:rPr>
              <w:instrText xml:space="preserve"> PAGEREF _Toc224138564 \h </w:instrText>
            </w:r>
            <w:r w:rsidR="004E6A5A">
              <w:rPr>
                <w:noProof/>
                <w:webHidden/>
              </w:rPr>
            </w:r>
            <w:r w:rsidR="004E6A5A">
              <w:rPr>
                <w:noProof/>
                <w:webHidden/>
              </w:rPr>
              <w:fldChar w:fldCharType="separate"/>
            </w:r>
            <w:r w:rsidR="004E6A5A">
              <w:rPr>
                <w:noProof/>
                <w:webHidden/>
              </w:rPr>
              <w:t>2</w:t>
            </w:r>
            <w:r w:rsidR="004E6A5A">
              <w:rPr>
                <w:noProof/>
                <w:webHidden/>
              </w:rPr>
              <w:fldChar w:fldCharType="end"/>
            </w:r>
          </w:hyperlink>
        </w:p>
        <w:p w14:paraId="7B37FC54" w14:textId="6AC6AED9" w:rsidR="004E6A5A" w:rsidRDefault="004E6A5A">
          <w:pPr>
            <w:pStyle w:val="TOC1"/>
            <w:rPr>
              <w:rFonts w:asciiTheme="minorHAnsi" w:eastAsiaTheme="minorEastAsia" w:hAnsiTheme="minorHAnsi" w:cstheme="minorBidi"/>
              <w:noProof/>
              <w:kern w:val="2"/>
              <w:sz w:val="24"/>
              <w:szCs w:val="24"/>
              <w14:ligatures w14:val="standardContextual"/>
            </w:rPr>
          </w:pPr>
          <w:hyperlink w:anchor="_Toc224138565" w:history="1">
            <w:r w:rsidRPr="001C0CC9">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_Toc224138565 \h </w:instrText>
            </w:r>
            <w:r>
              <w:rPr>
                <w:noProof/>
                <w:webHidden/>
              </w:rPr>
            </w:r>
            <w:r>
              <w:rPr>
                <w:noProof/>
                <w:webHidden/>
              </w:rPr>
              <w:fldChar w:fldCharType="separate"/>
            </w:r>
            <w:r>
              <w:rPr>
                <w:noProof/>
                <w:webHidden/>
              </w:rPr>
              <w:t>3</w:t>
            </w:r>
            <w:r>
              <w:rPr>
                <w:noProof/>
                <w:webHidden/>
              </w:rPr>
              <w:fldChar w:fldCharType="end"/>
            </w:r>
          </w:hyperlink>
        </w:p>
        <w:p w14:paraId="2DD81289" w14:textId="12E6D8BA" w:rsidR="004E6A5A" w:rsidRDefault="004E6A5A">
          <w:pPr>
            <w:pStyle w:val="TOC1"/>
            <w:rPr>
              <w:rFonts w:asciiTheme="minorHAnsi" w:eastAsiaTheme="minorEastAsia" w:hAnsiTheme="minorHAnsi" w:cstheme="minorBidi"/>
              <w:noProof/>
              <w:kern w:val="2"/>
              <w:sz w:val="24"/>
              <w:szCs w:val="24"/>
              <w14:ligatures w14:val="standardContextual"/>
            </w:rPr>
          </w:pPr>
          <w:hyperlink w:anchor="_Toc224138566" w:history="1">
            <w:r w:rsidRPr="001C0CC9">
              <w:rPr>
                <w:rStyle w:val="Hyperlink"/>
                <w:rFonts w:cs="Arial"/>
                <w:noProof/>
              </w:rPr>
              <w:t>Table of Contents</w:t>
            </w:r>
            <w:r>
              <w:rPr>
                <w:noProof/>
                <w:webHidden/>
              </w:rPr>
              <w:tab/>
            </w:r>
            <w:r>
              <w:rPr>
                <w:noProof/>
                <w:webHidden/>
              </w:rPr>
              <w:fldChar w:fldCharType="begin"/>
            </w:r>
            <w:r>
              <w:rPr>
                <w:noProof/>
                <w:webHidden/>
              </w:rPr>
              <w:instrText xml:space="preserve"> PAGEREF _Toc224138566 \h </w:instrText>
            </w:r>
            <w:r>
              <w:rPr>
                <w:noProof/>
                <w:webHidden/>
              </w:rPr>
            </w:r>
            <w:r>
              <w:rPr>
                <w:noProof/>
                <w:webHidden/>
              </w:rPr>
              <w:fldChar w:fldCharType="separate"/>
            </w:r>
            <w:r>
              <w:rPr>
                <w:noProof/>
                <w:webHidden/>
              </w:rPr>
              <w:t>4</w:t>
            </w:r>
            <w:r>
              <w:rPr>
                <w:noProof/>
                <w:webHidden/>
              </w:rPr>
              <w:fldChar w:fldCharType="end"/>
            </w:r>
          </w:hyperlink>
        </w:p>
        <w:p w14:paraId="554BDA86" w14:textId="6BE276B1" w:rsidR="004E6A5A" w:rsidRDefault="004E6A5A">
          <w:pPr>
            <w:pStyle w:val="TOC1"/>
            <w:rPr>
              <w:rFonts w:asciiTheme="minorHAnsi" w:eastAsiaTheme="minorEastAsia" w:hAnsiTheme="minorHAnsi" w:cstheme="minorBidi"/>
              <w:noProof/>
              <w:kern w:val="2"/>
              <w:sz w:val="24"/>
              <w:szCs w:val="24"/>
              <w14:ligatures w14:val="standardContextual"/>
            </w:rPr>
          </w:pPr>
          <w:hyperlink w:anchor="_Toc224138567" w:history="1">
            <w:r w:rsidRPr="001C0CC9">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_Toc224138567 \h </w:instrText>
            </w:r>
            <w:r>
              <w:rPr>
                <w:noProof/>
                <w:webHidden/>
              </w:rPr>
            </w:r>
            <w:r>
              <w:rPr>
                <w:noProof/>
                <w:webHidden/>
              </w:rPr>
              <w:fldChar w:fldCharType="separate"/>
            </w:r>
            <w:r>
              <w:rPr>
                <w:noProof/>
                <w:webHidden/>
              </w:rPr>
              <w:t>9</w:t>
            </w:r>
            <w:r>
              <w:rPr>
                <w:noProof/>
                <w:webHidden/>
              </w:rPr>
              <w:fldChar w:fldCharType="end"/>
            </w:r>
          </w:hyperlink>
        </w:p>
        <w:p w14:paraId="5A0B2ED4" w14:textId="44B72CEC" w:rsidR="004E6A5A" w:rsidRDefault="004E6A5A">
          <w:pPr>
            <w:pStyle w:val="TOC1"/>
            <w:rPr>
              <w:rFonts w:asciiTheme="minorHAnsi" w:eastAsiaTheme="minorEastAsia" w:hAnsiTheme="minorHAnsi" w:cstheme="minorBidi"/>
              <w:noProof/>
              <w:kern w:val="2"/>
              <w:sz w:val="24"/>
              <w:szCs w:val="24"/>
              <w14:ligatures w14:val="standardContextual"/>
            </w:rPr>
          </w:pPr>
          <w:hyperlink w:anchor="_Toc224138568" w:history="1">
            <w:r w:rsidRPr="001C0CC9">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_Toc224138568 \h </w:instrText>
            </w:r>
            <w:r>
              <w:rPr>
                <w:noProof/>
                <w:webHidden/>
              </w:rPr>
            </w:r>
            <w:r>
              <w:rPr>
                <w:noProof/>
                <w:webHidden/>
              </w:rPr>
              <w:fldChar w:fldCharType="separate"/>
            </w:r>
            <w:r>
              <w:rPr>
                <w:noProof/>
                <w:webHidden/>
              </w:rPr>
              <w:t>10</w:t>
            </w:r>
            <w:r>
              <w:rPr>
                <w:noProof/>
                <w:webHidden/>
              </w:rPr>
              <w:fldChar w:fldCharType="end"/>
            </w:r>
          </w:hyperlink>
        </w:p>
        <w:p w14:paraId="7A106749" w14:textId="243BA150"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69" w:history="1">
            <w:r w:rsidRPr="001C0CC9">
              <w:rPr>
                <w:rStyle w:val="Hyperlink"/>
                <w:rFonts w:cs="Arial"/>
                <w:noProof/>
              </w:rPr>
              <w:t>Program Overview</w:t>
            </w:r>
            <w:r>
              <w:rPr>
                <w:noProof/>
                <w:webHidden/>
              </w:rPr>
              <w:tab/>
            </w:r>
            <w:r>
              <w:rPr>
                <w:noProof/>
                <w:webHidden/>
              </w:rPr>
              <w:fldChar w:fldCharType="begin"/>
            </w:r>
            <w:r>
              <w:rPr>
                <w:noProof/>
                <w:webHidden/>
              </w:rPr>
              <w:instrText xml:space="preserve"> PAGEREF _Toc224138569 \h </w:instrText>
            </w:r>
            <w:r>
              <w:rPr>
                <w:noProof/>
                <w:webHidden/>
              </w:rPr>
            </w:r>
            <w:r>
              <w:rPr>
                <w:noProof/>
                <w:webHidden/>
              </w:rPr>
              <w:fldChar w:fldCharType="separate"/>
            </w:r>
            <w:r>
              <w:rPr>
                <w:noProof/>
                <w:webHidden/>
              </w:rPr>
              <w:t>10</w:t>
            </w:r>
            <w:r>
              <w:rPr>
                <w:noProof/>
                <w:webHidden/>
              </w:rPr>
              <w:fldChar w:fldCharType="end"/>
            </w:r>
          </w:hyperlink>
        </w:p>
        <w:p w14:paraId="6257476A" w14:textId="3854915C"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70" w:history="1">
            <w:r w:rsidRPr="001C0CC9">
              <w:rPr>
                <w:rStyle w:val="Hyperlink"/>
                <w:rFonts w:cs="Arial"/>
                <w:noProof/>
              </w:rPr>
              <w:t>Testing Considerations</w:t>
            </w:r>
            <w:r>
              <w:rPr>
                <w:noProof/>
                <w:webHidden/>
              </w:rPr>
              <w:tab/>
            </w:r>
            <w:r>
              <w:rPr>
                <w:noProof/>
                <w:webHidden/>
              </w:rPr>
              <w:fldChar w:fldCharType="begin"/>
            </w:r>
            <w:r>
              <w:rPr>
                <w:noProof/>
                <w:webHidden/>
              </w:rPr>
              <w:instrText xml:space="preserve"> PAGEREF _Toc224138570 \h </w:instrText>
            </w:r>
            <w:r>
              <w:rPr>
                <w:noProof/>
                <w:webHidden/>
              </w:rPr>
            </w:r>
            <w:r>
              <w:rPr>
                <w:noProof/>
                <w:webHidden/>
              </w:rPr>
              <w:fldChar w:fldCharType="separate"/>
            </w:r>
            <w:r>
              <w:rPr>
                <w:noProof/>
                <w:webHidden/>
              </w:rPr>
              <w:t>11</w:t>
            </w:r>
            <w:r>
              <w:rPr>
                <w:noProof/>
                <w:webHidden/>
              </w:rPr>
              <w:fldChar w:fldCharType="end"/>
            </w:r>
          </w:hyperlink>
        </w:p>
        <w:p w14:paraId="495B9CED" w14:textId="41B37D24"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71" w:history="1">
            <w:r w:rsidRPr="001C0CC9">
              <w:rPr>
                <w:rStyle w:val="Hyperlink"/>
                <w:rFonts w:cs="Arial"/>
                <w:noProof/>
              </w:rPr>
              <w:t>Reporting</w:t>
            </w:r>
            <w:r>
              <w:rPr>
                <w:noProof/>
                <w:webHidden/>
              </w:rPr>
              <w:tab/>
            </w:r>
            <w:r>
              <w:rPr>
                <w:noProof/>
                <w:webHidden/>
              </w:rPr>
              <w:fldChar w:fldCharType="begin"/>
            </w:r>
            <w:r>
              <w:rPr>
                <w:noProof/>
                <w:webHidden/>
              </w:rPr>
              <w:instrText xml:space="preserve"> PAGEREF _Toc224138571 \h </w:instrText>
            </w:r>
            <w:r>
              <w:rPr>
                <w:noProof/>
                <w:webHidden/>
              </w:rPr>
            </w:r>
            <w:r>
              <w:rPr>
                <w:noProof/>
                <w:webHidden/>
              </w:rPr>
              <w:fldChar w:fldCharType="separate"/>
            </w:r>
            <w:r>
              <w:rPr>
                <w:noProof/>
                <w:webHidden/>
              </w:rPr>
              <w:t>11</w:t>
            </w:r>
            <w:r>
              <w:rPr>
                <w:noProof/>
                <w:webHidden/>
              </w:rPr>
              <w:fldChar w:fldCharType="end"/>
            </w:r>
          </w:hyperlink>
        </w:p>
        <w:p w14:paraId="5AA00DC2" w14:textId="00212C3B" w:rsidR="004E6A5A" w:rsidRDefault="004E6A5A">
          <w:pPr>
            <w:pStyle w:val="TOC1"/>
            <w:rPr>
              <w:rFonts w:asciiTheme="minorHAnsi" w:eastAsiaTheme="minorEastAsia" w:hAnsiTheme="minorHAnsi" w:cstheme="minorBidi"/>
              <w:noProof/>
              <w:kern w:val="2"/>
              <w:sz w:val="24"/>
              <w:szCs w:val="24"/>
              <w14:ligatures w14:val="standardContextual"/>
            </w:rPr>
          </w:pPr>
          <w:hyperlink w:anchor="_Toc224138572" w:history="1">
            <w:r w:rsidRPr="001C0CC9">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_Toc224138572 \h </w:instrText>
            </w:r>
            <w:r>
              <w:rPr>
                <w:noProof/>
                <w:webHidden/>
              </w:rPr>
            </w:r>
            <w:r>
              <w:rPr>
                <w:noProof/>
                <w:webHidden/>
              </w:rPr>
              <w:fldChar w:fldCharType="separate"/>
            </w:r>
            <w:r>
              <w:rPr>
                <w:noProof/>
                <w:webHidden/>
              </w:rPr>
              <w:t>12</w:t>
            </w:r>
            <w:r>
              <w:rPr>
                <w:noProof/>
                <w:webHidden/>
              </w:rPr>
              <w:fldChar w:fldCharType="end"/>
            </w:r>
          </w:hyperlink>
        </w:p>
        <w:p w14:paraId="493CA743" w14:textId="10768547" w:rsidR="004E6A5A" w:rsidRDefault="004E6A5A">
          <w:pPr>
            <w:pStyle w:val="TOC2"/>
            <w:rPr>
              <w:rFonts w:asciiTheme="minorHAnsi" w:eastAsiaTheme="minorEastAsia" w:hAnsiTheme="minorHAnsi" w:cstheme="minorBidi"/>
              <w:bCs w:val="0"/>
              <w:kern w:val="2"/>
              <w:sz w:val="24"/>
              <w14:ligatures w14:val="standardContextual"/>
            </w:rPr>
          </w:pPr>
          <w:hyperlink w:anchor="_Toc224138573" w:history="1">
            <w:r w:rsidRPr="001C0CC9">
              <w:rPr>
                <w:rStyle w:val="Hyperlink"/>
              </w:rPr>
              <w:t>A.  ACTIVITIES ALLOWED OR UNALLOWED</w:t>
            </w:r>
            <w:r>
              <w:rPr>
                <w:webHidden/>
              </w:rPr>
              <w:tab/>
            </w:r>
            <w:r>
              <w:rPr>
                <w:webHidden/>
              </w:rPr>
              <w:fldChar w:fldCharType="begin"/>
            </w:r>
            <w:r>
              <w:rPr>
                <w:webHidden/>
              </w:rPr>
              <w:instrText xml:space="preserve"> PAGEREF _Toc224138573 \h </w:instrText>
            </w:r>
            <w:r>
              <w:rPr>
                <w:webHidden/>
              </w:rPr>
            </w:r>
            <w:r>
              <w:rPr>
                <w:webHidden/>
              </w:rPr>
              <w:fldChar w:fldCharType="separate"/>
            </w:r>
            <w:r>
              <w:rPr>
                <w:webHidden/>
              </w:rPr>
              <w:t>12</w:t>
            </w:r>
            <w:r>
              <w:rPr>
                <w:webHidden/>
              </w:rPr>
              <w:fldChar w:fldCharType="end"/>
            </w:r>
          </w:hyperlink>
        </w:p>
        <w:p w14:paraId="36E9A2BC" w14:textId="12BA4D43"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74"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_Toc224138574 \h </w:instrText>
            </w:r>
            <w:r>
              <w:rPr>
                <w:noProof/>
                <w:webHidden/>
              </w:rPr>
            </w:r>
            <w:r>
              <w:rPr>
                <w:noProof/>
                <w:webHidden/>
              </w:rPr>
              <w:fldChar w:fldCharType="separate"/>
            </w:r>
            <w:r>
              <w:rPr>
                <w:noProof/>
                <w:webHidden/>
              </w:rPr>
              <w:t>12</w:t>
            </w:r>
            <w:r>
              <w:rPr>
                <w:noProof/>
                <w:webHidden/>
              </w:rPr>
              <w:fldChar w:fldCharType="end"/>
            </w:r>
          </w:hyperlink>
        </w:p>
        <w:p w14:paraId="3C14E7A1" w14:textId="08A9F2EA"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75"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_Toc224138575 \h </w:instrText>
            </w:r>
            <w:r>
              <w:rPr>
                <w:noProof/>
                <w:webHidden/>
              </w:rPr>
            </w:r>
            <w:r>
              <w:rPr>
                <w:noProof/>
                <w:webHidden/>
              </w:rPr>
              <w:fldChar w:fldCharType="separate"/>
            </w:r>
            <w:r>
              <w:rPr>
                <w:noProof/>
                <w:webHidden/>
              </w:rPr>
              <w:t>12</w:t>
            </w:r>
            <w:r>
              <w:rPr>
                <w:noProof/>
                <w:webHidden/>
              </w:rPr>
              <w:fldChar w:fldCharType="end"/>
            </w:r>
          </w:hyperlink>
        </w:p>
        <w:p w14:paraId="0906E375" w14:textId="66DE2EE1"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76" w:history="1">
            <w:r w:rsidRPr="001C0CC9">
              <w:rPr>
                <w:rStyle w:val="Hyperlink"/>
                <w:noProof/>
              </w:rPr>
              <w:t>Audit Objectives and Control Testing</w:t>
            </w:r>
            <w:r>
              <w:rPr>
                <w:noProof/>
                <w:webHidden/>
              </w:rPr>
              <w:tab/>
            </w:r>
            <w:r>
              <w:rPr>
                <w:noProof/>
                <w:webHidden/>
              </w:rPr>
              <w:fldChar w:fldCharType="begin"/>
            </w:r>
            <w:r>
              <w:rPr>
                <w:noProof/>
                <w:webHidden/>
              </w:rPr>
              <w:instrText xml:space="preserve"> PAGEREF _Toc224138576 \h </w:instrText>
            </w:r>
            <w:r>
              <w:rPr>
                <w:noProof/>
                <w:webHidden/>
              </w:rPr>
            </w:r>
            <w:r>
              <w:rPr>
                <w:noProof/>
                <w:webHidden/>
              </w:rPr>
              <w:fldChar w:fldCharType="separate"/>
            </w:r>
            <w:r>
              <w:rPr>
                <w:noProof/>
                <w:webHidden/>
              </w:rPr>
              <w:t>17</w:t>
            </w:r>
            <w:r>
              <w:rPr>
                <w:noProof/>
                <w:webHidden/>
              </w:rPr>
              <w:fldChar w:fldCharType="end"/>
            </w:r>
          </w:hyperlink>
        </w:p>
        <w:p w14:paraId="6850BC6B" w14:textId="05D5E998"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77"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_Toc224138577 \h </w:instrText>
            </w:r>
            <w:r>
              <w:rPr>
                <w:noProof/>
                <w:webHidden/>
              </w:rPr>
            </w:r>
            <w:r>
              <w:rPr>
                <w:noProof/>
                <w:webHidden/>
              </w:rPr>
              <w:fldChar w:fldCharType="separate"/>
            </w:r>
            <w:r>
              <w:rPr>
                <w:noProof/>
                <w:webHidden/>
              </w:rPr>
              <w:t>18</w:t>
            </w:r>
            <w:r>
              <w:rPr>
                <w:noProof/>
                <w:webHidden/>
              </w:rPr>
              <w:fldChar w:fldCharType="end"/>
            </w:r>
          </w:hyperlink>
        </w:p>
        <w:p w14:paraId="7C59488F" w14:textId="126AD4FF"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78"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_Toc224138578 \h </w:instrText>
            </w:r>
            <w:r>
              <w:rPr>
                <w:noProof/>
                <w:webHidden/>
              </w:rPr>
            </w:r>
            <w:r>
              <w:rPr>
                <w:noProof/>
                <w:webHidden/>
              </w:rPr>
              <w:fldChar w:fldCharType="separate"/>
            </w:r>
            <w:r>
              <w:rPr>
                <w:noProof/>
                <w:webHidden/>
              </w:rPr>
              <w:t>18</w:t>
            </w:r>
            <w:r>
              <w:rPr>
                <w:noProof/>
                <w:webHidden/>
              </w:rPr>
              <w:fldChar w:fldCharType="end"/>
            </w:r>
          </w:hyperlink>
        </w:p>
        <w:p w14:paraId="0841812D" w14:textId="0D880B00" w:rsidR="004E6A5A" w:rsidRDefault="004E6A5A">
          <w:pPr>
            <w:pStyle w:val="TOC2"/>
            <w:rPr>
              <w:rFonts w:asciiTheme="minorHAnsi" w:eastAsiaTheme="minorEastAsia" w:hAnsiTheme="minorHAnsi" w:cstheme="minorBidi"/>
              <w:bCs w:val="0"/>
              <w:kern w:val="2"/>
              <w:sz w:val="24"/>
              <w14:ligatures w14:val="standardContextual"/>
            </w:rPr>
          </w:pPr>
          <w:hyperlink w:anchor="_Toc224138579" w:history="1">
            <w:r w:rsidRPr="001C0CC9">
              <w:rPr>
                <w:rStyle w:val="Hyperlink"/>
              </w:rPr>
              <w:t>B.  ALLOWABLE COSTS/COST PRINCIPLES</w:t>
            </w:r>
            <w:r>
              <w:rPr>
                <w:webHidden/>
              </w:rPr>
              <w:tab/>
            </w:r>
            <w:r>
              <w:rPr>
                <w:webHidden/>
              </w:rPr>
              <w:fldChar w:fldCharType="begin"/>
            </w:r>
            <w:r>
              <w:rPr>
                <w:webHidden/>
              </w:rPr>
              <w:instrText xml:space="preserve"> PAGEREF _Toc224138579 \h </w:instrText>
            </w:r>
            <w:r>
              <w:rPr>
                <w:webHidden/>
              </w:rPr>
            </w:r>
            <w:r>
              <w:rPr>
                <w:webHidden/>
              </w:rPr>
              <w:fldChar w:fldCharType="separate"/>
            </w:r>
            <w:r>
              <w:rPr>
                <w:webHidden/>
              </w:rPr>
              <w:t>20</w:t>
            </w:r>
            <w:r>
              <w:rPr>
                <w:webHidden/>
              </w:rPr>
              <w:fldChar w:fldCharType="end"/>
            </w:r>
          </w:hyperlink>
        </w:p>
        <w:p w14:paraId="54054C20" w14:textId="185FEB6C"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0" w:history="1">
            <w:r w:rsidRPr="001C0CC9">
              <w:rPr>
                <w:rStyle w:val="Hyperlink"/>
                <w:rFonts w:cs="Arial"/>
                <w:noProof/>
              </w:rPr>
              <w:t>Applicability of Cost Principles</w:t>
            </w:r>
            <w:r>
              <w:rPr>
                <w:noProof/>
                <w:webHidden/>
              </w:rPr>
              <w:tab/>
            </w:r>
            <w:r>
              <w:rPr>
                <w:noProof/>
                <w:webHidden/>
              </w:rPr>
              <w:fldChar w:fldCharType="begin"/>
            </w:r>
            <w:r>
              <w:rPr>
                <w:noProof/>
                <w:webHidden/>
              </w:rPr>
              <w:instrText xml:space="preserve"> PAGEREF _Toc224138580 \h </w:instrText>
            </w:r>
            <w:r>
              <w:rPr>
                <w:noProof/>
                <w:webHidden/>
              </w:rPr>
            </w:r>
            <w:r>
              <w:rPr>
                <w:noProof/>
                <w:webHidden/>
              </w:rPr>
              <w:fldChar w:fldCharType="separate"/>
            </w:r>
            <w:r>
              <w:rPr>
                <w:noProof/>
                <w:webHidden/>
              </w:rPr>
              <w:t>21</w:t>
            </w:r>
            <w:r>
              <w:rPr>
                <w:noProof/>
                <w:webHidden/>
              </w:rPr>
              <w:fldChar w:fldCharType="end"/>
            </w:r>
          </w:hyperlink>
        </w:p>
        <w:p w14:paraId="6A464AFA" w14:textId="0A538E83"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1"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_Toc224138581 \h </w:instrText>
            </w:r>
            <w:r>
              <w:rPr>
                <w:noProof/>
                <w:webHidden/>
              </w:rPr>
            </w:r>
            <w:r>
              <w:rPr>
                <w:noProof/>
                <w:webHidden/>
              </w:rPr>
              <w:fldChar w:fldCharType="separate"/>
            </w:r>
            <w:r>
              <w:rPr>
                <w:noProof/>
                <w:webHidden/>
              </w:rPr>
              <w:t>23</w:t>
            </w:r>
            <w:r>
              <w:rPr>
                <w:noProof/>
                <w:webHidden/>
              </w:rPr>
              <w:fldChar w:fldCharType="end"/>
            </w:r>
          </w:hyperlink>
        </w:p>
        <w:p w14:paraId="25B7537B" w14:textId="00F6702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2" w:history="1">
            <w:r w:rsidRPr="001C0CC9">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_Toc224138582 \h </w:instrText>
            </w:r>
            <w:r>
              <w:rPr>
                <w:noProof/>
                <w:webHidden/>
              </w:rPr>
            </w:r>
            <w:r>
              <w:rPr>
                <w:noProof/>
                <w:webHidden/>
              </w:rPr>
              <w:fldChar w:fldCharType="separate"/>
            </w:r>
            <w:r>
              <w:rPr>
                <w:noProof/>
                <w:webHidden/>
              </w:rPr>
              <w:t>24</w:t>
            </w:r>
            <w:r>
              <w:rPr>
                <w:noProof/>
                <w:webHidden/>
              </w:rPr>
              <w:fldChar w:fldCharType="end"/>
            </w:r>
          </w:hyperlink>
        </w:p>
        <w:p w14:paraId="050A566D" w14:textId="18D6CECF"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3"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_Toc224138583 \h </w:instrText>
            </w:r>
            <w:r>
              <w:rPr>
                <w:noProof/>
                <w:webHidden/>
              </w:rPr>
            </w:r>
            <w:r>
              <w:rPr>
                <w:noProof/>
                <w:webHidden/>
              </w:rPr>
              <w:fldChar w:fldCharType="separate"/>
            </w:r>
            <w:r>
              <w:rPr>
                <w:noProof/>
                <w:webHidden/>
              </w:rPr>
              <w:t>24</w:t>
            </w:r>
            <w:r>
              <w:rPr>
                <w:noProof/>
                <w:webHidden/>
              </w:rPr>
              <w:fldChar w:fldCharType="end"/>
            </w:r>
          </w:hyperlink>
        </w:p>
        <w:p w14:paraId="78A244AC" w14:textId="3FB8E8B9"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4"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_Toc224138584 \h </w:instrText>
            </w:r>
            <w:r>
              <w:rPr>
                <w:noProof/>
                <w:webHidden/>
              </w:rPr>
            </w:r>
            <w:r>
              <w:rPr>
                <w:noProof/>
                <w:webHidden/>
              </w:rPr>
              <w:fldChar w:fldCharType="separate"/>
            </w:r>
            <w:r>
              <w:rPr>
                <w:noProof/>
                <w:webHidden/>
              </w:rPr>
              <w:t>32</w:t>
            </w:r>
            <w:r>
              <w:rPr>
                <w:noProof/>
                <w:webHidden/>
              </w:rPr>
              <w:fldChar w:fldCharType="end"/>
            </w:r>
          </w:hyperlink>
        </w:p>
        <w:p w14:paraId="043179B7" w14:textId="21F5FE6E" w:rsidR="004E6A5A" w:rsidRDefault="004E6A5A">
          <w:pPr>
            <w:pStyle w:val="TOC2"/>
            <w:rPr>
              <w:rFonts w:asciiTheme="minorHAnsi" w:eastAsiaTheme="minorEastAsia" w:hAnsiTheme="minorHAnsi" w:cstheme="minorBidi"/>
              <w:bCs w:val="0"/>
              <w:kern w:val="2"/>
              <w:sz w:val="24"/>
              <w14:ligatures w14:val="standardContextual"/>
            </w:rPr>
          </w:pPr>
          <w:hyperlink w:anchor="_Toc224138585" w:history="1">
            <w:r w:rsidRPr="001C0CC9">
              <w:rPr>
                <w:rStyle w:val="Hyperlink"/>
              </w:rPr>
              <w:t>C. CASH MANAGEMENT</w:t>
            </w:r>
            <w:r>
              <w:rPr>
                <w:webHidden/>
              </w:rPr>
              <w:tab/>
            </w:r>
            <w:r>
              <w:rPr>
                <w:webHidden/>
              </w:rPr>
              <w:fldChar w:fldCharType="begin"/>
            </w:r>
            <w:r>
              <w:rPr>
                <w:webHidden/>
              </w:rPr>
              <w:instrText xml:space="preserve"> PAGEREF _Toc224138585 \h </w:instrText>
            </w:r>
            <w:r>
              <w:rPr>
                <w:webHidden/>
              </w:rPr>
            </w:r>
            <w:r>
              <w:rPr>
                <w:webHidden/>
              </w:rPr>
              <w:fldChar w:fldCharType="separate"/>
            </w:r>
            <w:r>
              <w:rPr>
                <w:webHidden/>
              </w:rPr>
              <w:t>34</w:t>
            </w:r>
            <w:r>
              <w:rPr>
                <w:webHidden/>
              </w:rPr>
              <w:fldChar w:fldCharType="end"/>
            </w:r>
          </w:hyperlink>
        </w:p>
        <w:p w14:paraId="79172570" w14:textId="138CCDA7"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6"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_Toc224138586 \h </w:instrText>
            </w:r>
            <w:r>
              <w:rPr>
                <w:noProof/>
                <w:webHidden/>
              </w:rPr>
            </w:r>
            <w:r>
              <w:rPr>
                <w:noProof/>
                <w:webHidden/>
              </w:rPr>
              <w:fldChar w:fldCharType="separate"/>
            </w:r>
            <w:r>
              <w:rPr>
                <w:noProof/>
                <w:webHidden/>
              </w:rPr>
              <w:t>34</w:t>
            </w:r>
            <w:r>
              <w:rPr>
                <w:noProof/>
                <w:webHidden/>
              </w:rPr>
              <w:fldChar w:fldCharType="end"/>
            </w:r>
          </w:hyperlink>
        </w:p>
        <w:p w14:paraId="0804303A" w14:textId="54BE3C48"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7"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_Toc224138587 \h </w:instrText>
            </w:r>
            <w:r>
              <w:rPr>
                <w:noProof/>
                <w:webHidden/>
              </w:rPr>
            </w:r>
            <w:r>
              <w:rPr>
                <w:noProof/>
                <w:webHidden/>
              </w:rPr>
              <w:fldChar w:fldCharType="separate"/>
            </w:r>
            <w:r>
              <w:rPr>
                <w:noProof/>
                <w:webHidden/>
              </w:rPr>
              <w:t>36</w:t>
            </w:r>
            <w:r>
              <w:rPr>
                <w:noProof/>
                <w:webHidden/>
              </w:rPr>
              <w:fldChar w:fldCharType="end"/>
            </w:r>
          </w:hyperlink>
        </w:p>
        <w:p w14:paraId="23BAE256" w14:textId="3414A1C7"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8"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_Toc224138588 \h </w:instrText>
            </w:r>
            <w:r>
              <w:rPr>
                <w:noProof/>
                <w:webHidden/>
              </w:rPr>
            </w:r>
            <w:r>
              <w:rPr>
                <w:noProof/>
                <w:webHidden/>
              </w:rPr>
              <w:fldChar w:fldCharType="separate"/>
            </w:r>
            <w:r>
              <w:rPr>
                <w:noProof/>
                <w:webHidden/>
              </w:rPr>
              <w:t>36</w:t>
            </w:r>
            <w:r>
              <w:rPr>
                <w:noProof/>
                <w:webHidden/>
              </w:rPr>
              <w:fldChar w:fldCharType="end"/>
            </w:r>
          </w:hyperlink>
        </w:p>
        <w:p w14:paraId="5389B8BC" w14:textId="097AF972"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89"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_Toc224138589 \h </w:instrText>
            </w:r>
            <w:r>
              <w:rPr>
                <w:noProof/>
                <w:webHidden/>
              </w:rPr>
            </w:r>
            <w:r>
              <w:rPr>
                <w:noProof/>
                <w:webHidden/>
              </w:rPr>
              <w:fldChar w:fldCharType="separate"/>
            </w:r>
            <w:r>
              <w:rPr>
                <w:noProof/>
                <w:webHidden/>
              </w:rPr>
              <w:t>37</w:t>
            </w:r>
            <w:r>
              <w:rPr>
                <w:noProof/>
                <w:webHidden/>
              </w:rPr>
              <w:fldChar w:fldCharType="end"/>
            </w:r>
          </w:hyperlink>
        </w:p>
        <w:p w14:paraId="6580E6AD" w14:textId="645AD6C1"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0"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_Toc224138590 \h </w:instrText>
            </w:r>
            <w:r>
              <w:rPr>
                <w:noProof/>
                <w:webHidden/>
              </w:rPr>
            </w:r>
            <w:r>
              <w:rPr>
                <w:noProof/>
                <w:webHidden/>
              </w:rPr>
              <w:fldChar w:fldCharType="separate"/>
            </w:r>
            <w:r>
              <w:rPr>
                <w:noProof/>
                <w:webHidden/>
              </w:rPr>
              <w:t>39</w:t>
            </w:r>
            <w:r>
              <w:rPr>
                <w:noProof/>
                <w:webHidden/>
              </w:rPr>
              <w:fldChar w:fldCharType="end"/>
            </w:r>
          </w:hyperlink>
        </w:p>
        <w:p w14:paraId="1D1E67A5" w14:textId="3630482B" w:rsidR="004E6A5A" w:rsidRDefault="004E6A5A">
          <w:pPr>
            <w:pStyle w:val="TOC2"/>
            <w:rPr>
              <w:rFonts w:asciiTheme="minorHAnsi" w:eastAsiaTheme="minorEastAsia" w:hAnsiTheme="minorHAnsi" w:cstheme="minorBidi"/>
              <w:bCs w:val="0"/>
              <w:kern w:val="2"/>
              <w:sz w:val="24"/>
              <w14:ligatures w14:val="standardContextual"/>
            </w:rPr>
          </w:pPr>
          <w:hyperlink w:anchor="_Toc224138591" w:history="1">
            <w:r w:rsidRPr="001C0CC9">
              <w:rPr>
                <w:rStyle w:val="Hyperlink"/>
              </w:rPr>
              <w:t>E.  ELIGIBILITY</w:t>
            </w:r>
            <w:r>
              <w:rPr>
                <w:webHidden/>
              </w:rPr>
              <w:tab/>
            </w:r>
            <w:r>
              <w:rPr>
                <w:webHidden/>
              </w:rPr>
              <w:fldChar w:fldCharType="begin"/>
            </w:r>
            <w:r>
              <w:rPr>
                <w:webHidden/>
              </w:rPr>
              <w:instrText xml:space="preserve"> PAGEREF _Toc224138591 \h </w:instrText>
            </w:r>
            <w:r>
              <w:rPr>
                <w:webHidden/>
              </w:rPr>
            </w:r>
            <w:r>
              <w:rPr>
                <w:webHidden/>
              </w:rPr>
              <w:fldChar w:fldCharType="separate"/>
            </w:r>
            <w:r>
              <w:rPr>
                <w:webHidden/>
              </w:rPr>
              <w:t>40</w:t>
            </w:r>
            <w:r>
              <w:rPr>
                <w:webHidden/>
              </w:rPr>
              <w:fldChar w:fldCharType="end"/>
            </w:r>
          </w:hyperlink>
        </w:p>
        <w:p w14:paraId="327AF4E4" w14:textId="384A7C6B"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2"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_Toc224138592 \h </w:instrText>
            </w:r>
            <w:r>
              <w:rPr>
                <w:noProof/>
                <w:webHidden/>
              </w:rPr>
            </w:r>
            <w:r>
              <w:rPr>
                <w:noProof/>
                <w:webHidden/>
              </w:rPr>
              <w:fldChar w:fldCharType="separate"/>
            </w:r>
            <w:r>
              <w:rPr>
                <w:noProof/>
                <w:webHidden/>
              </w:rPr>
              <w:t>40</w:t>
            </w:r>
            <w:r>
              <w:rPr>
                <w:noProof/>
                <w:webHidden/>
              </w:rPr>
              <w:fldChar w:fldCharType="end"/>
            </w:r>
          </w:hyperlink>
        </w:p>
        <w:p w14:paraId="3211A166" w14:textId="70C99E57"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3"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_Toc224138593 \h </w:instrText>
            </w:r>
            <w:r>
              <w:rPr>
                <w:noProof/>
                <w:webHidden/>
              </w:rPr>
            </w:r>
            <w:r>
              <w:rPr>
                <w:noProof/>
                <w:webHidden/>
              </w:rPr>
              <w:fldChar w:fldCharType="separate"/>
            </w:r>
            <w:r>
              <w:rPr>
                <w:noProof/>
                <w:webHidden/>
              </w:rPr>
              <w:t>40</w:t>
            </w:r>
            <w:r>
              <w:rPr>
                <w:noProof/>
                <w:webHidden/>
              </w:rPr>
              <w:fldChar w:fldCharType="end"/>
            </w:r>
          </w:hyperlink>
        </w:p>
        <w:p w14:paraId="6969A656" w14:textId="1968FB47"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4"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_Toc224138594 \h </w:instrText>
            </w:r>
            <w:r>
              <w:rPr>
                <w:noProof/>
                <w:webHidden/>
              </w:rPr>
            </w:r>
            <w:r>
              <w:rPr>
                <w:noProof/>
                <w:webHidden/>
              </w:rPr>
              <w:fldChar w:fldCharType="separate"/>
            </w:r>
            <w:r>
              <w:rPr>
                <w:noProof/>
                <w:webHidden/>
              </w:rPr>
              <w:t>40</w:t>
            </w:r>
            <w:r>
              <w:rPr>
                <w:noProof/>
                <w:webHidden/>
              </w:rPr>
              <w:fldChar w:fldCharType="end"/>
            </w:r>
          </w:hyperlink>
        </w:p>
        <w:p w14:paraId="151F1ABF" w14:textId="2676A85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5"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_Toc224138595 \h </w:instrText>
            </w:r>
            <w:r>
              <w:rPr>
                <w:noProof/>
                <w:webHidden/>
              </w:rPr>
            </w:r>
            <w:r>
              <w:rPr>
                <w:noProof/>
                <w:webHidden/>
              </w:rPr>
              <w:fldChar w:fldCharType="separate"/>
            </w:r>
            <w:r>
              <w:rPr>
                <w:noProof/>
                <w:webHidden/>
              </w:rPr>
              <w:t>41</w:t>
            </w:r>
            <w:r>
              <w:rPr>
                <w:noProof/>
                <w:webHidden/>
              </w:rPr>
              <w:fldChar w:fldCharType="end"/>
            </w:r>
          </w:hyperlink>
        </w:p>
        <w:p w14:paraId="6551BB45" w14:textId="16FE09BA"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6"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_Toc224138596 \h </w:instrText>
            </w:r>
            <w:r>
              <w:rPr>
                <w:noProof/>
                <w:webHidden/>
              </w:rPr>
            </w:r>
            <w:r>
              <w:rPr>
                <w:noProof/>
                <w:webHidden/>
              </w:rPr>
              <w:fldChar w:fldCharType="separate"/>
            </w:r>
            <w:r>
              <w:rPr>
                <w:noProof/>
                <w:webHidden/>
              </w:rPr>
              <w:t>44</w:t>
            </w:r>
            <w:r>
              <w:rPr>
                <w:noProof/>
                <w:webHidden/>
              </w:rPr>
              <w:fldChar w:fldCharType="end"/>
            </w:r>
          </w:hyperlink>
        </w:p>
        <w:p w14:paraId="0B8A3484" w14:textId="4F115D88" w:rsidR="004E6A5A" w:rsidRDefault="004E6A5A">
          <w:pPr>
            <w:pStyle w:val="TOC2"/>
            <w:rPr>
              <w:rFonts w:asciiTheme="minorHAnsi" w:eastAsiaTheme="minorEastAsia" w:hAnsiTheme="minorHAnsi" w:cstheme="minorBidi"/>
              <w:bCs w:val="0"/>
              <w:kern w:val="2"/>
              <w:sz w:val="24"/>
              <w14:ligatures w14:val="standardContextual"/>
            </w:rPr>
          </w:pPr>
          <w:hyperlink w:anchor="_Toc224138597" w:history="1">
            <w:r w:rsidRPr="001C0CC9">
              <w:rPr>
                <w:rStyle w:val="Hyperlink"/>
              </w:rPr>
              <w:t>F.  EQUIPMENT AND REAL PROPERTY MANAGEMENT</w:t>
            </w:r>
            <w:r>
              <w:rPr>
                <w:webHidden/>
              </w:rPr>
              <w:tab/>
            </w:r>
            <w:r>
              <w:rPr>
                <w:webHidden/>
              </w:rPr>
              <w:fldChar w:fldCharType="begin"/>
            </w:r>
            <w:r>
              <w:rPr>
                <w:webHidden/>
              </w:rPr>
              <w:instrText xml:space="preserve"> PAGEREF _Toc224138597 \h </w:instrText>
            </w:r>
            <w:r>
              <w:rPr>
                <w:webHidden/>
              </w:rPr>
            </w:r>
            <w:r>
              <w:rPr>
                <w:webHidden/>
              </w:rPr>
              <w:fldChar w:fldCharType="separate"/>
            </w:r>
            <w:r>
              <w:rPr>
                <w:webHidden/>
              </w:rPr>
              <w:t>45</w:t>
            </w:r>
            <w:r>
              <w:rPr>
                <w:webHidden/>
              </w:rPr>
              <w:fldChar w:fldCharType="end"/>
            </w:r>
          </w:hyperlink>
        </w:p>
        <w:p w14:paraId="500D5563" w14:textId="2F77A813"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8" w:history="1">
            <w:r w:rsidRPr="001C0CC9">
              <w:rPr>
                <w:rStyle w:val="Hyperlink"/>
                <w:noProof/>
              </w:rPr>
              <w:t>OMB Compliance Requirements</w:t>
            </w:r>
            <w:r>
              <w:rPr>
                <w:noProof/>
                <w:webHidden/>
              </w:rPr>
              <w:tab/>
            </w:r>
            <w:r>
              <w:rPr>
                <w:noProof/>
                <w:webHidden/>
              </w:rPr>
              <w:fldChar w:fldCharType="begin"/>
            </w:r>
            <w:r>
              <w:rPr>
                <w:noProof/>
                <w:webHidden/>
              </w:rPr>
              <w:instrText xml:space="preserve"> PAGEREF _Toc224138598 \h </w:instrText>
            </w:r>
            <w:r>
              <w:rPr>
                <w:noProof/>
                <w:webHidden/>
              </w:rPr>
            </w:r>
            <w:r>
              <w:rPr>
                <w:noProof/>
                <w:webHidden/>
              </w:rPr>
              <w:fldChar w:fldCharType="separate"/>
            </w:r>
            <w:r>
              <w:rPr>
                <w:noProof/>
                <w:webHidden/>
              </w:rPr>
              <w:t>45</w:t>
            </w:r>
            <w:r>
              <w:rPr>
                <w:noProof/>
                <w:webHidden/>
              </w:rPr>
              <w:fldChar w:fldCharType="end"/>
            </w:r>
          </w:hyperlink>
        </w:p>
        <w:p w14:paraId="2A91A1F7" w14:textId="38049F8B"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599"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_Toc224138599 \h </w:instrText>
            </w:r>
            <w:r>
              <w:rPr>
                <w:noProof/>
                <w:webHidden/>
              </w:rPr>
            </w:r>
            <w:r>
              <w:rPr>
                <w:noProof/>
                <w:webHidden/>
              </w:rPr>
              <w:fldChar w:fldCharType="separate"/>
            </w:r>
            <w:r>
              <w:rPr>
                <w:noProof/>
                <w:webHidden/>
              </w:rPr>
              <w:t>47</w:t>
            </w:r>
            <w:r>
              <w:rPr>
                <w:noProof/>
                <w:webHidden/>
              </w:rPr>
              <w:fldChar w:fldCharType="end"/>
            </w:r>
          </w:hyperlink>
        </w:p>
        <w:p w14:paraId="2FFF42E5" w14:textId="78736CD9"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0"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_Toc224138600 \h </w:instrText>
            </w:r>
            <w:r>
              <w:rPr>
                <w:noProof/>
                <w:webHidden/>
              </w:rPr>
            </w:r>
            <w:r>
              <w:rPr>
                <w:noProof/>
                <w:webHidden/>
              </w:rPr>
              <w:fldChar w:fldCharType="separate"/>
            </w:r>
            <w:r>
              <w:rPr>
                <w:noProof/>
                <w:webHidden/>
              </w:rPr>
              <w:t>48</w:t>
            </w:r>
            <w:r>
              <w:rPr>
                <w:noProof/>
                <w:webHidden/>
              </w:rPr>
              <w:fldChar w:fldCharType="end"/>
            </w:r>
          </w:hyperlink>
        </w:p>
        <w:p w14:paraId="6EB60D93" w14:textId="17B19F0A"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1"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_Toc224138601 \h </w:instrText>
            </w:r>
            <w:r>
              <w:rPr>
                <w:noProof/>
                <w:webHidden/>
              </w:rPr>
            </w:r>
            <w:r>
              <w:rPr>
                <w:noProof/>
                <w:webHidden/>
              </w:rPr>
              <w:fldChar w:fldCharType="separate"/>
            </w:r>
            <w:r>
              <w:rPr>
                <w:noProof/>
                <w:webHidden/>
              </w:rPr>
              <w:t>49</w:t>
            </w:r>
            <w:r>
              <w:rPr>
                <w:noProof/>
                <w:webHidden/>
              </w:rPr>
              <w:fldChar w:fldCharType="end"/>
            </w:r>
          </w:hyperlink>
        </w:p>
        <w:p w14:paraId="5933BE0E" w14:textId="6A538E71"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2"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_Toc224138602 \h </w:instrText>
            </w:r>
            <w:r>
              <w:rPr>
                <w:noProof/>
                <w:webHidden/>
              </w:rPr>
            </w:r>
            <w:r>
              <w:rPr>
                <w:noProof/>
                <w:webHidden/>
              </w:rPr>
              <w:fldChar w:fldCharType="separate"/>
            </w:r>
            <w:r>
              <w:rPr>
                <w:noProof/>
                <w:webHidden/>
              </w:rPr>
              <w:t>50</w:t>
            </w:r>
            <w:r>
              <w:rPr>
                <w:noProof/>
                <w:webHidden/>
              </w:rPr>
              <w:fldChar w:fldCharType="end"/>
            </w:r>
          </w:hyperlink>
        </w:p>
        <w:p w14:paraId="310F1074" w14:textId="0328E891" w:rsidR="004E6A5A" w:rsidRDefault="004E6A5A">
          <w:pPr>
            <w:pStyle w:val="TOC2"/>
            <w:rPr>
              <w:rFonts w:asciiTheme="minorHAnsi" w:eastAsiaTheme="minorEastAsia" w:hAnsiTheme="minorHAnsi" w:cstheme="minorBidi"/>
              <w:bCs w:val="0"/>
              <w:kern w:val="2"/>
              <w:sz w:val="24"/>
              <w14:ligatures w14:val="standardContextual"/>
            </w:rPr>
          </w:pPr>
          <w:hyperlink w:anchor="_Toc224138603" w:history="1">
            <w:r w:rsidRPr="001C0CC9">
              <w:rPr>
                <w:rStyle w:val="Hyperlink"/>
              </w:rPr>
              <w:t>G.  COST SHARING (including MATCHING), LEVEL OF EFFORT, EARMARKING</w:t>
            </w:r>
            <w:r>
              <w:rPr>
                <w:webHidden/>
              </w:rPr>
              <w:tab/>
            </w:r>
            <w:r>
              <w:rPr>
                <w:webHidden/>
              </w:rPr>
              <w:fldChar w:fldCharType="begin"/>
            </w:r>
            <w:r>
              <w:rPr>
                <w:webHidden/>
              </w:rPr>
              <w:instrText xml:space="preserve"> PAGEREF _Toc224138603 \h </w:instrText>
            </w:r>
            <w:r>
              <w:rPr>
                <w:webHidden/>
              </w:rPr>
            </w:r>
            <w:r>
              <w:rPr>
                <w:webHidden/>
              </w:rPr>
              <w:fldChar w:fldCharType="separate"/>
            </w:r>
            <w:r>
              <w:rPr>
                <w:webHidden/>
              </w:rPr>
              <w:t>51</w:t>
            </w:r>
            <w:r>
              <w:rPr>
                <w:webHidden/>
              </w:rPr>
              <w:fldChar w:fldCharType="end"/>
            </w:r>
          </w:hyperlink>
        </w:p>
        <w:p w14:paraId="29F7052A" w14:textId="588590E5"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4"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_Toc224138604 \h </w:instrText>
            </w:r>
            <w:r>
              <w:rPr>
                <w:noProof/>
                <w:webHidden/>
              </w:rPr>
            </w:r>
            <w:r>
              <w:rPr>
                <w:noProof/>
                <w:webHidden/>
              </w:rPr>
              <w:fldChar w:fldCharType="separate"/>
            </w:r>
            <w:r>
              <w:rPr>
                <w:noProof/>
                <w:webHidden/>
              </w:rPr>
              <w:t>51</w:t>
            </w:r>
            <w:r>
              <w:rPr>
                <w:noProof/>
                <w:webHidden/>
              </w:rPr>
              <w:fldChar w:fldCharType="end"/>
            </w:r>
          </w:hyperlink>
        </w:p>
        <w:p w14:paraId="048DD9A1" w14:textId="085ECC78"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5"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_Toc224138605 \h </w:instrText>
            </w:r>
            <w:r>
              <w:rPr>
                <w:noProof/>
                <w:webHidden/>
              </w:rPr>
            </w:r>
            <w:r>
              <w:rPr>
                <w:noProof/>
                <w:webHidden/>
              </w:rPr>
              <w:fldChar w:fldCharType="separate"/>
            </w:r>
            <w:r>
              <w:rPr>
                <w:noProof/>
                <w:webHidden/>
              </w:rPr>
              <w:t>52</w:t>
            </w:r>
            <w:r>
              <w:rPr>
                <w:noProof/>
                <w:webHidden/>
              </w:rPr>
              <w:fldChar w:fldCharType="end"/>
            </w:r>
          </w:hyperlink>
        </w:p>
        <w:p w14:paraId="50E29FE6" w14:textId="46AF1DE9"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6"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_Toc224138606 \h </w:instrText>
            </w:r>
            <w:r>
              <w:rPr>
                <w:noProof/>
                <w:webHidden/>
              </w:rPr>
            </w:r>
            <w:r>
              <w:rPr>
                <w:noProof/>
                <w:webHidden/>
              </w:rPr>
              <w:fldChar w:fldCharType="separate"/>
            </w:r>
            <w:r>
              <w:rPr>
                <w:noProof/>
                <w:webHidden/>
              </w:rPr>
              <w:t>52</w:t>
            </w:r>
            <w:r>
              <w:rPr>
                <w:noProof/>
                <w:webHidden/>
              </w:rPr>
              <w:fldChar w:fldCharType="end"/>
            </w:r>
          </w:hyperlink>
        </w:p>
        <w:p w14:paraId="211D0D0E" w14:textId="7B141B43"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7"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_Toc224138607 \h </w:instrText>
            </w:r>
            <w:r>
              <w:rPr>
                <w:noProof/>
                <w:webHidden/>
              </w:rPr>
            </w:r>
            <w:r>
              <w:rPr>
                <w:noProof/>
                <w:webHidden/>
              </w:rPr>
              <w:fldChar w:fldCharType="separate"/>
            </w:r>
            <w:r>
              <w:rPr>
                <w:noProof/>
                <w:webHidden/>
              </w:rPr>
              <w:t>53</w:t>
            </w:r>
            <w:r>
              <w:rPr>
                <w:noProof/>
                <w:webHidden/>
              </w:rPr>
              <w:fldChar w:fldCharType="end"/>
            </w:r>
          </w:hyperlink>
        </w:p>
        <w:p w14:paraId="728A8509" w14:textId="7CF3E3D4"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08"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_Toc224138608 \h </w:instrText>
            </w:r>
            <w:r>
              <w:rPr>
                <w:noProof/>
                <w:webHidden/>
              </w:rPr>
            </w:r>
            <w:r>
              <w:rPr>
                <w:noProof/>
                <w:webHidden/>
              </w:rPr>
              <w:fldChar w:fldCharType="separate"/>
            </w:r>
            <w:r>
              <w:rPr>
                <w:noProof/>
                <w:webHidden/>
              </w:rPr>
              <w:t>55</w:t>
            </w:r>
            <w:r>
              <w:rPr>
                <w:noProof/>
                <w:webHidden/>
              </w:rPr>
              <w:fldChar w:fldCharType="end"/>
            </w:r>
          </w:hyperlink>
        </w:p>
        <w:p w14:paraId="471E97E4" w14:textId="27BC15E2" w:rsidR="004E6A5A" w:rsidRDefault="004E6A5A">
          <w:pPr>
            <w:pStyle w:val="TOC2"/>
            <w:rPr>
              <w:rFonts w:asciiTheme="minorHAnsi" w:eastAsiaTheme="minorEastAsia" w:hAnsiTheme="minorHAnsi" w:cstheme="minorBidi"/>
              <w:bCs w:val="0"/>
              <w:kern w:val="2"/>
              <w:sz w:val="24"/>
              <w14:ligatures w14:val="standardContextual"/>
            </w:rPr>
          </w:pPr>
          <w:hyperlink w:anchor="_Toc224138609" w:history="1">
            <w:r w:rsidRPr="001C0CC9">
              <w:rPr>
                <w:rStyle w:val="Hyperlink"/>
              </w:rPr>
              <w:t>H.  PERIOD OF PERFORMANCE</w:t>
            </w:r>
            <w:r>
              <w:rPr>
                <w:webHidden/>
              </w:rPr>
              <w:tab/>
            </w:r>
            <w:r>
              <w:rPr>
                <w:webHidden/>
              </w:rPr>
              <w:fldChar w:fldCharType="begin"/>
            </w:r>
            <w:r>
              <w:rPr>
                <w:webHidden/>
              </w:rPr>
              <w:instrText xml:space="preserve"> PAGEREF _Toc224138609 \h </w:instrText>
            </w:r>
            <w:r>
              <w:rPr>
                <w:webHidden/>
              </w:rPr>
            </w:r>
            <w:r>
              <w:rPr>
                <w:webHidden/>
              </w:rPr>
              <w:fldChar w:fldCharType="separate"/>
            </w:r>
            <w:r>
              <w:rPr>
                <w:webHidden/>
              </w:rPr>
              <w:t>57</w:t>
            </w:r>
            <w:r>
              <w:rPr>
                <w:webHidden/>
              </w:rPr>
              <w:fldChar w:fldCharType="end"/>
            </w:r>
          </w:hyperlink>
        </w:p>
        <w:p w14:paraId="7BB5D5C6" w14:textId="1E98BFB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0"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_Toc224138610 \h </w:instrText>
            </w:r>
            <w:r>
              <w:rPr>
                <w:noProof/>
                <w:webHidden/>
              </w:rPr>
            </w:r>
            <w:r>
              <w:rPr>
                <w:noProof/>
                <w:webHidden/>
              </w:rPr>
              <w:fldChar w:fldCharType="separate"/>
            </w:r>
            <w:r>
              <w:rPr>
                <w:noProof/>
                <w:webHidden/>
              </w:rPr>
              <w:t>57</w:t>
            </w:r>
            <w:r>
              <w:rPr>
                <w:noProof/>
                <w:webHidden/>
              </w:rPr>
              <w:fldChar w:fldCharType="end"/>
            </w:r>
          </w:hyperlink>
        </w:p>
        <w:p w14:paraId="09D705DE" w14:textId="612C3791"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1"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_Toc224138611 \h </w:instrText>
            </w:r>
            <w:r>
              <w:rPr>
                <w:noProof/>
                <w:webHidden/>
              </w:rPr>
            </w:r>
            <w:r>
              <w:rPr>
                <w:noProof/>
                <w:webHidden/>
              </w:rPr>
              <w:fldChar w:fldCharType="separate"/>
            </w:r>
            <w:r>
              <w:rPr>
                <w:noProof/>
                <w:webHidden/>
              </w:rPr>
              <w:t>57</w:t>
            </w:r>
            <w:r>
              <w:rPr>
                <w:noProof/>
                <w:webHidden/>
              </w:rPr>
              <w:fldChar w:fldCharType="end"/>
            </w:r>
          </w:hyperlink>
        </w:p>
        <w:p w14:paraId="1908CFB8" w14:textId="15A96236"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2"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_Toc224138612 \h </w:instrText>
            </w:r>
            <w:r>
              <w:rPr>
                <w:noProof/>
                <w:webHidden/>
              </w:rPr>
            </w:r>
            <w:r>
              <w:rPr>
                <w:noProof/>
                <w:webHidden/>
              </w:rPr>
              <w:fldChar w:fldCharType="separate"/>
            </w:r>
            <w:r>
              <w:rPr>
                <w:noProof/>
                <w:webHidden/>
              </w:rPr>
              <w:t>58</w:t>
            </w:r>
            <w:r>
              <w:rPr>
                <w:noProof/>
                <w:webHidden/>
              </w:rPr>
              <w:fldChar w:fldCharType="end"/>
            </w:r>
          </w:hyperlink>
        </w:p>
        <w:p w14:paraId="021596EC" w14:textId="33B3AB6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3"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_Toc224138613 \h </w:instrText>
            </w:r>
            <w:r>
              <w:rPr>
                <w:noProof/>
                <w:webHidden/>
              </w:rPr>
            </w:r>
            <w:r>
              <w:rPr>
                <w:noProof/>
                <w:webHidden/>
              </w:rPr>
              <w:fldChar w:fldCharType="separate"/>
            </w:r>
            <w:r>
              <w:rPr>
                <w:noProof/>
                <w:webHidden/>
              </w:rPr>
              <w:t>58</w:t>
            </w:r>
            <w:r>
              <w:rPr>
                <w:noProof/>
                <w:webHidden/>
              </w:rPr>
              <w:fldChar w:fldCharType="end"/>
            </w:r>
          </w:hyperlink>
        </w:p>
        <w:p w14:paraId="114B7D61" w14:textId="1DC81BE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4"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_Toc224138614 \h </w:instrText>
            </w:r>
            <w:r>
              <w:rPr>
                <w:noProof/>
                <w:webHidden/>
              </w:rPr>
            </w:r>
            <w:r>
              <w:rPr>
                <w:noProof/>
                <w:webHidden/>
              </w:rPr>
              <w:fldChar w:fldCharType="separate"/>
            </w:r>
            <w:r>
              <w:rPr>
                <w:noProof/>
                <w:webHidden/>
              </w:rPr>
              <w:t>59</w:t>
            </w:r>
            <w:r>
              <w:rPr>
                <w:noProof/>
                <w:webHidden/>
              </w:rPr>
              <w:fldChar w:fldCharType="end"/>
            </w:r>
          </w:hyperlink>
        </w:p>
        <w:p w14:paraId="1815BB13" w14:textId="6CB3C3D3" w:rsidR="004E6A5A" w:rsidRDefault="004E6A5A">
          <w:pPr>
            <w:pStyle w:val="TOC2"/>
            <w:rPr>
              <w:rFonts w:asciiTheme="minorHAnsi" w:eastAsiaTheme="minorEastAsia" w:hAnsiTheme="minorHAnsi" w:cstheme="minorBidi"/>
              <w:bCs w:val="0"/>
              <w:kern w:val="2"/>
              <w:sz w:val="24"/>
              <w14:ligatures w14:val="standardContextual"/>
            </w:rPr>
          </w:pPr>
          <w:hyperlink w:anchor="_Toc224138615" w:history="1">
            <w:r w:rsidRPr="001C0CC9">
              <w:rPr>
                <w:rStyle w:val="Hyperlink"/>
              </w:rPr>
              <w:t>I.  PROCUREMENT AND SUSPENSION AND DEBARMENT</w:t>
            </w:r>
            <w:r>
              <w:rPr>
                <w:webHidden/>
              </w:rPr>
              <w:tab/>
            </w:r>
            <w:r>
              <w:rPr>
                <w:webHidden/>
              </w:rPr>
              <w:fldChar w:fldCharType="begin"/>
            </w:r>
            <w:r>
              <w:rPr>
                <w:webHidden/>
              </w:rPr>
              <w:instrText xml:space="preserve"> PAGEREF _Toc224138615 \h </w:instrText>
            </w:r>
            <w:r>
              <w:rPr>
                <w:webHidden/>
              </w:rPr>
            </w:r>
            <w:r>
              <w:rPr>
                <w:webHidden/>
              </w:rPr>
              <w:fldChar w:fldCharType="separate"/>
            </w:r>
            <w:r>
              <w:rPr>
                <w:webHidden/>
              </w:rPr>
              <w:t>61</w:t>
            </w:r>
            <w:r>
              <w:rPr>
                <w:webHidden/>
              </w:rPr>
              <w:fldChar w:fldCharType="end"/>
            </w:r>
          </w:hyperlink>
        </w:p>
        <w:p w14:paraId="14B6814D" w14:textId="21F01DFD"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6" w:history="1">
            <w:r w:rsidRPr="001C0CC9">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_Toc224138616 \h </w:instrText>
            </w:r>
            <w:r>
              <w:rPr>
                <w:noProof/>
                <w:webHidden/>
              </w:rPr>
            </w:r>
            <w:r>
              <w:rPr>
                <w:noProof/>
                <w:webHidden/>
              </w:rPr>
              <w:fldChar w:fldCharType="separate"/>
            </w:r>
            <w:r>
              <w:rPr>
                <w:noProof/>
                <w:webHidden/>
              </w:rPr>
              <w:t>61</w:t>
            </w:r>
            <w:r>
              <w:rPr>
                <w:noProof/>
                <w:webHidden/>
              </w:rPr>
              <w:fldChar w:fldCharType="end"/>
            </w:r>
          </w:hyperlink>
        </w:p>
        <w:p w14:paraId="388B1FB2" w14:textId="0E325056"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7" w:history="1">
            <w:r w:rsidRPr="001C0CC9">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_Toc224138617 \h </w:instrText>
            </w:r>
            <w:r>
              <w:rPr>
                <w:noProof/>
                <w:webHidden/>
              </w:rPr>
            </w:r>
            <w:r>
              <w:rPr>
                <w:noProof/>
                <w:webHidden/>
              </w:rPr>
              <w:fldChar w:fldCharType="separate"/>
            </w:r>
            <w:r>
              <w:rPr>
                <w:noProof/>
                <w:webHidden/>
              </w:rPr>
              <w:t>63</w:t>
            </w:r>
            <w:r>
              <w:rPr>
                <w:noProof/>
                <w:webHidden/>
              </w:rPr>
              <w:fldChar w:fldCharType="end"/>
            </w:r>
          </w:hyperlink>
        </w:p>
        <w:p w14:paraId="4C4BB665" w14:textId="3DA42BD9"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8"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_Toc224138618 \h </w:instrText>
            </w:r>
            <w:r>
              <w:rPr>
                <w:noProof/>
                <w:webHidden/>
              </w:rPr>
            </w:r>
            <w:r>
              <w:rPr>
                <w:noProof/>
                <w:webHidden/>
              </w:rPr>
              <w:fldChar w:fldCharType="separate"/>
            </w:r>
            <w:r>
              <w:rPr>
                <w:noProof/>
                <w:webHidden/>
              </w:rPr>
              <w:t>64</w:t>
            </w:r>
            <w:r>
              <w:rPr>
                <w:noProof/>
                <w:webHidden/>
              </w:rPr>
              <w:fldChar w:fldCharType="end"/>
            </w:r>
          </w:hyperlink>
        </w:p>
        <w:p w14:paraId="0FA12C84" w14:textId="6479E9D2"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19"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_Toc224138619 \h </w:instrText>
            </w:r>
            <w:r>
              <w:rPr>
                <w:noProof/>
                <w:webHidden/>
              </w:rPr>
            </w:r>
            <w:r>
              <w:rPr>
                <w:noProof/>
                <w:webHidden/>
              </w:rPr>
              <w:fldChar w:fldCharType="separate"/>
            </w:r>
            <w:r>
              <w:rPr>
                <w:noProof/>
                <w:webHidden/>
              </w:rPr>
              <w:t>64</w:t>
            </w:r>
            <w:r>
              <w:rPr>
                <w:noProof/>
                <w:webHidden/>
              </w:rPr>
              <w:fldChar w:fldCharType="end"/>
            </w:r>
          </w:hyperlink>
        </w:p>
        <w:p w14:paraId="3535860A" w14:textId="4B259260"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0"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_Toc224138620 \h </w:instrText>
            </w:r>
            <w:r>
              <w:rPr>
                <w:noProof/>
                <w:webHidden/>
              </w:rPr>
            </w:r>
            <w:r>
              <w:rPr>
                <w:noProof/>
                <w:webHidden/>
              </w:rPr>
              <w:fldChar w:fldCharType="separate"/>
            </w:r>
            <w:r>
              <w:rPr>
                <w:noProof/>
                <w:webHidden/>
              </w:rPr>
              <w:t>66</w:t>
            </w:r>
            <w:r>
              <w:rPr>
                <w:noProof/>
                <w:webHidden/>
              </w:rPr>
              <w:fldChar w:fldCharType="end"/>
            </w:r>
          </w:hyperlink>
        </w:p>
        <w:p w14:paraId="61640F6A" w14:textId="28FF9A82"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1"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_Toc224138621 \h </w:instrText>
            </w:r>
            <w:r>
              <w:rPr>
                <w:noProof/>
                <w:webHidden/>
              </w:rPr>
            </w:r>
            <w:r>
              <w:rPr>
                <w:noProof/>
                <w:webHidden/>
              </w:rPr>
              <w:fldChar w:fldCharType="separate"/>
            </w:r>
            <w:r>
              <w:rPr>
                <w:noProof/>
                <w:webHidden/>
              </w:rPr>
              <w:t>68</w:t>
            </w:r>
            <w:r>
              <w:rPr>
                <w:noProof/>
                <w:webHidden/>
              </w:rPr>
              <w:fldChar w:fldCharType="end"/>
            </w:r>
          </w:hyperlink>
        </w:p>
        <w:p w14:paraId="56B030EB" w14:textId="0D4FAE8B" w:rsidR="004E6A5A" w:rsidRDefault="004E6A5A">
          <w:pPr>
            <w:pStyle w:val="TOC2"/>
            <w:rPr>
              <w:rFonts w:asciiTheme="minorHAnsi" w:eastAsiaTheme="minorEastAsia" w:hAnsiTheme="minorHAnsi" w:cstheme="minorBidi"/>
              <w:bCs w:val="0"/>
              <w:kern w:val="2"/>
              <w:sz w:val="24"/>
              <w14:ligatures w14:val="standardContextual"/>
            </w:rPr>
          </w:pPr>
          <w:hyperlink w:anchor="_Toc224138622" w:history="1">
            <w:r w:rsidRPr="001C0CC9">
              <w:rPr>
                <w:rStyle w:val="Hyperlink"/>
              </w:rPr>
              <w:t>J.  PROGRAM INCOME</w:t>
            </w:r>
            <w:r>
              <w:rPr>
                <w:webHidden/>
              </w:rPr>
              <w:tab/>
            </w:r>
            <w:r>
              <w:rPr>
                <w:webHidden/>
              </w:rPr>
              <w:fldChar w:fldCharType="begin"/>
            </w:r>
            <w:r>
              <w:rPr>
                <w:webHidden/>
              </w:rPr>
              <w:instrText xml:space="preserve"> PAGEREF _Toc224138622 \h </w:instrText>
            </w:r>
            <w:r>
              <w:rPr>
                <w:webHidden/>
              </w:rPr>
            </w:r>
            <w:r>
              <w:rPr>
                <w:webHidden/>
              </w:rPr>
              <w:fldChar w:fldCharType="separate"/>
            </w:r>
            <w:r>
              <w:rPr>
                <w:webHidden/>
              </w:rPr>
              <w:t>69</w:t>
            </w:r>
            <w:r>
              <w:rPr>
                <w:webHidden/>
              </w:rPr>
              <w:fldChar w:fldCharType="end"/>
            </w:r>
          </w:hyperlink>
        </w:p>
        <w:p w14:paraId="4051984A" w14:textId="07D1DDC1"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3"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_Toc224138623 \h </w:instrText>
            </w:r>
            <w:r>
              <w:rPr>
                <w:noProof/>
                <w:webHidden/>
              </w:rPr>
            </w:r>
            <w:r>
              <w:rPr>
                <w:noProof/>
                <w:webHidden/>
              </w:rPr>
              <w:fldChar w:fldCharType="separate"/>
            </w:r>
            <w:r>
              <w:rPr>
                <w:noProof/>
                <w:webHidden/>
              </w:rPr>
              <w:t>69</w:t>
            </w:r>
            <w:r>
              <w:rPr>
                <w:noProof/>
                <w:webHidden/>
              </w:rPr>
              <w:fldChar w:fldCharType="end"/>
            </w:r>
          </w:hyperlink>
        </w:p>
        <w:p w14:paraId="154C1E76" w14:textId="206C5C44"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4"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_Toc224138624 \h </w:instrText>
            </w:r>
            <w:r>
              <w:rPr>
                <w:noProof/>
                <w:webHidden/>
              </w:rPr>
            </w:r>
            <w:r>
              <w:rPr>
                <w:noProof/>
                <w:webHidden/>
              </w:rPr>
              <w:fldChar w:fldCharType="separate"/>
            </w:r>
            <w:r>
              <w:rPr>
                <w:noProof/>
                <w:webHidden/>
              </w:rPr>
              <w:t>70</w:t>
            </w:r>
            <w:r>
              <w:rPr>
                <w:noProof/>
                <w:webHidden/>
              </w:rPr>
              <w:fldChar w:fldCharType="end"/>
            </w:r>
          </w:hyperlink>
        </w:p>
        <w:p w14:paraId="24394499" w14:textId="76220DF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5"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_Toc224138625 \h </w:instrText>
            </w:r>
            <w:r>
              <w:rPr>
                <w:noProof/>
                <w:webHidden/>
              </w:rPr>
            </w:r>
            <w:r>
              <w:rPr>
                <w:noProof/>
                <w:webHidden/>
              </w:rPr>
              <w:fldChar w:fldCharType="separate"/>
            </w:r>
            <w:r>
              <w:rPr>
                <w:noProof/>
                <w:webHidden/>
              </w:rPr>
              <w:t>70</w:t>
            </w:r>
            <w:r>
              <w:rPr>
                <w:noProof/>
                <w:webHidden/>
              </w:rPr>
              <w:fldChar w:fldCharType="end"/>
            </w:r>
          </w:hyperlink>
        </w:p>
        <w:p w14:paraId="4409701B" w14:textId="294714B9"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6"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_Toc224138626 \h </w:instrText>
            </w:r>
            <w:r>
              <w:rPr>
                <w:noProof/>
                <w:webHidden/>
              </w:rPr>
            </w:r>
            <w:r>
              <w:rPr>
                <w:noProof/>
                <w:webHidden/>
              </w:rPr>
              <w:fldChar w:fldCharType="separate"/>
            </w:r>
            <w:r>
              <w:rPr>
                <w:noProof/>
                <w:webHidden/>
              </w:rPr>
              <w:t>71</w:t>
            </w:r>
            <w:r>
              <w:rPr>
                <w:noProof/>
                <w:webHidden/>
              </w:rPr>
              <w:fldChar w:fldCharType="end"/>
            </w:r>
          </w:hyperlink>
        </w:p>
        <w:p w14:paraId="391EA36F" w14:textId="4AC0F518"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7"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_Toc224138627 \h </w:instrText>
            </w:r>
            <w:r>
              <w:rPr>
                <w:noProof/>
                <w:webHidden/>
              </w:rPr>
            </w:r>
            <w:r>
              <w:rPr>
                <w:noProof/>
                <w:webHidden/>
              </w:rPr>
              <w:fldChar w:fldCharType="separate"/>
            </w:r>
            <w:r>
              <w:rPr>
                <w:noProof/>
                <w:webHidden/>
              </w:rPr>
              <w:t>72</w:t>
            </w:r>
            <w:r>
              <w:rPr>
                <w:noProof/>
                <w:webHidden/>
              </w:rPr>
              <w:fldChar w:fldCharType="end"/>
            </w:r>
          </w:hyperlink>
        </w:p>
        <w:p w14:paraId="6770BB2E" w14:textId="5420D2D5" w:rsidR="004E6A5A" w:rsidRDefault="004E6A5A">
          <w:pPr>
            <w:pStyle w:val="TOC2"/>
            <w:rPr>
              <w:rFonts w:asciiTheme="minorHAnsi" w:eastAsiaTheme="minorEastAsia" w:hAnsiTheme="minorHAnsi" w:cstheme="minorBidi"/>
              <w:bCs w:val="0"/>
              <w:kern w:val="2"/>
              <w:sz w:val="24"/>
              <w14:ligatures w14:val="standardContextual"/>
            </w:rPr>
          </w:pPr>
          <w:hyperlink w:anchor="_Toc224138628" w:history="1">
            <w:r w:rsidRPr="001C0CC9">
              <w:rPr>
                <w:rStyle w:val="Hyperlink"/>
              </w:rPr>
              <w:t>L.  REPORTING</w:t>
            </w:r>
            <w:r>
              <w:rPr>
                <w:webHidden/>
              </w:rPr>
              <w:tab/>
            </w:r>
            <w:r>
              <w:rPr>
                <w:webHidden/>
              </w:rPr>
              <w:fldChar w:fldCharType="begin"/>
            </w:r>
            <w:r>
              <w:rPr>
                <w:webHidden/>
              </w:rPr>
              <w:instrText xml:space="preserve"> PAGEREF _Toc224138628 \h </w:instrText>
            </w:r>
            <w:r>
              <w:rPr>
                <w:webHidden/>
              </w:rPr>
            </w:r>
            <w:r>
              <w:rPr>
                <w:webHidden/>
              </w:rPr>
              <w:fldChar w:fldCharType="separate"/>
            </w:r>
            <w:r>
              <w:rPr>
                <w:webHidden/>
              </w:rPr>
              <w:t>73</w:t>
            </w:r>
            <w:r>
              <w:rPr>
                <w:webHidden/>
              </w:rPr>
              <w:fldChar w:fldCharType="end"/>
            </w:r>
          </w:hyperlink>
        </w:p>
        <w:p w14:paraId="6AC9B617" w14:textId="1993246B"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29"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_Toc224138629 \h </w:instrText>
            </w:r>
            <w:r>
              <w:rPr>
                <w:noProof/>
                <w:webHidden/>
              </w:rPr>
            </w:r>
            <w:r>
              <w:rPr>
                <w:noProof/>
                <w:webHidden/>
              </w:rPr>
              <w:fldChar w:fldCharType="separate"/>
            </w:r>
            <w:r>
              <w:rPr>
                <w:noProof/>
                <w:webHidden/>
              </w:rPr>
              <w:t>73</w:t>
            </w:r>
            <w:r>
              <w:rPr>
                <w:noProof/>
                <w:webHidden/>
              </w:rPr>
              <w:fldChar w:fldCharType="end"/>
            </w:r>
          </w:hyperlink>
        </w:p>
        <w:p w14:paraId="575B7D26" w14:textId="4DEEF114"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0"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_Toc224138630 \h </w:instrText>
            </w:r>
            <w:r>
              <w:rPr>
                <w:noProof/>
                <w:webHidden/>
              </w:rPr>
            </w:r>
            <w:r>
              <w:rPr>
                <w:noProof/>
                <w:webHidden/>
              </w:rPr>
              <w:fldChar w:fldCharType="separate"/>
            </w:r>
            <w:r>
              <w:rPr>
                <w:noProof/>
                <w:webHidden/>
              </w:rPr>
              <w:t>76</w:t>
            </w:r>
            <w:r>
              <w:rPr>
                <w:noProof/>
                <w:webHidden/>
              </w:rPr>
              <w:fldChar w:fldCharType="end"/>
            </w:r>
          </w:hyperlink>
        </w:p>
        <w:p w14:paraId="6BDD111D" w14:textId="2F94225F"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1"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_Toc224138631 \h </w:instrText>
            </w:r>
            <w:r>
              <w:rPr>
                <w:noProof/>
                <w:webHidden/>
              </w:rPr>
            </w:r>
            <w:r>
              <w:rPr>
                <w:noProof/>
                <w:webHidden/>
              </w:rPr>
              <w:fldChar w:fldCharType="separate"/>
            </w:r>
            <w:r>
              <w:rPr>
                <w:noProof/>
                <w:webHidden/>
              </w:rPr>
              <w:t>77</w:t>
            </w:r>
            <w:r>
              <w:rPr>
                <w:noProof/>
                <w:webHidden/>
              </w:rPr>
              <w:fldChar w:fldCharType="end"/>
            </w:r>
          </w:hyperlink>
        </w:p>
        <w:p w14:paraId="1AE67E79" w14:textId="0FA0DE3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2"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_Toc224138632 \h </w:instrText>
            </w:r>
            <w:r>
              <w:rPr>
                <w:noProof/>
                <w:webHidden/>
              </w:rPr>
            </w:r>
            <w:r>
              <w:rPr>
                <w:noProof/>
                <w:webHidden/>
              </w:rPr>
              <w:fldChar w:fldCharType="separate"/>
            </w:r>
            <w:r>
              <w:rPr>
                <w:noProof/>
                <w:webHidden/>
              </w:rPr>
              <w:t>78</w:t>
            </w:r>
            <w:r>
              <w:rPr>
                <w:noProof/>
                <w:webHidden/>
              </w:rPr>
              <w:fldChar w:fldCharType="end"/>
            </w:r>
          </w:hyperlink>
        </w:p>
        <w:p w14:paraId="178EA207" w14:textId="60430D8F"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3"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_Toc224138633 \h </w:instrText>
            </w:r>
            <w:r>
              <w:rPr>
                <w:noProof/>
                <w:webHidden/>
              </w:rPr>
            </w:r>
            <w:r>
              <w:rPr>
                <w:noProof/>
                <w:webHidden/>
              </w:rPr>
              <w:fldChar w:fldCharType="separate"/>
            </w:r>
            <w:r>
              <w:rPr>
                <w:noProof/>
                <w:webHidden/>
              </w:rPr>
              <w:t>81</w:t>
            </w:r>
            <w:r>
              <w:rPr>
                <w:noProof/>
                <w:webHidden/>
              </w:rPr>
              <w:fldChar w:fldCharType="end"/>
            </w:r>
          </w:hyperlink>
        </w:p>
        <w:p w14:paraId="55EAB79D" w14:textId="5883533B" w:rsidR="004E6A5A" w:rsidRDefault="004E6A5A">
          <w:pPr>
            <w:pStyle w:val="TOC2"/>
            <w:rPr>
              <w:rFonts w:asciiTheme="minorHAnsi" w:eastAsiaTheme="minorEastAsia" w:hAnsiTheme="minorHAnsi" w:cstheme="minorBidi"/>
              <w:bCs w:val="0"/>
              <w:kern w:val="2"/>
              <w:sz w:val="24"/>
              <w14:ligatures w14:val="standardContextual"/>
            </w:rPr>
          </w:pPr>
          <w:hyperlink w:anchor="_Toc224138634" w:history="1">
            <w:r w:rsidRPr="001C0CC9">
              <w:rPr>
                <w:rStyle w:val="Hyperlink"/>
              </w:rPr>
              <w:t>M.  SUBRECIPIENT MONITORING</w:t>
            </w:r>
            <w:r>
              <w:rPr>
                <w:webHidden/>
              </w:rPr>
              <w:tab/>
            </w:r>
            <w:r>
              <w:rPr>
                <w:webHidden/>
              </w:rPr>
              <w:fldChar w:fldCharType="begin"/>
            </w:r>
            <w:r>
              <w:rPr>
                <w:webHidden/>
              </w:rPr>
              <w:instrText xml:space="preserve"> PAGEREF _Toc224138634 \h </w:instrText>
            </w:r>
            <w:r>
              <w:rPr>
                <w:webHidden/>
              </w:rPr>
            </w:r>
            <w:r>
              <w:rPr>
                <w:webHidden/>
              </w:rPr>
              <w:fldChar w:fldCharType="separate"/>
            </w:r>
            <w:r>
              <w:rPr>
                <w:webHidden/>
              </w:rPr>
              <w:t>83</w:t>
            </w:r>
            <w:r>
              <w:rPr>
                <w:webHidden/>
              </w:rPr>
              <w:fldChar w:fldCharType="end"/>
            </w:r>
          </w:hyperlink>
        </w:p>
        <w:p w14:paraId="2892F068" w14:textId="0BF7D7B7"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5" w:history="1">
            <w:r w:rsidRPr="001C0CC9">
              <w:rPr>
                <w:rStyle w:val="Hyperlink"/>
                <w:rFonts w:cs="Arial"/>
                <w:noProof/>
              </w:rPr>
              <w:t>OMB Compliance Requirements</w:t>
            </w:r>
            <w:r>
              <w:rPr>
                <w:noProof/>
                <w:webHidden/>
              </w:rPr>
              <w:tab/>
            </w:r>
            <w:r>
              <w:rPr>
                <w:noProof/>
                <w:webHidden/>
              </w:rPr>
              <w:fldChar w:fldCharType="begin"/>
            </w:r>
            <w:r>
              <w:rPr>
                <w:noProof/>
                <w:webHidden/>
              </w:rPr>
              <w:instrText xml:space="preserve"> PAGEREF _Toc224138635 \h </w:instrText>
            </w:r>
            <w:r>
              <w:rPr>
                <w:noProof/>
                <w:webHidden/>
              </w:rPr>
            </w:r>
            <w:r>
              <w:rPr>
                <w:noProof/>
                <w:webHidden/>
              </w:rPr>
              <w:fldChar w:fldCharType="separate"/>
            </w:r>
            <w:r>
              <w:rPr>
                <w:noProof/>
                <w:webHidden/>
              </w:rPr>
              <w:t>83</w:t>
            </w:r>
            <w:r>
              <w:rPr>
                <w:noProof/>
                <w:webHidden/>
              </w:rPr>
              <w:fldChar w:fldCharType="end"/>
            </w:r>
          </w:hyperlink>
        </w:p>
        <w:p w14:paraId="281D8E9D" w14:textId="36DF6D19"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6" w:history="1">
            <w:r w:rsidRPr="001C0CC9">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_Toc224138636 \h </w:instrText>
            </w:r>
            <w:r>
              <w:rPr>
                <w:noProof/>
                <w:webHidden/>
              </w:rPr>
            </w:r>
            <w:r>
              <w:rPr>
                <w:noProof/>
                <w:webHidden/>
              </w:rPr>
              <w:fldChar w:fldCharType="separate"/>
            </w:r>
            <w:r>
              <w:rPr>
                <w:noProof/>
                <w:webHidden/>
              </w:rPr>
              <w:t>84</w:t>
            </w:r>
            <w:r>
              <w:rPr>
                <w:noProof/>
                <w:webHidden/>
              </w:rPr>
              <w:fldChar w:fldCharType="end"/>
            </w:r>
          </w:hyperlink>
        </w:p>
        <w:p w14:paraId="10F4E5CB" w14:textId="4100AFAD"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7" w:history="1">
            <w:r w:rsidRPr="001C0CC9">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_Toc224138637 \h </w:instrText>
            </w:r>
            <w:r>
              <w:rPr>
                <w:noProof/>
                <w:webHidden/>
              </w:rPr>
            </w:r>
            <w:r>
              <w:rPr>
                <w:noProof/>
                <w:webHidden/>
              </w:rPr>
              <w:fldChar w:fldCharType="separate"/>
            </w:r>
            <w:r>
              <w:rPr>
                <w:noProof/>
                <w:webHidden/>
              </w:rPr>
              <w:t>85</w:t>
            </w:r>
            <w:r>
              <w:rPr>
                <w:noProof/>
                <w:webHidden/>
              </w:rPr>
              <w:fldChar w:fldCharType="end"/>
            </w:r>
          </w:hyperlink>
        </w:p>
        <w:p w14:paraId="1E205E89" w14:textId="5554E6FF"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8" w:history="1">
            <w:r w:rsidRPr="001C0CC9">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_Toc224138638 \h </w:instrText>
            </w:r>
            <w:r>
              <w:rPr>
                <w:noProof/>
                <w:webHidden/>
              </w:rPr>
            </w:r>
            <w:r>
              <w:rPr>
                <w:noProof/>
                <w:webHidden/>
              </w:rPr>
              <w:fldChar w:fldCharType="separate"/>
            </w:r>
            <w:r>
              <w:rPr>
                <w:noProof/>
                <w:webHidden/>
              </w:rPr>
              <w:t>85</w:t>
            </w:r>
            <w:r>
              <w:rPr>
                <w:noProof/>
                <w:webHidden/>
              </w:rPr>
              <w:fldChar w:fldCharType="end"/>
            </w:r>
          </w:hyperlink>
        </w:p>
        <w:p w14:paraId="5AD773AD" w14:textId="5A4B8B6E" w:rsidR="004E6A5A" w:rsidRDefault="004E6A5A">
          <w:pPr>
            <w:pStyle w:val="TOC3"/>
            <w:rPr>
              <w:rFonts w:asciiTheme="minorHAnsi" w:eastAsiaTheme="minorEastAsia" w:hAnsiTheme="minorHAnsi" w:cstheme="minorBidi"/>
              <w:b w:val="0"/>
              <w:noProof/>
              <w:kern w:val="2"/>
              <w:sz w:val="24"/>
              <w:szCs w:val="24"/>
              <w14:ligatures w14:val="standardContextual"/>
            </w:rPr>
          </w:pPr>
          <w:hyperlink w:anchor="_Toc224138639" w:history="1">
            <w:r w:rsidRPr="001C0CC9">
              <w:rPr>
                <w:rStyle w:val="Hyperlink"/>
                <w:rFonts w:cs="Arial"/>
                <w:noProof/>
              </w:rPr>
              <w:t>Audit Implications Summary</w:t>
            </w:r>
            <w:r>
              <w:rPr>
                <w:noProof/>
                <w:webHidden/>
              </w:rPr>
              <w:tab/>
            </w:r>
            <w:r>
              <w:rPr>
                <w:noProof/>
                <w:webHidden/>
              </w:rPr>
              <w:fldChar w:fldCharType="begin"/>
            </w:r>
            <w:r>
              <w:rPr>
                <w:noProof/>
                <w:webHidden/>
              </w:rPr>
              <w:instrText xml:space="preserve"> PAGEREF _Toc224138639 \h </w:instrText>
            </w:r>
            <w:r>
              <w:rPr>
                <w:noProof/>
                <w:webHidden/>
              </w:rPr>
            </w:r>
            <w:r>
              <w:rPr>
                <w:noProof/>
                <w:webHidden/>
              </w:rPr>
              <w:fldChar w:fldCharType="separate"/>
            </w:r>
            <w:r>
              <w:rPr>
                <w:noProof/>
                <w:webHidden/>
              </w:rPr>
              <w:t>86</w:t>
            </w:r>
            <w:r>
              <w:rPr>
                <w:noProof/>
                <w:webHidden/>
              </w:rPr>
              <w:fldChar w:fldCharType="end"/>
            </w:r>
          </w:hyperlink>
        </w:p>
        <w:p w14:paraId="167D9FBF" w14:textId="2ED97439" w:rsidR="004E6A5A" w:rsidRDefault="004E6A5A">
          <w:pPr>
            <w:pStyle w:val="TOC2"/>
            <w:rPr>
              <w:rFonts w:asciiTheme="minorHAnsi" w:eastAsiaTheme="minorEastAsia" w:hAnsiTheme="minorHAnsi" w:cstheme="minorBidi"/>
              <w:bCs w:val="0"/>
              <w:kern w:val="2"/>
              <w:sz w:val="24"/>
              <w14:ligatures w14:val="standardContextual"/>
            </w:rPr>
          </w:pPr>
          <w:hyperlink w:anchor="_Toc224138640" w:history="1">
            <w:r w:rsidRPr="001C0CC9">
              <w:rPr>
                <w:rStyle w:val="Hyperlink"/>
              </w:rPr>
              <w:t>Program Testing Conclusion</w:t>
            </w:r>
            <w:r>
              <w:rPr>
                <w:webHidden/>
              </w:rPr>
              <w:tab/>
            </w:r>
            <w:r>
              <w:rPr>
                <w:webHidden/>
              </w:rPr>
              <w:fldChar w:fldCharType="begin"/>
            </w:r>
            <w:r>
              <w:rPr>
                <w:webHidden/>
              </w:rPr>
              <w:instrText xml:space="preserve"> PAGEREF _Toc224138640 \h </w:instrText>
            </w:r>
            <w:r>
              <w:rPr>
                <w:webHidden/>
              </w:rPr>
            </w:r>
            <w:r>
              <w:rPr>
                <w:webHidden/>
              </w:rPr>
              <w:fldChar w:fldCharType="separate"/>
            </w:r>
            <w:r>
              <w:rPr>
                <w:webHidden/>
              </w:rPr>
              <w:t>88</w:t>
            </w:r>
            <w:r>
              <w:rPr>
                <w:webHidden/>
              </w:rPr>
              <w:fldChar w:fldCharType="end"/>
            </w:r>
          </w:hyperlink>
        </w:p>
        <w:p w14:paraId="03C2BB18" w14:textId="6C662B70"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ED4441">
      <w:pPr>
        <w:pStyle w:val="ListParagraph"/>
        <w:numPr>
          <w:ilvl w:val="0"/>
          <w:numId w:val="37"/>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ED4441">
      <w:pPr>
        <w:pStyle w:val="ListParagraph"/>
        <w:numPr>
          <w:ilvl w:val="0"/>
          <w:numId w:val="37"/>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ED4441">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ED4441">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ED4441">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ED4441">
      <w:pPr>
        <w:pStyle w:val="BodyText"/>
        <w:numPr>
          <w:ilvl w:val="0"/>
          <w:numId w:val="38"/>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8"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ED4441">
      <w:pPr>
        <w:pStyle w:val="ListParagraph"/>
        <w:numPr>
          <w:ilvl w:val="0"/>
          <w:numId w:val="52"/>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ED4441">
      <w:pPr>
        <w:pStyle w:val="ListParagraph"/>
        <w:numPr>
          <w:ilvl w:val="0"/>
          <w:numId w:val="52"/>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9"/>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4138567"/>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4E294C78" w:rsidR="009656BB" w:rsidRPr="00DF5F91" w:rsidRDefault="00ED4441" w:rsidP="001A2761">
      <w:pPr>
        <w:spacing w:after="240"/>
        <w:jc w:val="both"/>
        <w:rPr>
          <w:rFonts w:ascii="Arial" w:hAnsi="Arial" w:cs="Arial"/>
          <w:b/>
          <w:highlight w:val="yellow"/>
        </w:rPr>
      </w:pPr>
      <w:r w:rsidRPr="00EA2CA3">
        <w:rPr>
          <w:rFonts w:ascii="Arial" w:hAnsi="Arial" w:cs="Arial"/>
          <w:bCs/>
        </w:rPr>
        <w:t xml:space="preserve">This program is not included in the </w:t>
      </w:r>
      <w:r w:rsidR="0013240C">
        <w:rPr>
          <w:rFonts w:ascii="Arial" w:hAnsi="Arial" w:cs="Arial"/>
          <w:bCs/>
        </w:rPr>
        <w:t>2025</w:t>
      </w:r>
      <w:r w:rsidR="0013240C" w:rsidRPr="00EA2CA3">
        <w:rPr>
          <w:rFonts w:ascii="Arial" w:hAnsi="Arial" w:cs="Arial"/>
          <w:bCs/>
        </w:rPr>
        <w:t xml:space="preserve"> </w:t>
      </w:r>
      <w:r w:rsidRPr="00EA2CA3">
        <w:rPr>
          <w:rFonts w:ascii="Arial" w:hAnsi="Arial" w:cs="Arial"/>
          <w:bCs/>
        </w:rPr>
        <w:t>OMB Compliance Supplement.</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1" w:name="_Toc442267684"/>
      <w:bookmarkStart w:id="12" w:name="_Toc224138568"/>
      <w:r w:rsidRPr="00A0464C">
        <w:rPr>
          <w:rFonts w:cs="Arial"/>
          <w:sz w:val="24"/>
        </w:rPr>
        <w:lastRenderedPageBreak/>
        <w:t>Part II</w:t>
      </w:r>
      <w:bookmarkEnd w:id="11"/>
      <w:r w:rsidR="003644ED" w:rsidRPr="00A0464C">
        <w:rPr>
          <w:rFonts w:cs="Arial"/>
          <w:sz w:val="24"/>
        </w:rPr>
        <w:t xml:space="preserve"> – Pass through Agency and Grant Specific Information</w:t>
      </w:r>
      <w:bookmarkEnd w:id="12"/>
    </w:p>
    <w:p w14:paraId="0831D2D6" w14:textId="77777777" w:rsidR="003644ED" w:rsidRPr="00A0464C" w:rsidRDefault="003644ED" w:rsidP="006672EA">
      <w:pPr>
        <w:pStyle w:val="Heading3"/>
        <w:jc w:val="both"/>
        <w:rPr>
          <w:rFonts w:cs="Arial"/>
          <w:sz w:val="24"/>
          <w:szCs w:val="24"/>
        </w:rPr>
      </w:pPr>
      <w:bookmarkStart w:id="13" w:name="_Toc224138569"/>
      <w:r w:rsidRPr="00A0464C">
        <w:rPr>
          <w:rFonts w:cs="Arial"/>
          <w:sz w:val="24"/>
          <w:szCs w:val="24"/>
        </w:rPr>
        <w:t>Program Overview</w:t>
      </w:r>
      <w:bookmarkEnd w:id="13"/>
    </w:p>
    <w:p w14:paraId="775481F4" w14:textId="77777777" w:rsidR="00C472D5" w:rsidRPr="00C6754C" w:rsidRDefault="00C472D5" w:rsidP="00C472D5">
      <w:pPr>
        <w:spacing w:after="240"/>
        <w:jc w:val="both"/>
        <w:rPr>
          <w:rFonts w:ascii="Arial" w:hAnsi="Arial" w:cs="Arial"/>
          <w:lang w:val="en"/>
        </w:rPr>
      </w:pPr>
      <w:r w:rsidRPr="00E5543D">
        <w:rPr>
          <w:rFonts w:ascii="Arial" w:hAnsi="Arial" w:cs="Arial"/>
        </w:rPr>
        <w:t xml:space="preserve">The purpose of this program is to address the opioid overdose crisis by providing resources to states and territories for increasing access to FDA-approved medications for the treatment of opioid use disorder (MOUD), and for supporting the continuum of prevention, </w:t>
      </w:r>
      <w:r>
        <w:rPr>
          <w:rFonts w:ascii="Arial" w:hAnsi="Arial" w:cs="Arial"/>
        </w:rPr>
        <w:t>opioid overdose reversal medications (OORM)</w:t>
      </w:r>
      <w:r w:rsidRPr="00E5543D">
        <w:rPr>
          <w:rFonts w:ascii="Arial" w:hAnsi="Arial" w:cs="Arial"/>
        </w:rPr>
        <w:t>, treatment, and recovery support services for opioid use disorder (OUD) and other concurrent substance use disorders. The SOR program also supports the continuum of care for stimulant misuse and use disorders, including for cocaine and methamphetamine</w:t>
      </w:r>
      <w:r>
        <w:rPr>
          <w:rFonts w:ascii="Arial" w:hAnsi="Arial" w:cs="Arial"/>
        </w:rPr>
        <w:t>, and supports services for individuals with Opioid Use Disorder Stimulant Use Disorder Individuals with co-occurring Mental Health Disorders.</w:t>
      </w:r>
      <w:r w:rsidRPr="00E5543D">
        <w:rPr>
          <w:rFonts w:ascii="Arial" w:hAnsi="Arial" w:cs="Arial"/>
        </w:rPr>
        <w:t xml:space="preserve"> The SOR program aims to help reduce unmet treatment needs and opioid-related overdose deaths across America</w:t>
      </w:r>
      <w:r>
        <w:rPr>
          <w:rFonts w:ascii="Arial" w:hAnsi="Arial" w:cs="Arial"/>
        </w:rPr>
        <w:t xml:space="preserve">. </w:t>
      </w:r>
    </w:p>
    <w:p w14:paraId="000A75CA" w14:textId="77777777" w:rsidR="00C472D5" w:rsidRDefault="00C472D5" w:rsidP="00C472D5">
      <w:pPr>
        <w:spacing w:after="240"/>
        <w:jc w:val="both"/>
        <w:rPr>
          <w:rFonts w:ascii="Arial" w:hAnsi="Arial" w:cs="Arial"/>
        </w:rPr>
      </w:pPr>
      <w:r w:rsidRPr="00E5543D">
        <w:rPr>
          <w:rFonts w:ascii="Arial" w:hAnsi="Arial" w:cs="Arial"/>
        </w:rPr>
        <w:t xml:space="preserve">Recipients and sub-awardees’ use of funds for this program requires evidence-based treatments, practices, and interventions for OUD and stimulant use disorders. SAMHSA requires that MOUD be made available to those diagnosed with OUD. MOUD includes methadone, buprenorphine products, including single-entity buprenorphine products, buprenorphine/naloxone tablets, films, buccal preparations, long-acting injectable buprenorphine products, and injectable extended-release naltrexone. </w:t>
      </w:r>
    </w:p>
    <w:p w14:paraId="2C557B82" w14:textId="77777777" w:rsidR="00C472D5" w:rsidRDefault="00C472D5" w:rsidP="00C472D5">
      <w:pPr>
        <w:spacing w:after="240"/>
        <w:jc w:val="both"/>
        <w:rPr>
          <w:rFonts w:ascii="Arial" w:hAnsi="Arial" w:cs="Arial"/>
        </w:rPr>
      </w:pPr>
      <w:r w:rsidRPr="00E5543D">
        <w:rPr>
          <w:rFonts w:ascii="Arial" w:hAnsi="Arial" w:cs="Arial"/>
        </w:rPr>
        <w:t>Medically managed withdrawal (the updated term for detoxification) is not the standard of care for OUD, and is associated with a very high relapse rate, while also significantly increasing an individual’s risk for opioid overdose and death if opioid use is resumed.1 Therefore, SAMHSA does not recognize medically managed withdrawal, when done in isolation, as an evidence-based practice for OUD. If medically managed withdrawal services are provided by SOR awardees or sub-awardees, it must be accompanied by the offer and provision of injectable extended-release naltrexone to protect such individuals from opioid overdose in case of return to use and improve treatment outcomes.</w:t>
      </w:r>
      <w:r>
        <w:rPr>
          <w:rFonts w:ascii="Arial" w:hAnsi="Arial" w:cs="Arial"/>
        </w:rPr>
        <w:t xml:space="preserve"> </w:t>
      </w:r>
    </w:p>
    <w:p w14:paraId="628EEC4F" w14:textId="4643E3F3" w:rsidR="00ED4441" w:rsidRDefault="00C472D5" w:rsidP="00ED4441">
      <w:pPr>
        <w:spacing w:after="240"/>
        <w:jc w:val="both"/>
        <w:rPr>
          <w:rFonts w:ascii="Arial" w:hAnsi="Arial" w:cs="Arial"/>
        </w:rPr>
      </w:pPr>
      <w:r w:rsidRPr="00D458C4">
        <w:rPr>
          <w:rFonts w:ascii="Arial" w:hAnsi="Arial" w:cs="Arial"/>
        </w:rPr>
        <w:t xml:space="preserve">In addition to these treatment services, recipients will be required to employ effective </w:t>
      </w:r>
      <w:r w:rsidRPr="6D1EF2B4">
        <w:rPr>
          <w:rFonts w:ascii="Arial" w:hAnsi="Arial" w:cs="Arial"/>
        </w:rPr>
        <w:t xml:space="preserve">SAMHSA approved </w:t>
      </w:r>
      <w:r w:rsidRPr="00D458C4">
        <w:rPr>
          <w:rFonts w:ascii="Arial" w:hAnsi="Arial" w:cs="Arial"/>
        </w:rPr>
        <w:t xml:space="preserve">prevention, </w:t>
      </w:r>
      <w:r w:rsidRPr="6D1EF2B4">
        <w:rPr>
          <w:rFonts w:ascii="Arial" w:hAnsi="Arial" w:cs="Arial"/>
        </w:rPr>
        <w:t>Opioid Overdose Reversal Medications (OORM),</w:t>
      </w:r>
      <w:r w:rsidRPr="00D458C4">
        <w:rPr>
          <w:rFonts w:ascii="Arial" w:hAnsi="Arial" w:cs="Arial"/>
        </w:rPr>
        <w:t xml:space="preserve"> and recovery support services. </w:t>
      </w:r>
    </w:p>
    <w:p w14:paraId="72995530" w14:textId="6DEAD302" w:rsidR="00C472D5" w:rsidRPr="000B05D0" w:rsidRDefault="00C472D5" w:rsidP="00C472D5">
      <w:pPr>
        <w:spacing w:after="240"/>
        <w:jc w:val="both"/>
        <w:rPr>
          <w:rFonts w:ascii="Arial" w:hAnsi="Arial"/>
        </w:rPr>
      </w:pPr>
      <w:r w:rsidRPr="0022014F">
        <w:rPr>
          <w:rFonts w:ascii="Arial" w:hAnsi="Arial" w:cs="Arial"/>
          <w:bCs/>
          <w:i/>
        </w:rPr>
        <w:t>(Source: State Opioid Response Grants, Notice of Funding Opportunity (NOFO) No.</w:t>
      </w:r>
      <w:r>
        <w:rPr>
          <w:rFonts w:ascii="Arial" w:hAnsi="Arial" w:cs="Arial"/>
          <w:bCs/>
          <w:i/>
        </w:rPr>
        <w:t>TI-24-008</w:t>
      </w:r>
      <w:r w:rsidRPr="0022014F">
        <w:rPr>
          <w:rFonts w:ascii="Arial" w:hAnsi="Arial" w:cs="Arial"/>
          <w:bCs/>
          <w:i/>
        </w:rPr>
        <w:t xml:space="preserve">, </w:t>
      </w:r>
      <w:hyperlink r:id="rId31" w:history="1">
        <w:r w:rsidRPr="0013240C">
          <w:rPr>
            <w:rStyle w:val="Hyperlink"/>
            <w:rFonts w:cs="Arial"/>
            <w:i/>
            <w:iCs/>
          </w:rPr>
          <w:t>https://www.samhsa.gov/grants/grant-announcements/ti-24-008</w:t>
        </w:r>
      </w:hyperlink>
      <w:r w:rsidR="0013240C">
        <w:rPr>
          <w:i/>
          <w:iCs/>
        </w:rPr>
        <w:t xml:space="preserve"> </w:t>
      </w:r>
      <w:r w:rsidR="0013240C" w:rsidRPr="0013240C">
        <w:rPr>
          <w:rFonts w:ascii="Arial" w:hAnsi="Arial" w:cs="Arial"/>
          <w:i/>
          <w:iCs/>
        </w:rPr>
        <w:t>and Dex Stanger Chief Fiscal Officer, Ohio Department of Behavioral Health, February 23, 2026</w:t>
      </w:r>
      <w:r w:rsidRPr="0013240C">
        <w:rPr>
          <w:rFonts w:ascii="Arial" w:hAnsi="Arial" w:cs="Arial"/>
          <w:i/>
          <w:iCs/>
        </w:rPr>
        <w:t>)</w:t>
      </w:r>
    </w:p>
    <w:p w14:paraId="7F660E84" w14:textId="77777777" w:rsidR="00C472D5" w:rsidRPr="0022014F" w:rsidRDefault="00C472D5" w:rsidP="00C472D5">
      <w:pPr>
        <w:spacing w:after="240"/>
        <w:jc w:val="both"/>
        <w:rPr>
          <w:rFonts w:ascii="Arial" w:hAnsi="Arial" w:cs="Arial"/>
        </w:rPr>
      </w:pPr>
      <w:r w:rsidRPr="0022014F">
        <w:rPr>
          <w:rFonts w:ascii="Arial" w:hAnsi="Arial" w:cs="Arial"/>
        </w:rPr>
        <w:t xml:space="preserve">Eligibility is limited to Single State Agencies (SSAs) and territories.  </w:t>
      </w:r>
    </w:p>
    <w:p w14:paraId="0947D65E" w14:textId="358CC7A1" w:rsidR="00C472D5" w:rsidRPr="0022014F" w:rsidRDefault="00C472D5" w:rsidP="00C472D5">
      <w:pPr>
        <w:spacing w:after="240"/>
        <w:jc w:val="both"/>
        <w:rPr>
          <w:rFonts w:ascii="Arial" w:hAnsi="Arial" w:cs="Arial"/>
          <w:i/>
        </w:rPr>
      </w:pPr>
      <w:r w:rsidRPr="0022014F">
        <w:rPr>
          <w:rFonts w:ascii="Arial" w:hAnsi="Arial" w:cs="Arial"/>
          <w:bCs/>
          <w:i/>
        </w:rPr>
        <w:t>(Source: State Opioid Response Grants, Notice of Funding Opportunity (NOFO) No.</w:t>
      </w:r>
      <w:r>
        <w:rPr>
          <w:rFonts w:ascii="Arial" w:hAnsi="Arial" w:cs="Arial"/>
          <w:bCs/>
          <w:i/>
        </w:rPr>
        <w:t>TI-24-008</w:t>
      </w:r>
      <w:r w:rsidRPr="0022014F">
        <w:rPr>
          <w:rFonts w:ascii="Arial" w:hAnsi="Arial" w:cs="Arial"/>
          <w:bCs/>
          <w:i/>
        </w:rPr>
        <w:t xml:space="preserve">, </w:t>
      </w:r>
      <w:hyperlink r:id="rId32" w:history="1">
        <w:r w:rsidRPr="00A62E89">
          <w:rPr>
            <w:rStyle w:val="Hyperlink"/>
            <w:rFonts w:cs="Arial"/>
          </w:rPr>
          <w:t>https://www.samhsa.gov/grants/grant-announcements/ti-24-008</w:t>
        </w:r>
      </w:hyperlink>
      <w:r w:rsidR="0013240C" w:rsidRPr="0013240C">
        <w:rPr>
          <w:rFonts w:ascii="Arial" w:hAnsi="Arial" w:cs="Arial"/>
          <w:i/>
          <w:iCs/>
        </w:rPr>
        <w:t xml:space="preserve"> and Dex Stanger Chief Fiscal Officer, Ohio Department of Behavioral Health, February 23, 2026)</w:t>
      </w:r>
    </w:p>
    <w:p w14:paraId="23F783BB" w14:textId="77777777" w:rsidR="00C472D5" w:rsidRDefault="00C472D5" w:rsidP="00C472D5">
      <w:pPr>
        <w:shd w:val="clear" w:color="auto" w:fill="FFFFFF"/>
        <w:spacing w:after="240"/>
        <w:jc w:val="both"/>
        <w:textAlignment w:val="baseline"/>
        <w:rPr>
          <w:rFonts w:ascii="Arial" w:hAnsi="Arial" w:cs="Arial"/>
        </w:rPr>
      </w:pPr>
      <w:r w:rsidRPr="00D458C4">
        <w:rPr>
          <w:rFonts w:ascii="Arial" w:hAnsi="Arial" w:cs="Arial"/>
        </w:rPr>
        <w:t xml:space="preserve">The </w:t>
      </w:r>
      <w:r>
        <w:rPr>
          <w:rFonts w:ascii="Arial" w:hAnsi="Arial" w:cs="Arial"/>
        </w:rPr>
        <w:t xml:space="preserve">Ohio Department of Behavioral Health (formerly the </w:t>
      </w:r>
      <w:r w:rsidRPr="00D458C4">
        <w:rPr>
          <w:rFonts w:ascii="Arial" w:hAnsi="Arial" w:cs="Arial"/>
        </w:rPr>
        <w:t>Ohio Department of Mental Health and Addiction Services (OhioMHAS)</w:t>
      </w:r>
      <w:r>
        <w:rPr>
          <w:rFonts w:ascii="Arial" w:hAnsi="Arial" w:cs="Arial"/>
        </w:rPr>
        <w:t>)</w:t>
      </w:r>
      <w:r w:rsidRPr="00D458C4">
        <w:rPr>
          <w:rFonts w:ascii="Arial" w:hAnsi="Arial" w:cs="Arial"/>
        </w:rPr>
        <w:t xml:space="preserve"> has coordinated with statewide partners, sister state agencies and </w:t>
      </w:r>
      <w:r>
        <w:rPr>
          <w:rFonts w:ascii="Arial" w:hAnsi="Arial" w:cs="Arial"/>
        </w:rPr>
        <w:t xml:space="preserve">the </w:t>
      </w:r>
      <w:r w:rsidRPr="00D458C4">
        <w:rPr>
          <w:rFonts w:ascii="Arial" w:hAnsi="Arial" w:cs="Arial"/>
        </w:rPr>
        <w:t xml:space="preserve">RecoveryOhio initiative to identify Ohio’s goals to address substance use and abuse, including to: </w:t>
      </w:r>
    </w:p>
    <w:p w14:paraId="69855D85" w14:textId="77777777" w:rsidR="00C472D5" w:rsidRDefault="00C472D5" w:rsidP="00C472D5">
      <w:pPr>
        <w:shd w:val="clear" w:color="auto" w:fill="FFFFFF"/>
        <w:spacing w:after="240"/>
        <w:jc w:val="both"/>
        <w:textAlignment w:val="baseline"/>
        <w:rPr>
          <w:rFonts w:ascii="Arial" w:hAnsi="Arial" w:cs="Arial"/>
        </w:rPr>
      </w:pPr>
      <w:r w:rsidRPr="00D458C4">
        <w:rPr>
          <w:rFonts w:ascii="Arial" w:hAnsi="Arial" w:cs="Arial"/>
        </w:rPr>
        <w:t xml:space="preserve">1. Reduce Unintentional Overdose Deaths </w:t>
      </w:r>
    </w:p>
    <w:p w14:paraId="3C61A72F" w14:textId="77777777" w:rsidR="00C472D5" w:rsidRDefault="00C472D5" w:rsidP="00C472D5">
      <w:pPr>
        <w:shd w:val="clear" w:color="auto" w:fill="FFFFFF"/>
        <w:spacing w:after="240"/>
        <w:jc w:val="both"/>
        <w:textAlignment w:val="baseline"/>
        <w:rPr>
          <w:rFonts w:ascii="Arial" w:hAnsi="Arial" w:cs="Arial"/>
        </w:rPr>
      </w:pPr>
      <w:r w:rsidRPr="00D458C4">
        <w:rPr>
          <w:rFonts w:ascii="Arial" w:hAnsi="Arial" w:cs="Arial"/>
        </w:rPr>
        <w:t xml:space="preserve">2. Increase Access to Addiction Treatment </w:t>
      </w:r>
    </w:p>
    <w:p w14:paraId="0957972F" w14:textId="77777777" w:rsidR="00C472D5" w:rsidRPr="00C472D5" w:rsidRDefault="00C472D5" w:rsidP="00C472D5">
      <w:pPr>
        <w:shd w:val="clear" w:color="auto" w:fill="FFFFFF"/>
        <w:spacing w:after="240"/>
        <w:jc w:val="both"/>
        <w:textAlignment w:val="baseline"/>
        <w:rPr>
          <w:rFonts w:ascii="Arial" w:hAnsi="Arial" w:cs="Arial"/>
        </w:rPr>
      </w:pPr>
      <w:r w:rsidRPr="00D458C4">
        <w:rPr>
          <w:rFonts w:ascii="Arial" w:hAnsi="Arial" w:cs="Arial"/>
        </w:rPr>
        <w:t>3. Prevent Youth Alcoho</w:t>
      </w:r>
      <w:r w:rsidRPr="00C472D5">
        <w:rPr>
          <w:rFonts w:ascii="Arial" w:hAnsi="Arial" w:cs="Arial"/>
        </w:rPr>
        <w:t xml:space="preserve">l and Drug Use </w:t>
      </w:r>
    </w:p>
    <w:p w14:paraId="004FA924" w14:textId="77777777" w:rsidR="00C472D5" w:rsidRPr="00C472D5" w:rsidRDefault="00C472D5" w:rsidP="00C472D5">
      <w:pPr>
        <w:shd w:val="clear" w:color="auto" w:fill="FFFFFF"/>
        <w:spacing w:after="240"/>
        <w:jc w:val="both"/>
        <w:textAlignment w:val="baseline"/>
        <w:rPr>
          <w:rFonts w:ascii="Arial" w:hAnsi="Arial" w:cs="Arial"/>
        </w:rPr>
      </w:pPr>
      <w:r w:rsidRPr="00C472D5">
        <w:rPr>
          <w:rFonts w:ascii="Arial" w:hAnsi="Arial" w:cs="Arial"/>
        </w:rPr>
        <w:t xml:space="preserve">4. Increase Recovery Supports </w:t>
      </w:r>
    </w:p>
    <w:p w14:paraId="0B186D00" w14:textId="77777777" w:rsidR="00C472D5" w:rsidRPr="00C472D5" w:rsidRDefault="00C472D5" w:rsidP="00C472D5">
      <w:pPr>
        <w:shd w:val="clear" w:color="auto" w:fill="FFFFFF"/>
        <w:spacing w:after="240"/>
        <w:jc w:val="both"/>
        <w:textAlignment w:val="baseline"/>
        <w:rPr>
          <w:rFonts w:ascii="Arial" w:hAnsi="Arial" w:cs="Arial"/>
        </w:rPr>
      </w:pPr>
      <w:r w:rsidRPr="00C472D5">
        <w:rPr>
          <w:rFonts w:ascii="Arial" w:hAnsi="Arial" w:cs="Arial"/>
        </w:rPr>
        <w:t xml:space="preserve">5. Support Responsible Prescribing Practices </w:t>
      </w:r>
    </w:p>
    <w:p w14:paraId="431A3ED7" w14:textId="77777777" w:rsidR="00C472D5" w:rsidRPr="00C472D5" w:rsidRDefault="00C472D5" w:rsidP="00C472D5">
      <w:pPr>
        <w:shd w:val="clear" w:color="auto" w:fill="FFFFFF" w:themeFill="background1"/>
        <w:spacing w:after="240"/>
        <w:jc w:val="both"/>
        <w:textAlignment w:val="baseline"/>
        <w:rPr>
          <w:rFonts w:ascii="Arial" w:hAnsi="Arial" w:cs="Arial"/>
        </w:rPr>
      </w:pPr>
      <w:r w:rsidRPr="00C472D5">
        <w:rPr>
          <w:rFonts w:ascii="Arial" w:hAnsi="Arial" w:cs="Arial"/>
        </w:rPr>
        <w:t>6. Promote OORM,</w:t>
      </w:r>
      <w:r w:rsidRPr="00C472D5">
        <w:rPr>
          <w:rFonts w:ascii="Arial" w:eastAsia="Arial" w:hAnsi="Arial" w:cs="Arial"/>
        </w:rPr>
        <w:t xml:space="preserve"> and other approved lifesaving overdose prevention and response services</w:t>
      </w:r>
    </w:p>
    <w:p w14:paraId="60E99BE8" w14:textId="77777777" w:rsidR="00C472D5" w:rsidRPr="00C472D5" w:rsidRDefault="00C472D5" w:rsidP="00C472D5">
      <w:pPr>
        <w:shd w:val="clear" w:color="auto" w:fill="FFFFFF"/>
        <w:spacing w:after="240"/>
        <w:jc w:val="both"/>
        <w:textAlignment w:val="baseline"/>
        <w:rPr>
          <w:rFonts w:ascii="Arial" w:hAnsi="Arial" w:cs="Arial"/>
          <w:lang w:val="en"/>
        </w:rPr>
      </w:pPr>
      <w:r w:rsidRPr="00C472D5">
        <w:rPr>
          <w:rFonts w:ascii="Arial" w:hAnsi="Arial" w:cs="Arial"/>
        </w:rPr>
        <w:lastRenderedPageBreak/>
        <w:t xml:space="preserve">These goals and strategies have been aligned to provide a coordinated response to Ohio’s Opioid epidemic. A variety of data collection methods were used to collect data for this plan, including surveys, focus groups, round tables, interviews with state leadership, persons with lived experience, providers, and advocacy organizations, and the collection and analysis of national, state, and local secondary data. </w:t>
      </w:r>
    </w:p>
    <w:p w14:paraId="03B0752D" w14:textId="434D5E3A" w:rsidR="003644ED" w:rsidRPr="00C472D5" w:rsidRDefault="00C472D5" w:rsidP="006672EA">
      <w:pPr>
        <w:spacing w:after="240"/>
        <w:jc w:val="both"/>
        <w:rPr>
          <w:rFonts w:ascii="Arial" w:hAnsi="Arial" w:cs="Arial"/>
        </w:rPr>
      </w:pPr>
      <w:r w:rsidRPr="00C472D5">
        <w:rPr>
          <w:rFonts w:ascii="Arial" w:hAnsi="Arial" w:cs="Arial"/>
          <w:i/>
        </w:rPr>
        <w:t>(Source:</w:t>
      </w:r>
      <w:r w:rsidRPr="00C472D5">
        <w:rPr>
          <w:rFonts w:ascii="Arial" w:hAnsi="Arial" w:cs="Arial"/>
        </w:rPr>
        <w:t xml:space="preserve"> </w:t>
      </w:r>
      <w:hyperlink r:id="rId33" w:history="1">
        <w:r w:rsidRPr="00C472D5">
          <w:rPr>
            <w:rStyle w:val="Hyperlink"/>
            <w:rFonts w:cs="Arial"/>
          </w:rPr>
          <w:t>https://dbh.ohio.gov/know-our-programs-and-services/state-opioid-and-stimulant-response/sos-4-resources/sos-4-resources</w:t>
        </w:r>
      </w:hyperlink>
      <w:r w:rsidR="0013240C" w:rsidRPr="0013240C">
        <w:rPr>
          <w:rFonts w:ascii="Arial" w:hAnsi="Arial" w:cs="Arial"/>
          <w:i/>
          <w:iCs/>
        </w:rPr>
        <w:t xml:space="preserve"> and Dex Stanger Chief Fiscal Officer, Ohio Department of Behavioral Health, February 23, 2026</w:t>
      </w:r>
      <w:r w:rsidRPr="00C472D5">
        <w:rPr>
          <w:rFonts w:ascii="Arial" w:hAnsi="Arial" w:cs="Arial"/>
        </w:rPr>
        <w:t>)</w:t>
      </w:r>
    </w:p>
    <w:p w14:paraId="238BF61F" w14:textId="77777777" w:rsidR="003644ED" w:rsidRPr="00A0464C" w:rsidRDefault="003644ED" w:rsidP="006672EA">
      <w:pPr>
        <w:pStyle w:val="Heading3"/>
        <w:jc w:val="both"/>
        <w:rPr>
          <w:rFonts w:cs="Arial"/>
          <w:sz w:val="24"/>
          <w:szCs w:val="24"/>
        </w:rPr>
      </w:pPr>
      <w:bookmarkStart w:id="14" w:name="_Toc224138570"/>
      <w:r w:rsidRPr="00A0464C">
        <w:rPr>
          <w:rFonts w:cs="Arial"/>
          <w:sz w:val="24"/>
          <w:szCs w:val="24"/>
        </w:rPr>
        <w:t>Testing Considerations</w:t>
      </w:r>
      <w:bookmarkEnd w:id="14"/>
    </w:p>
    <w:p w14:paraId="6931F99F" w14:textId="77777777" w:rsidR="00C472D5" w:rsidRPr="004E6A5A" w:rsidRDefault="00C472D5" w:rsidP="00C472D5">
      <w:pPr>
        <w:spacing w:after="240"/>
        <w:jc w:val="both"/>
        <w:rPr>
          <w:rFonts w:ascii="Arial" w:hAnsi="Arial" w:cs="Arial"/>
          <w:shd w:val="clear" w:color="auto" w:fill="FFFFFF"/>
        </w:rPr>
      </w:pPr>
      <w:r w:rsidRPr="0022014F">
        <w:rPr>
          <w:rFonts w:ascii="Arial" w:hAnsi="Arial" w:cs="Arial"/>
          <w:shd w:val="clear" w:color="auto" w:fill="FFFFFF"/>
        </w:rPr>
        <w:t>Funding Opportunities related to the award will be announced on the</w:t>
      </w:r>
      <w:r>
        <w:rPr>
          <w:rFonts w:ascii="Arial" w:hAnsi="Arial" w:cs="Arial"/>
          <w:shd w:val="clear" w:color="auto" w:fill="FFFFFF"/>
        </w:rPr>
        <w:t xml:space="preserve"> </w:t>
      </w:r>
      <w:hyperlink r:id="rId34" w:history="1">
        <w:r>
          <w:rPr>
            <w:rStyle w:val="Hyperlink"/>
            <w:rFonts w:cs="Arial"/>
            <w:color w:val="6D0839"/>
            <w:bdr w:val="none" w:sz="0" w:space="0" w:color="auto" w:frame="1"/>
            <w:shd w:val="clear" w:color="auto" w:fill="FFFFFF"/>
          </w:rPr>
          <w:t>DBH funding opportunities page</w:t>
        </w:r>
      </w:hyperlink>
      <w:r w:rsidRPr="004E6A5A">
        <w:rPr>
          <w:rFonts w:ascii="Arial" w:hAnsi="Arial" w:cs="Arial"/>
          <w:shd w:val="clear" w:color="auto" w:fill="FFFFFF"/>
        </w:rPr>
        <w:t>.</w:t>
      </w:r>
    </w:p>
    <w:p w14:paraId="4F832EBB" w14:textId="37F7D798" w:rsidR="003644ED" w:rsidRPr="00F00D94" w:rsidRDefault="00C472D5" w:rsidP="006672EA">
      <w:pPr>
        <w:spacing w:after="240"/>
        <w:jc w:val="both"/>
        <w:rPr>
          <w:rFonts w:ascii="Arial" w:hAnsi="Arial" w:cs="Arial"/>
        </w:rPr>
      </w:pPr>
      <w:r w:rsidRPr="0022014F">
        <w:rPr>
          <w:rFonts w:ascii="Arial" w:hAnsi="Arial" w:cs="Arial"/>
          <w:i/>
        </w:rPr>
        <w:t>(</w:t>
      </w:r>
      <w:r w:rsidRPr="0055543A">
        <w:rPr>
          <w:rFonts w:ascii="Arial" w:hAnsi="Arial" w:cs="Arial"/>
          <w:i/>
        </w:rPr>
        <w:t>Source:</w:t>
      </w:r>
      <w:r>
        <w:rPr>
          <w:rFonts w:ascii="Arial" w:hAnsi="Arial" w:cs="Arial"/>
          <w:i/>
        </w:rPr>
        <w:t xml:space="preserve"> </w:t>
      </w:r>
      <w:hyperlink r:id="rId35" w:history="1">
        <w:r w:rsidRPr="00051B1D">
          <w:rPr>
            <w:rStyle w:val="Hyperlink"/>
            <w:rFonts w:cs="Arial"/>
          </w:rPr>
          <w:t>https://dbh.ohio.gov/supporting-providers/apply-for-funding/funding-opportunities/funding-opportunities</w:t>
        </w:r>
      </w:hyperlink>
      <w:r>
        <w:t xml:space="preserve"> </w:t>
      </w:r>
      <w:r w:rsidR="0013240C" w:rsidRPr="0013240C">
        <w:rPr>
          <w:rFonts w:ascii="Arial" w:hAnsi="Arial" w:cs="Arial"/>
          <w:i/>
          <w:iCs/>
        </w:rPr>
        <w:t>and Dex Stanger Chief Fiscal Officer, Ohio Department of Behavioral Health, February 23, 2026</w:t>
      </w:r>
      <w:r w:rsidRPr="0022014F">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15" w:name="_Toc224138571"/>
      <w:r w:rsidRPr="00A0464C">
        <w:rPr>
          <w:rFonts w:cs="Arial"/>
          <w:sz w:val="24"/>
          <w:szCs w:val="24"/>
        </w:rPr>
        <w:t>Reporting</w:t>
      </w:r>
      <w:bookmarkEnd w:id="15"/>
    </w:p>
    <w:p w14:paraId="712AFFA3" w14:textId="28363C8C" w:rsidR="00C472D5" w:rsidRPr="0013240C" w:rsidRDefault="00C472D5" w:rsidP="006672EA">
      <w:pPr>
        <w:spacing w:after="240"/>
        <w:jc w:val="both"/>
        <w:rPr>
          <w:rFonts w:ascii="Arial" w:hAnsi="Arial" w:cs="Arial"/>
          <w:i/>
          <w:iCs/>
          <w:color w:val="002060"/>
        </w:rPr>
      </w:pPr>
      <w:r w:rsidRPr="0013240C">
        <w:rPr>
          <w:rFonts w:ascii="Arial" w:hAnsi="Arial" w:cs="Arial"/>
          <w:i/>
          <w:iCs/>
          <w:color w:val="002060"/>
        </w:rPr>
        <w:t>Effective September 30, 2025, the Ohio Department of Mental Health and Addiction Services was renamed the Ohio Department of Behavioral Health (DBH). For entities with a fiscal year ended September 30, 2025 and subsequent, the Schedules of Expenditures of Federal Awards should indicate that the Ohio Department of Behavioral Health is the pass-through agency for awards with subgrant agreements from the Ohio Department of Mental Health and Addiction Services.</w:t>
      </w:r>
    </w:p>
    <w:p w14:paraId="098F526F" w14:textId="5FAC544D" w:rsidR="002A4184" w:rsidRPr="0019565C" w:rsidRDefault="0047409E" w:rsidP="006672EA">
      <w:pPr>
        <w:spacing w:after="240"/>
        <w:jc w:val="both"/>
        <w:rPr>
          <w:rFonts w:ascii="Arial" w:hAnsi="Arial" w:cs="Arial"/>
          <w:b/>
        </w:rPr>
        <w:sectPr w:rsidR="002A4184" w:rsidRPr="0019565C" w:rsidSect="00FE4777">
          <w:headerReference w:type="default" r:id="rId3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16" w:name="_Toc442267685"/>
      <w:bookmarkStart w:id="17" w:name="_Toc22413857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16"/>
      <w:bookmarkEnd w:id="17"/>
    </w:p>
    <w:p w14:paraId="5009BB8E" w14:textId="77777777" w:rsidR="007E5B12" w:rsidRPr="00A0464C" w:rsidRDefault="007E5B12" w:rsidP="006672EA">
      <w:pPr>
        <w:pStyle w:val="Heading2"/>
        <w:jc w:val="both"/>
        <w:rPr>
          <w:rFonts w:cs="Arial"/>
          <w:sz w:val="24"/>
        </w:rPr>
      </w:pPr>
      <w:bookmarkStart w:id="18" w:name="_Toc442267686"/>
      <w:bookmarkStart w:id="19" w:name="_Toc224138573"/>
      <w:r w:rsidRPr="00A0464C">
        <w:rPr>
          <w:rFonts w:cs="Arial"/>
          <w:sz w:val="24"/>
        </w:rPr>
        <w:t>A.  ACTIVITIES ALLOWED OR UNALLOWED</w:t>
      </w:r>
      <w:bookmarkEnd w:id="18"/>
      <w:bookmarkEnd w:id="19"/>
    </w:p>
    <w:p w14:paraId="15499E2F" w14:textId="3214755D" w:rsidR="007E5B12" w:rsidRPr="00A0464C" w:rsidRDefault="006A15E5" w:rsidP="006672EA">
      <w:pPr>
        <w:pStyle w:val="Heading3"/>
        <w:jc w:val="both"/>
        <w:rPr>
          <w:rFonts w:cs="Arial"/>
          <w:sz w:val="24"/>
          <w:szCs w:val="24"/>
        </w:rPr>
      </w:pPr>
      <w:bookmarkStart w:id="20" w:name="_Toc442267687"/>
      <w:bookmarkStart w:id="21" w:name="_Toc224138574"/>
      <w:r w:rsidRPr="00A0464C">
        <w:rPr>
          <w:rFonts w:cs="Arial"/>
          <w:sz w:val="24"/>
          <w:szCs w:val="24"/>
        </w:rPr>
        <w:t xml:space="preserve">OMB </w:t>
      </w:r>
      <w:r w:rsidR="007E5B12" w:rsidRPr="00A0464C">
        <w:rPr>
          <w:rFonts w:cs="Arial"/>
          <w:sz w:val="24"/>
          <w:szCs w:val="24"/>
        </w:rPr>
        <w:t>Compliance Requirements</w:t>
      </w:r>
      <w:bookmarkEnd w:id="20"/>
      <w:bookmarkEnd w:id="2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3A16C294" w:rsidR="00225F9C" w:rsidRPr="004A0AB6" w:rsidRDefault="00ED4441" w:rsidP="006672EA">
      <w:pPr>
        <w:spacing w:after="240"/>
        <w:jc w:val="both"/>
        <w:rPr>
          <w:rFonts w:ascii="Arial" w:hAnsi="Arial" w:cs="Arial"/>
          <w:b/>
          <w:highlight w:val="yellow"/>
        </w:rPr>
      </w:pPr>
      <w:r w:rsidRPr="00EA2CA3">
        <w:rPr>
          <w:rFonts w:ascii="Arial" w:hAnsi="Arial" w:cs="Arial"/>
          <w:bCs/>
        </w:rPr>
        <w:t xml:space="preserve">This program is not included in the </w:t>
      </w:r>
      <w:r w:rsidR="0013240C">
        <w:rPr>
          <w:rFonts w:ascii="Arial" w:hAnsi="Arial" w:cs="Arial"/>
          <w:bCs/>
        </w:rPr>
        <w:t>2025</w:t>
      </w:r>
      <w:r w:rsidR="0013240C" w:rsidRPr="00EA2CA3">
        <w:rPr>
          <w:rFonts w:ascii="Arial" w:hAnsi="Arial" w:cs="Arial"/>
          <w:bCs/>
        </w:rPr>
        <w:t xml:space="preserve"> </w:t>
      </w:r>
      <w:r w:rsidRPr="00EA2CA3">
        <w:rPr>
          <w:rFonts w:ascii="Arial" w:hAnsi="Arial" w:cs="Arial"/>
          <w:bCs/>
        </w:rPr>
        <w:t>OMB Compliance Supplement.</w:t>
      </w:r>
    </w:p>
    <w:p w14:paraId="0A90B4EE" w14:textId="77777777" w:rsidR="00A712B0" w:rsidRPr="00A0464C" w:rsidRDefault="00A712B0" w:rsidP="006672EA">
      <w:pPr>
        <w:pStyle w:val="Heading3"/>
        <w:jc w:val="both"/>
        <w:rPr>
          <w:rFonts w:cs="Arial"/>
          <w:sz w:val="24"/>
          <w:szCs w:val="24"/>
        </w:rPr>
      </w:pPr>
      <w:bookmarkStart w:id="22" w:name="_Toc442267688"/>
      <w:bookmarkStart w:id="23" w:name="_Toc224138575"/>
      <w:r w:rsidRPr="00A0464C">
        <w:rPr>
          <w:rFonts w:cs="Arial"/>
          <w:sz w:val="24"/>
          <w:szCs w:val="24"/>
        </w:rPr>
        <w:t>Additional Program Specific Information</w:t>
      </w:r>
      <w:bookmarkEnd w:id="22"/>
      <w:bookmarkEnd w:id="2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411A34E" w:rsidR="00AA5B05" w:rsidRPr="00AA5B05" w:rsidRDefault="00AA5B05"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07493970" w14:textId="0D18E487" w:rsidR="00AA5B05" w:rsidRPr="00AA5B05" w:rsidRDefault="00AA5B05"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3482991" w14:textId="77777777" w:rsidR="0013240C" w:rsidRPr="00C472D5" w:rsidRDefault="0013240C" w:rsidP="0013240C">
      <w:pPr>
        <w:spacing w:after="240"/>
        <w:jc w:val="both"/>
        <w:rPr>
          <w:rFonts w:ascii="Arial" w:hAnsi="Arial" w:cs="Arial"/>
        </w:rPr>
      </w:pPr>
      <w:r w:rsidRPr="00C472D5">
        <w:rPr>
          <w:rFonts w:ascii="Arial" w:hAnsi="Arial" w:cs="Arial"/>
        </w:rPr>
        <w:t>Recipients and sub-awardees must use SAMHSA’s grant funds primarily to support direct services. This includes the following activities:</w:t>
      </w:r>
    </w:p>
    <w:p w14:paraId="726F71A5" w14:textId="77777777" w:rsidR="0013240C" w:rsidRPr="00C472D5" w:rsidRDefault="0013240C" w:rsidP="0013240C">
      <w:pPr>
        <w:pStyle w:val="ListParagraph"/>
        <w:numPr>
          <w:ilvl w:val="0"/>
          <w:numId w:val="53"/>
        </w:numPr>
        <w:spacing w:after="171"/>
        <w:jc w:val="both"/>
        <w:rPr>
          <w:rFonts w:ascii="Arial" w:hAnsi="Arial" w:cs="Arial"/>
          <w:lang w:val="en"/>
        </w:rPr>
      </w:pPr>
      <w:r w:rsidRPr="00C472D5">
        <w:rPr>
          <w:rFonts w:ascii="Arial" w:hAnsi="Arial" w:cs="Arial"/>
        </w:rPr>
        <w:lastRenderedPageBreak/>
        <w:t xml:space="preserve">Develop a needs assessment using statewide epidemiological data. If a needs assessment effort is already in place, work with the local, state, or tribal epidemiological outcomes workgroup to enhance and supplement the current process and update its findings. The needs assessment must identify/include: </w:t>
      </w:r>
    </w:p>
    <w:p w14:paraId="3867BC34"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The scope of OUD and substance use disorders and overdose mortality in recent years. </w:t>
      </w:r>
    </w:p>
    <w:p w14:paraId="7EABFB11"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The strengths, unmet service needs, and critical gaps in your service system across diverse racial, ethnic, geographic, and other demographic, groups. </w:t>
      </w:r>
    </w:p>
    <w:p w14:paraId="26CBB5C3"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Areas where opioid and stimulant misuse, substance use disorder, use of emergency medical resources for substance use such as hospitalization, and overdose are the most prevalent. </w:t>
      </w:r>
    </w:p>
    <w:p w14:paraId="7008B39B"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The number and location of opioid treatment providers in the state, including Opioid Treatment Programs (OTPs) as well as DATA</w:t>
      </w:r>
      <w:r>
        <w:rPr>
          <w:rFonts w:ascii="Arial" w:hAnsi="Arial" w:cs="Arial"/>
        </w:rPr>
        <w:t xml:space="preserve"> </w:t>
      </w:r>
      <w:r w:rsidRPr="00C472D5">
        <w:rPr>
          <w:rFonts w:ascii="Arial" w:hAnsi="Arial" w:cs="Arial"/>
        </w:rPr>
        <w:t>waivered office-based opioid treatment providers.</w:t>
      </w:r>
    </w:p>
    <w:p w14:paraId="18DF433D" w14:textId="77777777" w:rsidR="0013240C" w:rsidRPr="00C472D5" w:rsidRDefault="0013240C" w:rsidP="0013240C">
      <w:pPr>
        <w:pStyle w:val="ListParagraph"/>
        <w:numPr>
          <w:ilvl w:val="1"/>
          <w:numId w:val="53"/>
        </w:numPr>
        <w:spacing w:after="171"/>
        <w:jc w:val="both"/>
        <w:rPr>
          <w:rFonts w:ascii="Arial" w:hAnsi="Arial" w:cs="Arial"/>
        </w:rPr>
      </w:pPr>
      <w:r w:rsidRPr="00C472D5">
        <w:rPr>
          <w:rFonts w:ascii="Arial" w:hAnsi="Arial" w:cs="Arial"/>
        </w:rPr>
        <w:t xml:space="preserve">All existing activities and their funding sources in the state that address opioid and stimulant use prevention, OORM (e.g., fentanyl test and xylazine strip purchase and distribution), treatment, and recovery activities and remaining gaps in these activities. </w:t>
      </w:r>
    </w:p>
    <w:p w14:paraId="48232D70"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A naloxone distribution and saturation plan particularly focused on areas with high rates of overdose mortality. (Naloxone is an important tool in preventing overdose deaths and many studies have demonstrated the value of naloxone distribution and that increased saturation in communities reduces overdose deaths. This plan must include: </w:t>
      </w:r>
    </w:p>
    <w:p w14:paraId="0892F6F6" w14:textId="77777777" w:rsidR="0013240C" w:rsidRPr="00C472D5" w:rsidRDefault="0013240C" w:rsidP="0013240C">
      <w:pPr>
        <w:pStyle w:val="ListParagraph"/>
        <w:numPr>
          <w:ilvl w:val="2"/>
          <w:numId w:val="53"/>
        </w:numPr>
        <w:spacing w:after="171"/>
        <w:jc w:val="both"/>
        <w:rPr>
          <w:rFonts w:ascii="Arial" w:hAnsi="Arial" w:cs="Arial"/>
          <w:lang w:val="en"/>
        </w:rPr>
      </w:pPr>
      <w:r w:rsidRPr="00C472D5">
        <w:rPr>
          <w:rFonts w:ascii="Arial" w:hAnsi="Arial" w:cs="Arial"/>
        </w:rPr>
        <w:t>The amount of annual naloxone needed to reach saturation in your state’s communities and the estimated gap in the current supply;</w:t>
      </w:r>
    </w:p>
    <w:p w14:paraId="0918E39B" w14:textId="77777777" w:rsidR="0013240C" w:rsidRPr="00C472D5" w:rsidRDefault="0013240C" w:rsidP="0013240C">
      <w:pPr>
        <w:pStyle w:val="ListParagraph"/>
        <w:numPr>
          <w:ilvl w:val="2"/>
          <w:numId w:val="53"/>
        </w:numPr>
        <w:spacing w:after="171"/>
        <w:jc w:val="both"/>
        <w:rPr>
          <w:rFonts w:ascii="Arial" w:hAnsi="Arial" w:cs="Arial"/>
          <w:lang w:val="en"/>
        </w:rPr>
      </w:pPr>
      <w:r w:rsidRPr="00C472D5">
        <w:rPr>
          <w:rFonts w:ascii="Arial" w:hAnsi="Arial" w:cs="Arial"/>
        </w:rPr>
        <w:t xml:space="preserve">Targeted distribution and communication strategy to get the appropriate type of naloxone into the hands of those most likely to witness an overdose and in the locations where they are most likely to occur; </w:t>
      </w:r>
    </w:p>
    <w:p w14:paraId="1AE0798B" w14:textId="77777777" w:rsidR="0013240C" w:rsidRPr="00C472D5" w:rsidRDefault="0013240C" w:rsidP="0013240C">
      <w:pPr>
        <w:pStyle w:val="ListParagraph"/>
        <w:numPr>
          <w:ilvl w:val="2"/>
          <w:numId w:val="53"/>
        </w:numPr>
        <w:spacing w:after="171"/>
        <w:jc w:val="both"/>
        <w:rPr>
          <w:rFonts w:ascii="Arial" w:hAnsi="Arial" w:cs="Arial"/>
          <w:lang w:val="en"/>
        </w:rPr>
      </w:pPr>
      <w:r w:rsidRPr="00C472D5">
        <w:rPr>
          <w:rFonts w:ascii="Arial" w:hAnsi="Arial" w:cs="Arial"/>
        </w:rPr>
        <w:t>Partnerships with existing public and private efforts external to SOR such as through Medicaid, “buyers’ clubs”, and recent court settlements;</w:t>
      </w:r>
    </w:p>
    <w:p w14:paraId="30A380DF" w14:textId="77777777" w:rsidR="0013240C" w:rsidRPr="00C472D5" w:rsidRDefault="0013240C" w:rsidP="0013240C">
      <w:pPr>
        <w:pStyle w:val="ListParagraph"/>
        <w:numPr>
          <w:ilvl w:val="2"/>
          <w:numId w:val="53"/>
        </w:numPr>
        <w:spacing w:after="171"/>
        <w:jc w:val="both"/>
        <w:rPr>
          <w:rFonts w:ascii="Arial" w:hAnsi="Arial" w:cs="Arial"/>
          <w:lang w:val="en"/>
        </w:rPr>
      </w:pPr>
      <w:r w:rsidRPr="00C472D5">
        <w:rPr>
          <w:rFonts w:ascii="Arial" w:hAnsi="Arial" w:cs="Arial"/>
        </w:rPr>
        <w:t>Budget that includes the cost of the naloxone and other operational requirements; and</w:t>
      </w:r>
    </w:p>
    <w:p w14:paraId="0B93A768" w14:textId="77777777" w:rsidR="0013240C" w:rsidRPr="00C472D5" w:rsidRDefault="0013240C" w:rsidP="0013240C">
      <w:pPr>
        <w:pStyle w:val="ListParagraph"/>
        <w:numPr>
          <w:ilvl w:val="2"/>
          <w:numId w:val="53"/>
        </w:numPr>
        <w:spacing w:after="171"/>
        <w:jc w:val="both"/>
        <w:rPr>
          <w:rFonts w:ascii="Arial" w:hAnsi="Arial" w:cs="Arial"/>
          <w:lang w:val="en"/>
        </w:rPr>
      </w:pPr>
      <w:r w:rsidRPr="00C472D5">
        <w:rPr>
          <w:rFonts w:ascii="Arial" w:hAnsi="Arial" w:cs="Arial"/>
        </w:rPr>
        <w:t xml:space="preserve">Detailed timeline to implement the plan including procurement requirements. </w:t>
      </w:r>
    </w:p>
    <w:p w14:paraId="3A8A03B1" w14:textId="77777777" w:rsidR="0013240C" w:rsidRPr="00C472D5" w:rsidRDefault="0013240C" w:rsidP="0013240C">
      <w:pPr>
        <w:pStyle w:val="ListParagraph"/>
        <w:numPr>
          <w:ilvl w:val="0"/>
          <w:numId w:val="53"/>
        </w:numPr>
        <w:spacing w:after="171"/>
        <w:jc w:val="both"/>
        <w:rPr>
          <w:rFonts w:ascii="Arial" w:hAnsi="Arial" w:cs="Arial"/>
          <w:lang w:val="en"/>
        </w:rPr>
      </w:pPr>
      <w:r w:rsidRPr="00C472D5">
        <w:rPr>
          <w:rFonts w:ascii="Arial" w:hAnsi="Arial" w:cs="Arial"/>
        </w:rPr>
        <w:t xml:space="preserve">Develop a comprehensive state strategic plan to address the gaps in SAMHSA approved prevention, OORM, treatment, and recovery services related to opioids and stimulants identified in the needs assessment. </w:t>
      </w:r>
    </w:p>
    <w:p w14:paraId="5BBC7F02" w14:textId="77777777" w:rsidR="0013240C" w:rsidRPr="00C472D5" w:rsidRDefault="0013240C" w:rsidP="0013240C">
      <w:pPr>
        <w:pStyle w:val="ListParagraph"/>
        <w:numPr>
          <w:ilvl w:val="0"/>
          <w:numId w:val="53"/>
        </w:numPr>
        <w:spacing w:after="171"/>
        <w:jc w:val="both"/>
        <w:rPr>
          <w:rFonts w:ascii="Arial" w:hAnsi="Arial" w:cs="Arial"/>
          <w:lang w:val="en"/>
        </w:rPr>
      </w:pPr>
      <w:r w:rsidRPr="00C472D5">
        <w:rPr>
          <w:rFonts w:ascii="Arial" w:hAnsi="Arial" w:cs="Arial"/>
        </w:rPr>
        <w:t>General Compliance Attestation: Awardee affirms that the SOS 4.0 Year 2 GFMS application, including the budget, budget narrative, and program narratives and activities, complies with all applicable federal and state funding requirements.</w:t>
      </w:r>
    </w:p>
    <w:p w14:paraId="6961442B"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Post award grantees were aligned with the required attestation statements </w:t>
      </w:r>
    </w:p>
    <w:p w14:paraId="53811AA9" w14:textId="77777777" w:rsidR="0013240C" w:rsidRPr="00C472D5" w:rsidRDefault="0013240C" w:rsidP="0013240C">
      <w:pPr>
        <w:pStyle w:val="ListParagraph"/>
        <w:numPr>
          <w:ilvl w:val="2"/>
          <w:numId w:val="53"/>
        </w:numPr>
        <w:spacing w:after="171"/>
        <w:jc w:val="both"/>
        <w:rPr>
          <w:rFonts w:ascii="Arial" w:hAnsi="Arial" w:cs="Arial"/>
          <w:lang w:val="en"/>
        </w:rPr>
      </w:pPr>
      <w:r w:rsidRPr="00C472D5">
        <w:rPr>
          <w:rFonts w:ascii="Arial" w:hAnsi="Arial" w:cs="Arial"/>
        </w:rPr>
        <w:t xml:space="preserve">DEI Funding Restriction Attestation: Awardee certifies that SAMHSA funds will not be used for Diversity, Equity, and Inclusion (DEI) activities and acknowledges that such use is prohibited under applicable federal requirements. Awardee understands that failure to comply may result in enforcement actions by the Department, up to and including termination of the award and recoupment of funds. </w:t>
      </w:r>
    </w:p>
    <w:p w14:paraId="1AE89499" w14:textId="77777777" w:rsidR="0013240C" w:rsidRPr="00C472D5" w:rsidRDefault="0013240C" w:rsidP="0013240C">
      <w:pPr>
        <w:pStyle w:val="ListParagraph"/>
        <w:numPr>
          <w:ilvl w:val="2"/>
          <w:numId w:val="53"/>
        </w:numPr>
        <w:spacing w:after="171"/>
        <w:jc w:val="both"/>
        <w:rPr>
          <w:rFonts w:ascii="Arial" w:hAnsi="Arial" w:cs="Arial"/>
          <w:lang w:val="en"/>
        </w:rPr>
      </w:pPr>
      <w:r w:rsidRPr="00C472D5">
        <w:rPr>
          <w:rFonts w:ascii="Arial" w:hAnsi="Arial" w:cs="Arial"/>
        </w:rPr>
        <w:t xml:space="preserve">Harm Reduction Certification Attestation: Awardee certifies that SAMHSA funds will not be used for harm reduction activities involving the purchase, distribution, </w:t>
      </w:r>
      <w:r w:rsidRPr="00C472D5">
        <w:rPr>
          <w:rFonts w:ascii="Arial" w:hAnsi="Arial" w:cs="Arial"/>
        </w:rPr>
        <w:lastRenderedPageBreak/>
        <w:t xml:space="preserve">or support of drug paraphernalia or supplies intended to facilitate illicit drug use, including but not limited to syringes, needles, pipes, or related supplies, as defined by applicable law. Awardee acknowledges that failure to comply may result in enforcement actions by the Department, up to and including termination of the award and recoupment of funds. </w:t>
      </w:r>
    </w:p>
    <w:p w14:paraId="679964D5" w14:textId="77777777" w:rsidR="0013240C" w:rsidRPr="00C472D5" w:rsidRDefault="0013240C" w:rsidP="0013240C">
      <w:pPr>
        <w:pStyle w:val="ListParagraph"/>
        <w:numPr>
          <w:ilvl w:val="0"/>
          <w:numId w:val="53"/>
        </w:numPr>
        <w:spacing w:after="171"/>
        <w:jc w:val="both"/>
        <w:rPr>
          <w:rFonts w:ascii="Arial" w:hAnsi="Arial" w:cs="Arial"/>
          <w:lang w:val="en"/>
        </w:rPr>
      </w:pPr>
      <w:r w:rsidRPr="00C472D5">
        <w:rPr>
          <w:rFonts w:ascii="Arial" w:hAnsi="Arial" w:cs="Arial"/>
        </w:rPr>
        <w:t>Implement service delivery models that enable the full spectrum of treatment and recovery support services that facilitate positive treatment outcomes and long-term recovery from opioid and stimulant use disorders. Models for evidence-based treatment include, but are not limited to:</w:t>
      </w:r>
    </w:p>
    <w:p w14:paraId="02BE2283"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Hub and spoke/center of excellence models in which patients with OUD and stimulant use disorder are stabilized in a specialized treatment setting focused on the care and treatment of OUD and stimulants, and associated conditions such as mental illness, physical illness, including infectious diseases, and other substance use disorders, and then transferred to community-based providers once stabilization has occurred. </w:t>
      </w:r>
    </w:p>
    <w:p w14:paraId="533EBAFA"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Treatment in federally and state-regulated OTPs. </w:t>
      </w:r>
    </w:p>
    <w:p w14:paraId="2897FC4A"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Addiction specialty care programs that either directly provide or support use of MOUD in addition to psychosocial services such as drug counseling, psychoeducation, toxicology testing, individual, group, and/or family therapy, vocational/educational resources, case management, and recovery support services, including community-based services that provide peer supports, address housing needs and issues of families (e.g., reunification of children who may be in foster care while a parent(s) receive treatment); this may include outpatient, intensive outpatient or partial hospital levels of care.</w:t>
      </w:r>
    </w:p>
    <w:p w14:paraId="69B669D6"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Non-specialty settings such as emergency departments, urgent care centers, and in some cases, pharmacies that also support appropriate MOUD and recovery support services. </w:t>
      </w:r>
    </w:p>
    <w:p w14:paraId="16073779"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Inpatient/residential programs that provide intensive treatment services to those meeting medical necessity criteria and which offer MOUD provided the care continuum includes a connection to MOUD in the community once individuals are discharged from the inpatient/residential program. </w:t>
      </w:r>
    </w:p>
    <w:p w14:paraId="2DE7D2AF"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Primary care or other clinical practice settings where MOUD is provided and linkages to psychosocial services and recovery support services centered on patient needs related to the provision of comprehensive treatment of OUD. </w:t>
      </w:r>
    </w:p>
    <w:p w14:paraId="318A401E"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Programs that address the multi-faceted and complex needs of individuals with stimulant use disorder (e.g., polydrug use, psychosis, violence, cooccurring stimulant use and mental disorders, etc.).</w:t>
      </w:r>
    </w:p>
    <w:p w14:paraId="1FCA8FC0"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Low threshold MOUD treatment programs that offer services and make minimal requirements of patients, thus removing or reducing barriers to treatment and expanding access to care. </w:t>
      </w:r>
    </w:p>
    <w:p w14:paraId="38F96BDA"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Innovative telehealth strategies in rural and underserved areas to increase the capacity of communities to support OUD/stimulant use disorder, prevention, treatment, and recovery.</w:t>
      </w:r>
    </w:p>
    <w:p w14:paraId="53AB5F63" w14:textId="77777777" w:rsidR="0013240C" w:rsidRPr="00C472D5" w:rsidRDefault="0013240C" w:rsidP="0013240C">
      <w:pPr>
        <w:pStyle w:val="ListParagraph"/>
        <w:numPr>
          <w:ilvl w:val="0"/>
          <w:numId w:val="53"/>
        </w:numPr>
        <w:spacing w:after="171"/>
        <w:jc w:val="both"/>
        <w:rPr>
          <w:rFonts w:ascii="Arial" w:hAnsi="Arial" w:cs="Arial"/>
          <w:lang w:val="en"/>
        </w:rPr>
      </w:pPr>
      <w:r w:rsidRPr="00C472D5">
        <w:rPr>
          <w:rFonts w:ascii="Arial" w:hAnsi="Arial" w:cs="Arial"/>
        </w:rPr>
        <w:t xml:space="preserve">Implement recovery support services, including but not limited to: </w:t>
      </w:r>
    </w:p>
    <w:p w14:paraId="707746F5"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Peer support, </w:t>
      </w:r>
    </w:p>
    <w:p w14:paraId="2AEA17B9"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Recovery coaches,</w:t>
      </w:r>
    </w:p>
    <w:p w14:paraId="719CCB47"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Vocational training, </w:t>
      </w:r>
    </w:p>
    <w:p w14:paraId="272F500A"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Employment support, </w:t>
      </w:r>
    </w:p>
    <w:p w14:paraId="5D1E632D"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Transportation, </w:t>
      </w:r>
    </w:p>
    <w:p w14:paraId="71CFA37D"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lastRenderedPageBreak/>
        <w:t xml:space="preserve">Childcare, </w:t>
      </w:r>
    </w:p>
    <w:p w14:paraId="45BFF310"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Legal assistance, </w:t>
      </w:r>
    </w:p>
    <w:p w14:paraId="6FDC8201"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Recovery Community Organizations, </w:t>
      </w:r>
    </w:p>
    <w:p w14:paraId="79744E5B"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Housing support (i.e., application fees, deposits, rental assistance, utility deposits, and utility assistance), </w:t>
      </w:r>
    </w:p>
    <w:p w14:paraId="7DEEEBC5"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 xml:space="preserve">Dental kits to promote oral health for individuals with OUD enrolled in treatment with buprenorphine (i.e., dental kits are limited to items such as toothpaste, toothbrush, dental floss, non-alcohol containing mouthwash, and educational information related to accessing dental care), and </w:t>
      </w:r>
    </w:p>
    <w:p w14:paraId="51D7E85D" w14:textId="77777777" w:rsidR="0013240C" w:rsidRPr="00C472D5" w:rsidRDefault="0013240C" w:rsidP="0013240C">
      <w:pPr>
        <w:pStyle w:val="ListParagraph"/>
        <w:numPr>
          <w:ilvl w:val="1"/>
          <w:numId w:val="53"/>
        </w:numPr>
        <w:spacing w:after="171"/>
        <w:jc w:val="both"/>
        <w:rPr>
          <w:rFonts w:ascii="Arial" w:hAnsi="Arial" w:cs="Arial"/>
          <w:lang w:val="en"/>
        </w:rPr>
      </w:pPr>
      <w:r w:rsidRPr="00C472D5">
        <w:rPr>
          <w:rFonts w:ascii="Arial" w:hAnsi="Arial" w:cs="Arial"/>
        </w:rPr>
        <w:t>Recovery Housing.</w:t>
      </w:r>
    </w:p>
    <w:p w14:paraId="62FA251B" w14:textId="77777777" w:rsidR="0013240C" w:rsidRPr="00C472D5" w:rsidRDefault="0013240C" w:rsidP="0013240C">
      <w:pPr>
        <w:spacing w:after="171"/>
        <w:ind w:left="1440"/>
        <w:jc w:val="both"/>
        <w:rPr>
          <w:rFonts w:ascii="Arial" w:hAnsi="Arial" w:cs="Arial"/>
        </w:rPr>
      </w:pPr>
      <w:r w:rsidRPr="00C472D5">
        <w:rPr>
          <w:rFonts w:ascii="Arial" w:hAnsi="Arial" w:cs="Arial"/>
          <w:b/>
          <w:bCs/>
        </w:rPr>
        <w:t>Note:</w:t>
      </w:r>
      <w:r w:rsidRPr="00C472D5">
        <w:rPr>
          <w:rFonts w:ascii="Arial" w:hAnsi="Arial" w:cs="Arial"/>
        </w:rPr>
        <w:t xml:space="preserve"> Recovery Housing is one component of the substance use disorders treatment and recovery continuum of care. While recovery residences vary widely in structure, all are centered on peer support and a connection to services that promote long-term recovery. Individuals in recovery should have a meaningful role in developing the service array used in their recovery plan. Recovery houses are safe, healthy, family-like substance-free living environments that support individuals in recovery from addiction. Substance-free does not prohibit prescribed medications taken as directed by a licensed practitioner, such as pharmacotherapies specifically approved by the Food and Drug Administration (FDA) for treatment of opioid use disorder as well as other medications with FDA-approved indications for the treatment of co-occurring health conditions. Recipients must describe the mechanism(s) in place in their jurisdiction to assure that a recovery housing facility to receive these funds supports and provides clients access to evidence-based treatment, including all forms of MOUD, in a safe and appropriate setting. Recipients must also describe how recovery housing supported under this grant is in an appropriate and legitimate facility (e.g., state or other credentialing or certification or an established or recognized model). </w:t>
      </w:r>
    </w:p>
    <w:p w14:paraId="316E572C" w14:textId="77777777" w:rsidR="0013240C" w:rsidRPr="00C472D5" w:rsidRDefault="0013240C" w:rsidP="0013240C">
      <w:pPr>
        <w:pStyle w:val="ListParagraph"/>
        <w:numPr>
          <w:ilvl w:val="0"/>
          <w:numId w:val="54"/>
        </w:numPr>
        <w:spacing w:after="171"/>
        <w:jc w:val="both"/>
        <w:rPr>
          <w:rFonts w:ascii="Arial" w:hAnsi="Arial" w:cs="Arial"/>
          <w:lang w:val="en"/>
        </w:rPr>
      </w:pPr>
      <w:r w:rsidRPr="00C472D5">
        <w:rPr>
          <w:rFonts w:ascii="Arial" w:hAnsi="Arial" w:cs="Arial"/>
        </w:rPr>
        <w:t>Implement SAMHSA approved prevention and education services including:</w:t>
      </w:r>
    </w:p>
    <w:p w14:paraId="71130F12" w14:textId="77777777" w:rsidR="0013240C" w:rsidRPr="00C472D5" w:rsidRDefault="0013240C" w:rsidP="0013240C">
      <w:pPr>
        <w:pStyle w:val="ListParagraph"/>
        <w:numPr>
          <w:ilvl w:val="1"/>
          <w:numId w:val="54"/>
        </w:numPr>
        <w:spacing w:after="171"/>
        <w:jc w:val="both"/>
        <w:rPr>
          <w:rFonts w:ascii="Arial" w:hAnsi="Arial" w:cs="Arial"/>
          <w:lang w:val="en"/>
        </w:rPr>
      </w:pPr>
      <w:r w:rsidRPr="00C472D5">
        <w:rPr>
          <w:rFonts w:ascii="Arial" w:hAnsi="Arial" w:cs="Arial"/>
        </w:rPr>
        <w:t xml:space="preserve">Training of peers, first responders, and other key community sectors on recognition of opioid overdose and appropriate use of the opioid overdose antidote naloxone; </w:t>
      </w:r>
    </w:p>
    <w:p w14:paraId="03360873" w14:textId="77777777" w:rsidR="0013240C" w:rsidRPr="00C472D5" w:rsidRDefault="0013240C" w:rsidP="0013240C">
      <w:pPr>
        <w:pStyle w:val="ListParagraph"/>
        <w:numPr>
          <w:ilvl w:val="1"/>
          <w:numId w:val="54"/>
        </w:numPr>
        <w:spacing w:after="171"/>
        <w:jc w:val="both"/>
        <w:rPr>
          <w:rFonts w:ascii="Arial" w:hAnsi="Arial" w:cs="Arial"/>
          <w:lang w:val="en"/>
        </w:rPr>
      </w:pPr>
      <w:r w:rsidRPr="00C472D5">
        <w:rPr>
          <w:rFonts w:ascii="Arial" w:hAnsi="Arial" w:cs="Arial"/>
        </w:rPr>
        <w:t xml:space="preserve">Developing evidence-based community prevention efforts such as strategic messaging on the consequences of opioid and stimulant misuse; </w:t>
      </w:r>
    </w:p>
    <w:p w14:paraId="4AEECE43" w14:textId="77777777" w:rsidR="0013240C" w:rsidRPr="00C472D5" w:rsidRDefault="0013240C" w:rsidP="0013240C">
      <w:pPr>
        <w:pStyle w:val="ListParagraph"/>
        <w:numPr>
          <w:ilvl w:val="1"/>
          <w:numId w:val="54"/>
        </w:numPr>
        <w:spacing w:after="171"/>
        <w:jc w:val="both"/>
        <w:rPr>
          <w:rFonts w:ascii="Arial" w:hAnsi="Arial" w:cs="Arial"/>
          <w:lang w:val="en"/>
        </w:rPr>
      </w:pPr>
      <w:r w:rsidRPr="00C472D5">
        <w:rPr>
          <w:rFonts w:ascii="Arial" w:hAnsi="Arial" w:cs="Arial"/>
        </w:rPr>
        <w:t>Implementing school-based prevention programs and outreach; and</w:t>
      </w:r>
    </w:p>
    <w:p w14:paraId="466BB9CE" w14:textId="77777777" w:rsidR="0013240C" w:rsidRPr="00C472D5" w:rsidRDefault="0013240C" w:rsidP="0013240C">
      <w:pPr>
        <w:pStyle w:val="ListParagraph"/>
        <w:numPr>
          <w:ilvl w:val="1"/>
          <w:numId w:val="54"/>
        </w:numPr>
        <w:spacing w:after="171"/>
        <w:jc w:val="both"/>
        <w:rPr>
          <w:rFonts w:ascii="Arial" w:hAnsi="Arial" w:cs="Arial"/>
          <w:lang w:val="en"/>
        </w:rPr>
      </w:pPr>
      <w:r w:rsidRPr="00C472D5">
        <w:rPr>
          <w:rFonts w:ascii="Arial" w:hAnsi="Arial" w:cs="Arial"/>
        </w:rPr>
        <w:t>Purchasing and distributing opioid overdose antidote reversal naloxone, based on the naloxone distribution and saturation plan, and train on its use.</w:t>
      </w:r>
    </w:p>
    <w:p w14:paraId="2DC40009" w14:textId="77777777" w:rsidR="0013240C" w:rsidRPr="00C472D5" w:rsidRDefault="0013240C" w:rsidP="0013240C">
      <w:pPr>
        <w:pStyle w:val="ListParagraph"/>
        <w:numPr>
          <w:ilvl w:val="0"/>
          <w:numId w:val="54"/>
        </w:numPr>
        <w:spacing w:after="171"/>
        <w:jc w:val="both"/>
        <w:rPr>
          <w:rFonts w:ascii="Arial" w:hAnsi="Arial" w:cs="Arial"/>
          <w:lang w:val="en"/>
        </w:rPr>
      </w:pPr>
      <w:r w:rsidRPr="00C472D5">
        <w:rPr>
          <w:rFonts w:ascii="Arial" w:hAnsi="Arial" w:cs="Arial"/>
        </w:rPr>
        <w:t>Provide OORM services, either through support of integrated OORM services singly within treatment settings, treatment providers collaborating with community-based harm reduction organizations, or through the support of syringe service programs. OORM services funded under this grant must adhere to federal, state, and local laws, regulations, and other requirements related to such programs or services.</w:t>
      </w:r>
    </w:p>
    <w:p w14:paraId="534217D5" w14:textId="77777777" w:rsidR="0013240C" w:rsidRPr="00C472D5" w:rsidRDefault="0013240C" w:rsidP="0013240C">
      <w:pPr>
        <w:pStyle w:val="ListParagraph"/>
        <w:numPr>
          <w:ilvl w:val="0"/>
          <w:numId w:val="54"/>
        </w:numPr>
        <w:spacing w:after="171"/>
        <w:jc w:val="both"/>
        <w:rPr>
          <w:rFonts w:ascii="Arial" w:hAnsi="Arial" w:cs="Arial"/>
          <w:lang w:val="en"/>
        </w:rPr>
      </w:pPr>
      <w:r w:rsidRPr="00C472D5">
        <w:rPr>
          <w:rFonts w:ascii="Arial" w:hAnsi="Arial" w:cs="Arial"/>
        </w:rPr>
        <w:t xml:space="preserve">Ensure that all practitioners who serve clients with substance use disorders and are eligible to obtain a DATA waiver, employed by an organization receiving funding through SOR, receive such a waiver. The educational requirements for this waiver necessary to treat more than 30 patients at one time may be completed at no cost to the grant via pcssnow.org.  </w:t>
      </w:r>
    </w:p>
    <w:p w14:paraId="299939EC" w14:textId="77777777" w:rsidR="0013240C" w:rsidRPr="00C472D5" w:rsidRDefault="0013240C" w:rsidP="0013240C">
      <w:pPr>
        <w:pStyle w:val="ListParagraph"/>
        <w:numPr>
          <w:ilvl w:val="0"/>
          <w:numId w:val="54"/>
        </w:numPr>
        <w:spacing w:after="171"/>
        <w:jc w:val="both"/>
        <w:rPr>
          <w:rFonts w:ascii="Arial" w:hAnsi="Arial" w:cs="Arial"/>
          <w:lang w:val="en"/>
        </w:rPr>
      </w:pPr>
      <w:r w:rsidRPr="00C472D5">
        <w:rPr>
          <w:rFonts w:ascii="Arial" w:hAnsi="Arial" w:cs="Arial"/>
        </w:rPr>
        <w:t xml:space="preserve">Provide treatment transition and coverage for individuals reentering communities from criminal justice settings or other rehabilitative settings. </w:t>
      </w:r>
    </w:p>
    <w:p w14:paraId="764FC9A7" w14:textId="77777777" w:rsidR="0013240C" w:rsidRPr="00C472D5" w:rsidRDefault="0013240C" w:rsidP="0013240C">
      <w:pPr>
        <w:pStyle w:val="ListParagraph"/>
        <w:numPr>
          <w:ilvl w:val="0"/>
          <w:numId w:val="54"/>
        </w:numPr>
        <w:spacing w:after="171"/>
        <w:jc w:val="both"/>
        <w:rPr>
          <w:rFonts w:ascii="Arial" w:hAnsi="Arial" w:cs="Arial"/>
          <w:lang w:val="en"/>
        </w:rPr>
      </w:pPr>
      <w:r w:rsidRPr="00C472D5">
        <w:rPr>
          <w:rFonts w:ascii="Arial" w:hAnsi="Arial" w:cs="Arial"/>
        </w:rPr>
        <w:lastRenderedPageBreak/>
        <w:t>Make use of the SAMHSA-funded SOR/Tribal Opioid Response Technical Assistance/Training (TA/T) resources to assist in providing training and technical assistance on evidence-based practices to healthcare providers and others in your state who will render services to individuals with OUD and/or stimulant use disorders.</w:t>
      </w:r>
    </w:p>
    <w:p w14:paraId="6DF81156" w14:textId="77777777" w:rsidR="0013240C" w:rsidRPr="00C472D5" w:rsidRDefault="0013240C" w:rsidP="0013240C">
      <w:pPr>
        <w:pStyle w:val="ListParagraph"/>
        <w:numPr>
          <w:ilvl w:val="0"/>
          <w:numId w:val="55"/>
        </w:numPr>
        <w:spacing w:after="171"/>
        <w:jc w:val="both"/>
        <w:rPr>
          <w:rFonts w:ascii="Arial" w:hAnsi="Arial" w:cs="Arial"/>
          <w:lang w:val="en"/>
        </w:rPr>
      </w:pPr>
      <w:r w:rsidRPr="00C472D5">
        <w:rPr>
          <w:rFonts w:ascii="Arial" w:hAnsi="Arial" w:cs="Arial"/>
        </w:rPr>
        <w:t>Provide HIV and viral hepatitis testing as clinically indicated and referral to appropriate treatment provided to those who have a preliminary positive or reactive test. Vaccination for hepatitis A and B should be provided or referral made for same as clinically indicated.</w:t>
      </w:r>
    </w:p>
    <w:p w14:paraId="60BE123E" w14:textId="77777777" w:rsidR="0013240C" w:rsidRPr="00C472D5" w:rsidRDefault="0013240C" w:rsidP="0013240C">
      <w:pPr>
        <w:spacing w:after="171"/>
        <w:jc w:val="both"/>
        <w:rPr>
          <w:rFonts w:ascii="Arial" w:hAnsi="Arial" w:cs="Arial"/>
          <w:b/>
          <w:bCs/>
          <w:lang w:val="en"/>
        </w:rPr>
      </w:pPr>
      <w:r w:rsidRPr="00C472D5">
        <w:rPr>
          <w:rFonts w:ascii="Arial" w:hAnsi="Arial" w:cs="Arial"/>
          <w:b/>
          <w:bCs/>
          <w:lang w:val="en"/>
        </w:rPr>
        <w:t>Allowable Activities:</w:t>
      </w:r>
    </w:p>
    <w:p w14:paraId="76CEB40E" w14:textId="77777777" w:rsidR="0013240C" w:rsidRPr="00C472D5" w:rsidRDefault="0013240C" w:rsidP="0013240C">
      <w:pPr>
        <w:spacing w:after="171"/>
        <w:jc w:val="both"/>
        <w:rPr>
          <w:rFonts w:ascii="Arial" w:hAnsi="Arial" w:cs="Arial"/>
        </w:rPr>
      </w:pPr>
      <w:r w:rsidRPr="00C472D5">
        <w:rPr>
          <w:rFonts w:ascii="Arial" w:hAnsi="Arial" w:cs="Arial"/>
        </w:rPr>
        <w:t>Allowable activities are an allowable use of grant funds but are not required. Recipients may use grant funds to provide any allowable activity if it does not interfere or prevent the grant recipient from performing all required activities and serve the total number of unduplicated individuals each year of the grant. Allowable activities may include:</w:t>
      </w:r>
    </w:p>
    <w:p w14:paraId="72DE6DA0" w14:textId="77777777" w:rsidR="0013240C" w:rsidRPr="00C472D5" w:rsidRDefault="0013240C" w:rsidP="0013240C">
      <w:pPr>
        <w:pStyle w:val="ListParagraph"/>
        <w:numPr>
          <w:ilvl w:val="0"/>
          <w:numId w:val="55"/>
        </w:numPr>
        <w:spacing w:after="171"/>
        <w:jc w:val="both"/>
        <w:rPr>
          <w:rFonts w:ascii="Arial" w:hAnsi="Arial" w:cs="Arial"/>
          <w:lang w:val="en"/>
        </w:rPr>
      </w:pPr>
      <w:r w:rsidRPr="00C472D5">
        <w:rPr>
          <w:rFonts w:ascii="Arial" w:hAnsi="Arial" w:cs="Arial"/>
        </w:rPr>
        <w:t>Develop and implement evidence-based prevention, treatment, and recovery support services to address stimulant misuse and use disorders, including for cocaine and methamphetamine. Clinical treatment may include outpatient, intensive outpatient, day treatment, partial hospitalization, or inpatient/residential levels of care.</w:t>
      </w:r>
    </w:p>
    <w:p w14:paraId="5A208CBB" w14:textId="77777777" w:rsidR="0013240C" w:rsidRPr="00C472D5" w:rsidRDefault="0013240C" w:rsidP="0013240C">
      <w:pPr>
        <w:pStyle w:val="ListParagraph"/>
        <w:numPr>
          <w:ilvl w:val="0"/>
          <w:numId w:val="55"/>
        </w:numPr>
        <w:spacing w:after="171"/>
        <w:jc w:val="both"/>
        <w:rPr>
          <w:rFonts w:ascii="Arial" w:hAnsi="Arial" w:cs="Arial"/>
          <w:lang w:val="en"/>
        </w:rPr>
      </w:pPr>
      <w:r w:rsidRPr="00C472D5">
        <w:rPr>
          <w:rFonts w:ascii="Arial" w:hAnsi="Arial" w:cs="Arial"/>
        </w:rPr>
        <w:t>Purchase and/or implement mobile and/or non-mobile medication units that provide appropriate privacy and adequate space to administer and dispense medications for OUD treatment in accordance with federal regulations. The following services may be provided in mobile medication units, assuming compliance with all applicable federal, state, and local law:</w:t>
      </w:r>
    </w:p>
    <w:p w14:paraId="2DC3DAA5" w14:textId="77777777" w:rsidR="0013240C" w:rsidRPr="00C472D5" w:rsidRDefault="0013240C" w:rsidP="0013240C">
      <w:pPr>
        <w:pStyle w:val="ListParagraph"/>
        <w:numPr>
          <w:ilvl w:val="1"/>
          <w:numId w:val="55"/>
        </w:numPr>
        <w:spacing w:after="171"/>
        <w:jc w:val="both"/>
        <w:rPr>
          <w:rFonts w:ascii="Arial" w:hAnsi="Arial" w:cs="Arial"/>
          <w:lang w:val="en"/>
        </w:rPr>
      </w:pPr>
      <w:r w:rsidRPr="00C472D5">
        <w:rPr>
          <w:rFonts w:ascii="Arial" w:hAnsi="Arial" w:cs="Arial"/>
        </w:rPr>
        <w:t>Administering and dispensing medications for opioid use disorder treatment;</w:t>
      </w:r>
    </w:p>
    <w:p w14:paraId="4DA7B752" w14:textId="77777777" w:rsidR="0013240C" w:rsidRPr="00C472D5" w:rsidRDefault="0013240C" w:rsidP="0013240C">
      <w:pPr>
        <w:pStyle w:val="ListParagraph"/>
        <w:numPr>
          <w:ilvl w:val="1"/>
          <w:numId w:val="55"/>
        </w:numPr>
        <w:spacing w:after="171"/>
        <w:jc w:val="both"/>
        <w:rPr>
          <w:rFonts w:ascii="Arial" w:hAnsi="Arial" w:cs="Arial"/>
          <w:lang w:val="en"/>
        </w:rPr>
      </w:pPr>
      <w:r w:rsidRPr="00C472D5">
        <w:rPr>
          <w:rFonts w:ascii="Arial" w:hAnsi="Arial" w:cs="Arial"/>
        </w:rPr>
        <w:t>Collecting samples for drug testing or analysis;</w:t>
      </w:r>
    </w:p>
    <w:p w14:paraId="3630944A" w14:textId="77777777" w:rsidR="0013240C" w:rsidRPr="00C472D5" w:rsidRDefault="0013240C" w:rsidP="0013240C">
      <w:pPr>
        <w:pStyle w:val="ListParagraph"/>
        <w:numPr>
          <w:ilvl w:val="1"/>
          <w:numId w:val="55"/>
        </w:numPr>
        <w:spacing w:after="171"/>
        <w:jc w:val="both"/>
        <w:rPr>
          <w:rFonts w:ascii="Arial" w:hAnsi="Arial" w:cs="Arial"/>
          <w:lang w:val="en"/>
        </w:rPr>
      </w:pPr>
      <w:r w:rsidRPr="00C472D5">
        <w:rPr>
          <w:rFonts w:ascii="Arial" w:hAnsi="Arial" w:cs="Arial"/>
        </w:rPr>
        <w:t>Dispensing of take-home medications;</w:t>
      </w:r>
    </w:p>
    <w:p w14:paraId="00B5AA03" w14:textId="77777777" w:rsidR="0013240C" w:rsidRPr="00C472D5" w:rsidRDefault="0013240C" w:rsidP="0013240C">
      <w:pPr>
        <w:pStyle w:val="ListParagraph"/>
        <w:numPr>
          <w:ilvl w:val="1"/>
          <w:numId w:val="55"/>
        </w:numPr>
        <w:spacing w:after="171"/>
        <w:jc w:val="both"/>
        <w:rPr>
          <w:rFonts w:ascii="Arial" w:hAnsi="Arial" w:cs="Arial"/>
          <w:lang w:val="en"/>
        </w:rPr>
      </w:pPr>
      <w:r w:rsidRPr="00C472D5">
        <w:rPr>
          <w:rFonts w:ascii="Arial" w:hAnsi="Arial" w:cs="Arial"/>
        </w:rPr>
        <w:t>Conducting intake/initial psychosocial and appropriate medical assessments, with a full physical examination to be completed or provided within 14-days of admission, in units that provide appropriate privacy and adequate space;</w:t>
      </w:r>
    </w:p>
    <w:p w14:paraId="5447E15F" w14:textId="77777777" w:rsidR="0013240C" w:rsidRPr="00C472D5" w:rsidRDefault="0013240C" w:rsidP="0013240C">
      <w:pPr>
        <w:pStyle w:val="ListParagraph"/>
        <w:numPr>
          <w:ilvl w:val="1"/>
          <w:numId w:val="55"/>
        </w:numPr>
        <w:spacing w:after="171"/>
        <w:jc w:val="both"/>
        <w:rPr>
          <w:rFonts w:ascii="Arial" w:hAnsi="Arial" w:cs="Arial"/>
          <w:lang w:val="en"/>
        </w:rPr>
      </w:pPr>
      <w:r w:rsidRPr="00C472D5">
        <w:rPr>
          <w:rFonts w:ascii="Arial" w:hAnsi="Arial" w:cs="Arial"/>
        </w:rPr>
        <w:t xml:space="preserve">Initiating methadone or buprenorphine after an appropriate medical assessment has been performed; and </w:t>
      </w:r>
    </w:p>
    <w:p w14:paraId="649DE0C3" w14:textId="77777777" w:rsidR="0013240C" w:rsidRPr="00C472D5" w:rsidRDefault="0013240C" w:rsidP="0013240C">
      <w:pPr>
        <w:pStyle w:val="ListParagraph"/>
        <w:numPr>
          <w:ilvl w:val="1"/>
          <w:numId w:val="55"/>
        </w:numPr>
        <w:spacing w:after="171"/>
        <w:jc w:val="both"/>
        <w:rPr>
          <w:rFonts w:ascii="Arial" w:hAnsi="Arial" w:cs="Arial"/>
          <w:lang w:val="en"/>
        </w:rPr>
      </w:pPr>
      <w:r w:rsidRPr="00C472D5">
        <w:rPr>
          <w:rFonts w:ascii="Arial" w:hAnsi="Arial" w:cs="Arial"/>
        </w:rPr>
        <w:t xml:space="preserve">Counseling and other services, in units that provide appropriate privacy and have adequate space, may be provided directly or when permissible through use of telehealth services. Non-mobile medication units may also offer the above services where space allows for quality patient care and are consistent with state and local laws and regulations. </w:t>
      </w:r>
    </w:p>
    <w:p w14:paraId="17C489AF" w14:textId="77777777" w:rsidR="0013240C" w:rsidRPr="00C472D5" w:rsidRDefault="0013240C" w:rsidP="0013240C">
      <w:pPr>
        <w:pStyle w:val="ListParagraph"/>
        <w:numPr>
          <w:ilvl w:val="0"/>
          <w:numId w:val="55"/>
        </w:numPr>
        <w:spacing w:after="171"/>
        <w:jc w:val="both"/>
        <w:rPr>
          <w:rFonts w:ascii="Arial" w:hAnsi="Arial" w:cs="Arial"/>
          <w:lang w:val="en"/>
        </w:rPr>
      </w:pPr>
      <w:r w:rsidRPr="00C472D5">
        <w:rPr>
          <w:rFonts w:ascii="Arial" w:hAnsi="Arial" w:cs="Arial"/>
        </w:rPr>
        <w:t xml:space="preserve">Purchase and distribution of fentanyl (FTS). and xylazine test strips </w:t>
      </w:r>
    </w:p>
    <w:p w14:paraId="69E2C72D" w14:textId="77777777" w:rsidR="0013240C" w:rsidRPr="00C472D5" w:rsidRDefault="0013240C" w:rsidP="0013240C">
      <w:pPr>
        <w:pStyle w:val="ListParagraph"/>
        <w:numPr>
          <w:ilvl w:val="0"/>
          <w:numId w:val="56"/>
        </w:numPr>
        <w:spacing w:after="171"/>
        <w:jc w:val="both"/>
        <w:rPr>
          <w:rFonts w:ascii="Arial" w:hAnsi="Arial" w:cs="Arial"/>
          <w:lang w:val="en"/>
        </w:rPr>
      </w:pPr>
      <w:r w:rsidRPr="00C472D5">
        <w:rPr>
          <w:rFonts w:ascii="Arial" w:hAnsi="Arial" w:cs="Arial"/>
        </w:rPr>
        <w:t xml:space="preserve">Develop and implement evidence-based contingency management programs to treat stimulant use disorder and concurrent substance misuse, and to improve retention in care. If you plan to implement contingency management programs, you must certify that you will comply with the conditions and training requirements, as well as provide a plan to ensure: (1) that sub-awardees receive appropriate education on contingency management prior to implementation; and (2) oversight of sub-awardee contingency management implementation and operation, as outlined in Appendix H of this NOFO. This Statement of Certification must be provided in Attachment 11 of your application. However, the plan must be submitted within 90 days of the grant award. </w:t>
      </w:r>
    </w:p>
    <w:p w14:paraId="3C0009ED" w14:textId="77777777" w:rsidR="0013240C" w:rsidRPr="00C472D5" w:rsidRDefault="0013240C" w:rsidP="0013240C">
      <w:pPr>
        <w:pStyle w:val="ListParagraph"/>
        <w:numPr>
          <w:ilvl w:val="0"/>
          <w:numId w:val="56"/>
        </w:numPr>
        <w:spacing w:after="171"/>
        <w:jc w:val="both"/>
        <w:rPr>
          <w:rFonts w:ascii="Arial" w:hAnsi="Arial" w:cs="Arial"/>
          <w:lang w:val="en"/>
        </w:rPr>
      </w:pPr>
      <w:r w:rsidRPr="00C472D5">
        <w:rPr>
          <w:rFonts w:ascii="Arial" w:hAnsi="Arial" w:cs="Arial"/>
        </w:rPr>
        <w:t xml:space="preserve">Provide training and activities to enhance and expand the substance use and cooccurring substance use and mental disorder treatment workforce. Note: Although workforce development is an allowable use of grant funds, SAMHSA expects that priority will be given to service provision </w:t>
      </w:r>
      <w:r w:rsidRPr="00C472D5">
        <w:rPr>
          <w:rFonts w:ascii="Arial" w:hAnsi="Arial" w:cs="Arial"/>
        </w:rPr>
        <w:lastRenderedPageBreak/>
        <w:t xml:space="preserve">and prevention activities. Recipients will be expected to utilize the training and education resources which SAMHSA provides at no cost to the grant. </w:t>
      </w:r>
    </w:p>
    <w:p w14:paraId="6889973F" w14:textId="77777777" w:rsidR="0013240C" w:rsidRPr="00C472D5" w:rsidRDefault="0013240C" w:rsidP="0013240C">
      <w:pPr>
        <w:pStyle w:val="ListParagraph"/>
        <w:numPr>
          <w:ilvl w:val="0"/>
          <w:numId w:val="56"/>
        </w:numPr>
        <w:spacing w:after="171"/>
        <w:jc w:val="both"/>
        <w:rPr>
          <w:rFonts w:ascii="Arial" w:hAnsi="Arial" w:cs="Arial"/>
          <w:lang w:val="en"/>
        </w:rPr>
      </w:pPr>
      <w:r w:rsidRPr="00C472D5">
        <w:rPr>
          <w:rFonts w:ascii="Arial" w:hAnsi="Arial" w:cs="Arial"/>
        </w:rPr>
        <w:t>Develop and implement tobacco/nicotine product (e.g., vaping) cessation programs, activities, and/or strategies.</w:t>
      </w:r>
    </w:p>
    <w:p w14:paraId="017C370A" w14:textId="77777777" w:rsidR="0013240C" w:rsidRPr="00C472D5" w:rsidRDefault="0013240C" w:rsidP="0013240C">
      <w:pPr>
        <w:spacing w:after="171"/>
        <w:jc w:val="both"/>
        <w:rPr>
          <w:rFonts w:ascii="Arial" w:hAnsi="Arial" w:cs="Arial"/>
          <w:b/>
          <w:bCs/>
        </w:rPr>
      </w:pPr>
      <w:r w:rsidRPr="00C472D5">
        <w:rPr>
          <w:rFonts w:ascii="Arial" w:hAnsi="Arial" w:cs="Arial"/>
          <w:b/>
          <w:bCs/>
        </w:rPr>
        <w:t xml:space="preserve">Using Evidence-Based Practices </w:t>
      </w:r>
    </w:p>
    <w:p w14:paraId="1558245F" w14:textId="77777777" w:rsidR="0013240C" w:rsidRPr="00C472D5" w:rsidRDefault="0013240C" w:rsidP="0013240C">
      <w:pPr>
        <w:spacing w:after="171"/>
        <w:jc w:val="both"/>
        <w:rPr>
          <w:rFonts w:ascii="Arial" w:hAnsi="Arial" w:cs="Arial"/>
        </w:rPr>
      </w:pPr>
      <w:r w:rsidRPr="00C472D5">
        <w:rPr>
          <w:rFonts w:ascii="Arial" w:hAnsi="Arial" w:cs="Arial"/>
        </w:rPr>
        <w:t xml:space="preserve">SAMHSA’s services grants are intended to fund services or practices that have demonstrated evidence base and that are appropriate for the population(s) of focus. An evidence-based practice (EBP) refers to approaches to prevention, treatment, or recovery that are validated by some form of documented research evidence. </w:t>
      </w:r>
    </w:p>
    <w:p w14:paraId="71780AA8" w14:textId="77777777" w:rsidR="0013240C" w:rsidRPr="00C472D5" w:rsidRDefault="0013240C" w:rsidP="0013240C">
      <w:pPr>
        <w:spacing w:after="171"/>
        <w:jc w:val="both"/>
        <w:rPr>
          <w:rFonts w:ascii="Arial" w:hAnsi="Arial" w:cs="Arial"/>
          <w:i/>
          <w:iCs/>
          <w:lang w:val="en"/>
        </w:rPr>
      </w:pPr>
      <w:r w:rsidRPr="00C472D5">
        <w:rPr>
          <w:rFonts w:ascii="Arial" w:hAnsi="Arial" w:cs="Arial"/>
          <w:i/>
          <w:iCs/>
          <w:lang w:val="en"/>
        </w:rPr>
        <w:t>Coordination with Other Federal Programs</w:t>
      </w:r>
    </w:p>
    <w:p w14:paraId="253DB293" w14:textId="77777777" w:rsidR="0013240C" w:rsidRPr="00C472D5" w:rsidRDefault="0013240C" w:rsidP="0013240C">
      <w:pPr>
        <w:spacing w:after="171"/>
        <w:jc w:val="both"/>
        <w:rPr>
          <w:rFonts w:ascii="Arial" w:hAnsi="Arial" w:cs="Arial"/>
        </w:rPr>
      </w:pPr>
      <w:r w:rsidRPr="00C472D5">
        <w:rPr>
          <w:rFonts w:ascii="Arial" w:hAnsi="Arial" w:cs="Arial"/>
        </w:rPr>
        <w:t>If your state or territory currently receives opioid-related funding from other Federal programs, you must coordinate activities to eliminate duplication of services and programs (e.g. SAMHSA MAT-PDOA, SPF-Rx, PDO, SABG, CDC’s Opioid Prevention in States, etc.).</w:t>
      </w:r>
    </w:p>
    <w:p w14:paraId="4AF8840C" w14:textId="77777777" w:rsidR="0013240C" w:rsidRPr="00C472D5" w:rsidRDefault="0013240C" w:rsidP="0013240C">
      <w:pPr>
        <w:spacing w:after="171"/>
        <w:jc w:val="both"/>
        <w:rPr>
          <w:rFonts w:ascii="Arial" w:hAnsi="Arial" w:cs="Arial"/>
          <w:i/>
          <w:iCs/>
          <w:lang w:val="en"/>
        </w:rPr>
      </w:pPr>
      <w:r w:rsidRPr="00C472D5">
        <w:rPr>
          <w:rFonts w:ascii="Arial" w:hAnsi="Arial" w:cs="Arial"/>
          <w:i/>
          <w:iCs/>
        </w:rPr>
        <w:t>Third Party Reimbursements for the Provision of Services/Health Insurance Enrollment</w:t>
      </w:r>
    </w:p>
    <w:p w14:paraId="3AEEA79C" w14:textId="77777777" w:rsidR="0013240C" w:rsidRPr="00C472D5" w:rsidRDefault="0013240C" w:rsidP="0013240C">
      <w:pPr>
        <w:spacing w:after="171"/>
        <w:jc w:val="both"/>
        <w:rPr>
          <w:rFonts w:ascii="Arial" w:hAnsi="Arial"/>
        </w:rPr>
      </w:pPr>
      <w:r w:rsidRPr="00C472D5">
        <w:rPr>
          <w:rFonts w:ascii="Arial" w:hAnsi="Arial" w:cs="Arial"/>
        </w:rPr>
        <w:t>Recipients must utilize third party and other revenue realized from the provision of services to the extent possible and use SAMHSA grant funds only for services to individuals who are not covered by public or commercial health insurance programs, individuals for whom coverage have been formally determined to be unaffordable, or for services that are not sufficiently covered by an individual’s health insurance plan.  Recipients are also expected to facilitate the health insurance ap</w:t>
      </w:r>
      <w:r w:rsidRPr="00C472D5">
        <w:rPr>
          <w:rFonts w:ascii="Arial" w:hAnsi="Arial"/>
        </w:rPr>
        <w:t xml:space="preserve">plication and enrollment process for eligible uninsured clients.  Recipients should also consider other systems from which a potential service recipient may be eligible for services (for example, the Veterans Health Administration or senior services), if appropriate for and desired by that individual to meet his/her needs.  In addition, recipients are required to implement policies and procedures that ensure other sources of funding are utilized first when available for that individual. </w:t>
      </w:r>
    </w:p>
    <w:p w14:paraId="0E32E38E" w14:textId="05FA664D" w:rsidR="00ED4441" w:rsidRPr="00AA5B05" w:rsidRDefault="0013240C" w:rsidP="00ED4441">
      <w:pPr>
        <w:spacing w:after="240"/>
        <w:jc w:val="both"/>
        <w:rPr>
          <w:rFonts w:ascii="Arial" w:hAnsi="Arial" w:cs="Arial"/>
          <w:b/>
        </w:rPr>
      </w:pPr>
      <w:r w:rsidRPr="00C472D5">
        <w:rPr>
          <w:rFonts w:ascii="Arial" w:hAnsi="Arial" w:cs="Arial"/>
          <w:bCs/>
          <w:i/>
        </w:rPr>
        <w:t xml:space="preserve">(Source: </w:t>
      </w:r>
      <w:r w:rsidRPr="00C80C79">
        <w:rPr>
          <w:rFonts w:ascii="Arial" w:hAnsi="Arial" w:cs="Arial"/>
          <w:bCs/>
          <w:i/>
        </w:rPr>
        <w:t xml:space="preserve">State Opioid Response Grants, </w:t>
      </w:r>
      <w:hyperlink r:id="rId38" w:history="1">
        <w:r w:rsidRPr="00674EBB">
          <w:rPr>
            <w:rStyle w:val="Hyperlink"/>
            <w:rFonts w:cs="Arial"/>
            <w:bCs/>
            <w:i/>
          </w:rPr>
          <w:t>Notice of Funding Opportunity (NOFO) No.TI-22-005</w:t>
        </w:r>
      </w:hyperlink>
      <w:r>
        <w:rPr>
          <w:rFonts w:ascii="Arial" w:hAnsi="Arial" w:cs="Arial"/>
          <w:bCs/>
          <w:i/>
        </w:rPr>
        <w:t xml:space="preserve"> and </w:t>
      </w:r>
      <w:r w:rsidRPr="0013240C">
        <w:rPr>
          <w:rFonts w:ascii="Arial" w:hAnsi="Arial" w:cs="Arial"/>
          <w:i/>
          <w:iCs/>
        </w:rPr>
        <w:t>Dex Stanger Chief Fiscal Officer, Ohio Department of Behavioral Health, February 23, 2026)</w:t>
      </w:r>
    </w:p>
    <w:p w14:paraId="57EFB075" w14:textId="7CC47AF5" w:rsidR="00E41AA1" w:rsidRPr="00A0464C" w:rsidRDefault="00072C5E" w:rsidP="00F00D94">
      <w:pPr>
        <w:pStyle w:val="Heading3"/>
        <w:rPr>
          <w:sz w:val="24"/>
          <w:szCs w:val="24"/>
        </w:rPr>
      </w:pPr>
      <w:bookmarkStart w:id="24" w:name="_Toc224138576"/>
      <w:r w:rsidRPr="00A0464C">
        <w:rPr>
          <w:sz w:val="24"/>
          <w:szCs w:val="24"/>
        </w:rPr>
        <w:t>Audit Objectives</w:t>
      </w:r>
      <w:r w:rsidR="00EF51CC" w:rsidRPr="00A0464C">
        <w:rPr>
          <w:sz w:val="24"/>
          <w:szCs w:val="24"/>
        </w:rPr>
        <w:t xml:space="preserve"> and Control Testing</w:t>
      </w:r>
      <w:bookmarkEnd w:id="24"/>
    </w:p>
    <w:p w14:paraId="552D2B28" w14:textId="66569700"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4B25E401" w:rsidR="00B85001" w:rsidRPr="008F379F" w:rsidRDefault="00B85001" w:rsidP="00ED4441">
      <w:pPr>
        <w:pStyle w:val="ListParagraph"/>
        <w:widowControl w:val="0"/>
        <w:numPr>
          <w:ilvl w:val="0"/>
          <w:numId w:val="32"/>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5FE85DFC" w:rsidR="00B85001" w:rsidRPr="00F00D94" w:rsidRDefault="00B85001" w:rsidP="00ED4441">
      <w:pPr>
        <w:pStyle w:val="ListParagraph"/>
        <w:widowControl w:val="0"/>
        <w:numPr>
          <w:ilvl w:val="0"/>
          <w:numId w:val="32"/>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519ADE07"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3EAF1749"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2F49D32B" w:rsidTr="00E0350C">
        <w:tc>
          <w:tcPr>
            <w:tcW w:w="5000" w:type="pct"/>
          </w:tcPr>
          <w:p w14:paraId="11CD0FFA" w14:textId="734EB5A6"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352CAA74"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0D93FDE8" w:rsidR="00C920B4" w:rsidRPr="00F00D94" w:rsidRDefault="00C920B4" w:rsidP="006672EA">
            <w:pPr>
              <w:pStyle w:val="AuditProcedureHeading"/>
              <w:spacing w:after="240"/>
              <w:jc w:val="both"/>
              <w:rPr>
                <w:rFonts w:cs="Arial"/>
                <w:b/>
                <w:bCs/>
                <w:szCs w:val="20"/>
                <w:u w:val="single"/>
              </w:rPr>
            </w:pPr>
          </w:p>
          <w:p w14:paraId="1AB0A1D1" w14:textId="220A4F07" w:rsidR="00C920B4" w:rsidRPr="00F00D94" w:rsidRDefault="00C920B4" w:rsidP="00A43BF7">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008679D7" w:rsidR="00C920B4" w:rsidRPr="00F00D94" w:rsidRDefault="00C920B4" w:rsidP="006672EA">
            <w:pPr>
              <w:pStyle w:val="AuditProcedureHeading"/>
              <w:spacing w:after="240"/>
              <w:jc w:val="both"/>
              <w:rPr>
                <w:rFonts w:cs="Arial"/>
                <w:b/>
                <w:bCs/>
                <w:szCs w:val="20"/>
                <w:u w:val="single"/>
              </w:rPr>
            </w:pPr>
          </w:p>
          <w:p w14:paraId="7CB422FA" w14:textId="6CFD90CF"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56A95746" w:rsidR="00C920B4" w:rsidRPr="00F00D94" w:rsidRDefault="00C920B4" w:rsidP="006672EA">
            <w:pPr>
              <w:spacing w:after="240"/>
              <w:jc w:val="both"/>
              <w:rPr>
                <w:rFonts w:ascii="Arial" w:hAnsi="Arial" w:cs="Arial"/>
                <w:b/>
                <w:sz w:val="20"/>
                <w:u w:val="single"/>
              </w:rPr>
            </w:pPr>
          </w:p>
          <w:p w14:paraId="3BF2233E" w14:textId="30048104"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37D63206" w:rsidR="00C920B4" w:rsidRPr="00F00D94" w:rsidRDefault="00C920B4" w:rsidP="006672EA">
            <w:pPr>
              <w:spacing w:after="240"/>
              <w:jc w:val="both"/>
              <w:rPr>
                <w:rFonts w:ascii="Arial" w:eastAsiaTheme="minorHAnsi" w:hAnsi="Arial" w:cs="Arial"/>
              </w:rPr>
            </w:pPr>
          </w:p>
        </w:tc>
      </w:tr>
    </w:tbl>
    <w:p w14:paraId="43E8748C" w14:textId="3E36DAEF" w:rsidR="003C14CE" w:rsidRPr="00F00D94" w:rsidRDefault="003C14CE" w:rsidP="006672EA">
      <w:pPr>
        <w:spacing w:after="240"/>
        <w:ind w:left="720" w:hanging="720"/>
        <w:jc w:val="both"/>
        <w:rPr>
          <w:rFonts w:ascii="Arial" w:hAnsi="Arial" w:cs="Arial"/>
          <w:b/>
        </w:rPr>
      </w:pPr>
    </w:p>
    <w:p w14:paraId="75646FF7" w14:textId="496A0D14" w:rsidR="00E41AA1" w:rsidRPr="00A0464C" w:rsidRDefault="00E41AA1" w:rsidP="006672EA">
      <w:pPr>
        <w:pStyle w:val="Heading3"/>
        <w:jc w:val="both"/>
        <w:rPr>
          <w:rFonts w:cs="Arial"/>
          <w:sz w:val="24"/>
          <w:szCs w:val="24"/>
        </w:rPr>
      </w:pPr>
      <w:bookmarkStart w:id="25" w:name="_Toc22413857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5"/>
    </w:p>
    <w:tbl>
      <w:tblPr>
        <w:tblStyle w:val="TableGrid"/>
        <w:tblW w:w="5000" w:type="pct"/>
        <w:tblLook w:val="04A0" w:firstRow="1" w:lastRow="0" w:firstColumn="1" w:lastColumn="0" w:noHBand="0" w:noVBand="1"/>
      </w:tblPr>
      <w:tblGrid>
        <w:gridCol w:w="9350"/>
      </w:tblGrid>
      <w:tr w:rsidR="00C920B4" w:rsidRPr="00F00D94" w14:paraId="399E9169" w14:textId="6A28B16B" w:rsidTr="00E0350C">
        <w:tc>
          <w:tcPr>
            <w:tcW w:w="5000" w:type="pct"/>
          </w:tcPr>
          <w:p w14:paraId="751B020F" w14:textId="6E9DB3B1"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6C09667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192BD2A7"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200CBD2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0322F9A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1390072C"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38D97AA9"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591C01FD"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33BB5E67"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3C3D2292"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1064128F" w:rsidR="0094443C" w:rsidRPr="00365EB4" w:rsidRDefault="0094443C" w:rsidP="002B1229">
            <w:pPr>
              <w:pStyle w:val="APStepItem"/>
              <w:numPr>
                <w:ilvl w:val="0"/>
                <w:numId w:val="0"/>
              </w:numPr>
              <w:tabs>
                <w:tab w:val="num" w:pos="1170"/>
              </w:tabs>
              <w:ind w:left="-19"/>
              <w:rPr>
                <w:rFonts w:cs="Arial"/>
                <w:b/>
                <w:i/>
                <w:iCs/>
                <w:sz w:val="20"/>
                <w:szCs w:val="20"/>
              </w:rPr>
            </w:pPr>
          </w:p>
        </w:tc>
      </w:tr>
    </w:tbl>
    <w:p w14:paraId="4375D64E" w14:textId="77777777" w:rsidR="00AB5C3A" w:rsidRPr="00AB5C3A" w:rsidRDefault="00AB5C3A" w:rsidP="00AB5C3A"/>
    <w:p w14:paraId="314F32F6" w14:textId="489C46B1" w:rsidR="00EF51CC" w:rsidRPr="00A0464C" w:rsidRDefault="00EF51CC" w:rsidP="006672EA">
      <w:pPr>
        <w:pStyle w:val="Heading3"/>
        <w:jc w:val="both"/>
        <w:rPr>
          <w:rFonts w:cs="Arial"/>
          <w:b w:val="0"/>
          <w:sz w:val="24"/>
          <w:szCs w:val="24"/>
        </w:rPr>
      </w:pPr>
      <w:bookmarkStart w:id="26" w:name="_Toc224138578"/>
      <w:r w:rsidRPr="00A0464C">
        <w:rPr>
          <w:rFonts w:cs="Arial"/>
          <w:sz w:val="24"/>
          <w:szCs w:val="24"/>
        </w:rPr>
        <w:t>Audit Implications Summary</w:t>
      </w:r>
      <w:bookmarkEnd w:id="2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2984BAB4" w14:textId="3A30D9B7" w:rsidR="00EF51CC" w:rsidRPr="006E46AD" w:rsidRDefault="00EF51CC" w:rsidP="00ED4441">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ED4441">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ED4441">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ED4441">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ED4441">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27" w:name="_Toc442267689"/>
      <w:bookmarkStart w:id="28" w:name="_Toc224138579"/>
      <w:r w:rsidRPr="00A0464C">
        <w:rPr>
          <w:rFonts w:cs="Arial"/>
          <w:sz w:val="24"/>
        </w:rPr>
        <w:lastRenderedPageBreak/>
        <w:t>B.  ALLOWABLE COSTS/COST PRINCIPLES</w:t>
      </w:r>
      <w:bookmarkEnd w:id="27"/>
      <w:bookmarkEnd w:id="2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ED4441">
      <w:pPr>
        <w:pStyle w:val="ListParagraph"/>
        <w:numPr>
          <w:ilvl w:val="0"/>
          <w:numId w:val="40"/>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ED4441">
      <w:pPr>
        <w:pStyle w:val="ListParagraph"/>
        <w:numPr>
          <w:ilvl w:val="0"/>
          <w:numId w:val="40"/>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ED4441">
      <w:pPr>
        <w:pStyle w:val="ListParagraph"/>
        <w:numPr>
          <w:ilvl w:val="1"/>
          <w:numId w:val="40"/>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ED4441">
      <w:pPr>
        <w:pStyle w:val="ListParagraph"/>
        <w:numPr>
          <w:ilvl w:val="1"/>
          <w:numId w:val="40"/>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ED4441">
      <w:pPr>
        <w:pStyle w:val="ListParagraph"/>
        <w:numPr>
          <w:ilvl w:val="1"/>
          <w:numId w:val="40"/>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ED4441">
      <w:pPr>
        <w:pStyle w:val="ListParagraph"/>
        <w:numPr>
          <w:ilvl w:val="0"/>
          <w:numId w:val="40"/>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ED4441">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ED4441">
      <w:pPr>
        <w:pStyle w:val="ListParagraph"/>
        <w:numPr>
          <w:ilvl w:val="1"/>
          <w:numId w:val="40"/>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ED4441">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ED4441">
      <w:pPr>
        <w:pStyle w:val="ListParagraph"/>
        <w:numPr>
          <w:ilvl w:val="0"/>
          <w:numId w:val="40"/>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ED4441">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ED4441">
      <w:pPr>
        <w:pStyle w:val="ListParagraph"/>
        <w:numPr>
          <w:ilvl w:val="2"/>
          <w:numId w:val="40"/>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ED4441">
      <w:pPr>
        <w:pStyle w:val="ListParagraph"/>
        <w:numPr>
          <w:ilvl w:val="2"/>
          <w:numId w:val="40"/>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ED4441">
      <w:pPr>
        <w:pStyle w:val="ListParagraph"/>
        <w:numPr>
          <w:ilvl w:val="1"/>
          <w:numId w:val="40"/>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ED4441">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ED4441">
      <w:pPr>
        <w:pStyle w:val="ListParagraph"/>
        <w:numPr>
          <w:ilvl w:val="0"/>
          <w:numId w:val="40"/>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ED4441">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ED4441">
      <w:pPr>
        <w:pStyle w:val="ListParagraph"/>
        <w:numPr>
          <w:ilvl w:val="1"/>
          <w:numId w:val="40"/>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ED4441">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29" w:name="B___ALLOWABLE_COSTS_COST_PRINCIPLES"/>
      <w:bookmarkStart w:id="30" w:name="_Toc224138580"/>
      <w:bookmarkEnd w:id="29"/>
      <w:r w:rsidRPr="009365AA">
        <w:rPr>
          <w:rFonts w:cs="Arial"/>
          <w:sz w:val="24"/>
          <w:szCs w:val="24"/>
        </w:rPr>
        <w:t>Applicability of Cost Principles</w:t>
      </w:r>
      <w:bookmarkEnd w:id="3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ED4441">
      <w:pPr>
        <w:pStyle w:val="ListParagraph"/>
        <w:numPr>
          <w:ilvl w:val="1"/>
          <w:numId w:val="33"/>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ED4441">
      <w:pPr>
        <w:pStyle w:val="ListParagraph"/>
        <w:numPr>
          <w:ilvl w:val="1"/>
          <w:numId w:val="33"/>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ED4441">
      <w:pPr>
        <w:pStyle w:val="ListParagraph"/>
        <w:numPr>
          <w:ilvl w:val="1"/>
          <w:numId w:val="33"/>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ED4441">
      <w:pPr>
        <w:pStyle w:val="ListParagraph"/>
        <w:numPr>
          <w:ilvl w:val="1"/>
          <w:numId w:val="33"/>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ED4441">
      <w:pPr>
        <w:pStyle w:val="ListParagraph"/>
        <w:numPr>
          <w:ilvl w:val="1"/>
          <w:numId w:val="33"/>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ED4441">
      <w:pPr>
        <w:pStyle w:val="ListParagraph"/>
        <w:numPr>
          <w:ilvl w:val="1"/>
          <w:numId w:val="33"/>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ED4441">
      <w:pPr>
        <w:pStyle w:val="ListParagraph"/>
        <w:numPr>
          <w:ilvl w:val="0"/>
          <w:numId w:val="47"/>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ED4441">
      <w:pPr>
        <w:pStyle w:val="ListParagraph"/>
        <w:numPr>
          <w:ilvl w:val="0"/>
          <w:numId w:val="47"/>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ED4441">
      <w:pPr>
        <w:pStyle w:val="ListParagraph"/>
        <w:numPr>
          <w:ilvl w:val="0"/>
          <w:numId w:val="47"/>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ED4441">
      <w:pPr>
        <w:pStyle w:val="ListParagraph"/>
        <w:numPr>
          <w:ilvl w:val="0"/>
          <w:numId w:val="47"/>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ED4441">
      <w:pPr>
        <w:pStyle w:val="ListParagraph"/>
        <w:numPr>
          <w:ilvl w:val="0"/>
          <w:numId w:val="47"/>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ED4441">
      <w:pPr>
        <w:pStyle w:val="ListParagraph"/>
        <w:numPr>
          <w:ilvl w:val="0"/>
          <w:numId w:val="47"/>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ED4441">
      <w:pPr>
        <w:pStyle w:val="ListParagraph"/>
        <w:numPr>
          <w:ilvl w:val="0"/>
          <w:numId w:val="47"/>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ED4441">
      <w:pPr>
        <w:pStyle w:val="ListParagraph"/>
        <w:numPr>
          <w:ilvl w:val="0"/>
          <w:numId w:val="47"/>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43"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39FAEE18" w:rsidR="005C6C7A" w:rsidRPr="004A0AB6" w:rsidRDefault="00ED4441" w:rsidP="005C6C7A">
      <w:pPr>
        <w:spacing w:after="240"/>
        <w:jc w:val="both"/>
        <w:rPr>
          <w:rFonts w:ascii="Arial" w:hAnsi="Arial" w:cs="Arial"/>
          <w:b/>
          <w:highlight w:val="yellow"/>
        </w:rPr>
      </w:pPr>
      <w:r w:rsidRPr="00EA2CA3">
        <w:rPr>
          <w:rFonts w:ascii="Arial" w:hAnsi="Arial" w:cs="Arial"/>
          <w:bCs/>
        </w:rPr>
        <w:t xml:space="preserve">This program is not included in the </w:t>
      </w:r>
      <w:r w:rsidR="00AB5C3A">
        <w:rPr>
          <w:rFonts w:ascii="Arial" w:hAnsi="Arial" w:cs="Arial"/>
          <w:bCs/>
        </w:rPr>
        <w:t>2025</w:t>
      </w:r>
      <w:r w:rsidR="00AB5C3A" w:rsidRPr="00EA2CA3">
        <w:rPr>
          <w:rFonts w:ascii="Arial" w:hAnsi="Arial" w:cs="Arial"/>
          <w:bCs/>
        </w:rPr>
        <w:t xml:space="preserve"> </w:t>
      </w:r>
      <w:r w:rsidRPr="00EA2CA3">
        <w:rPr>
          <w:rFonts w:ascii="Arial" w:hAnsi="Arial" w:cs="Arial"/>
          <w:bCs/>
        </w:rPr>
        <w:t>OMB Compliance Supplement.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1" w:name="_Toc224138581"/>
      <w:r w:rsidRPr="00FA4759">
        <w:rPr>
          <w:rFonts w:cs="Arial"/>
          <w:sz w:val="24"/>
          <w:szCs w:val="24"/>
        </w:rPr>
        <w:t>Additional Program Specific Information</w:t>
      </w:r>
      <w:bookmarkEnd w:id="3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F943355"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0E249625" w14:textId="7B016CD0"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7BBC0AE3" w14:textId="77777777" w:rsidR="00C472D5" w:rsidRDefault="00C472D5" w:rsidP="00C472D5">
      <w:pPr>
        <w:spacing w:after="240"/>
        <w:jc w:val="both"/>
        <w:rPr>
          <w:rFonts w:ascii="Arial" w:eastAsia="Calibri" w:hAnsi="Arial" w:cs="Arial"/>
        </w:rPr>
      </w:pPr>
      <w:r w:rsidRPr="00662EEE">
        <w:rPr>
          <w:rFonts w:ascii="Arial" w:eastAsia="Calibri" w:hAnsi="Arial" w:cs="Arial"/>
          <w:u w:val="single"/>
        </w:rPr>
        <w:t>Indirect Costs</w:t>
      </w:r>
      <w:r w:rsidRPr="00662EEE">
        <w:rPr>
          <w:rFonts w:ascii="Arial" w:eastAsia="Calibri" w:hAnsi="Arial" w:cs="Arial"/>
        </w:rPr>
        <w:t xml:space="preserve">: Indirect costs are those costs incurred for common or joint objectives which cannot be readily and specifically identified with a particular project or program but are necessary to the operations of the organization, e.g., the cost of operating and maintaining facilities, depreciation, and administrative salaries. For some institutions, the term “facilities and administration” (F&amp;A) is used to denote indirect costs. If your organization does not have an indirect cost rate, you may wish to obtain one through HHS’s Cost Allocation Services (CAS) (formerly the Division of Cost Allocation (DCA)). Visit CAS’s website to learn more about rate agreements, the process for applying for them, and the regional offices which negotiate them. If indirect costs are included in the budget, attach a copy of the indirect cost rate agreement. </w:t>
      </w:r>
    </w:p>
    <w:p w14:paraId="77FA9462" w14:textId="77777777" w:rsidR="00C472D5" w:rsidRPr="00C472D5" w:rsidRDefault="00C472D5" w:rsidP="00C472D5">
      <w:pPr>
        <w:spacing w:after="240"/>
        <w:jc w:val="both"/>
        <w:rPr>
          <w:rFonts w:ascii="Arial" w:eastAsia="Calibri" w:hAnsi="Arial" w:cs="Arial"/>
        </w:rPr>
      </w:pPr>
      <w:r w:rsidRPr="00662EEE">
        <w:rPr>
          <w:rFonts w:ascii="Arial" w:eastAsia="Calibri" w:hAnsi="Arial" w:cs="Arial"/>
        </w:rPr>
        <w:t>Any non-federal entity that has never received a negotiated indirect cost rate, (except a governmenta</w:t>
      </w:r>
      <w:r w:rsidRPr="00C472D5">
        <w:rPr>
          <w:rFonts w:ascii="Arial" w:eastAsia="Calibri" w:hAnsi="Arial" w:cs="Arial"/>
        </w:rPr>
        <w:t>l department or agency unit that receives more than $35 million in direct federal funding) may elect to charge a de minimis rate of fifteen percent of modified total direct costs (MTDC) which may be used indefinitely. If chosen, this methodology once elected must be used consistently for all federal awards until such time as a non-federal entity chooses to negotiate for a rate, which the nonfederal entity may apply to do at any time.</w:t>
      </w:r>
    </w:p>
    <w:p w14:paraId="02EB89E1" w14:textId="42A3242F" w:rsidR="00ED4441" w:rsidRPr="00AB5C3A" w:rsidRDefault="00C472D5" w:rsidP="00ED4441">
      <w:pPr>
        <w:spacing w:after="240"/>
        <w:jc w:val="both"/>
        <w:rPr>
          <w:rFonts w:ascii="Arial" w:hAnsi="Arial" w:cs="Arial"/>
          <w:b/>
          <w:i/>
        </w:rPr>
      </w:pPr>
      <w:r w:rsidRPr="00AB5C3A">
        <w:rPr>
          <w:rFonts w:ascii="Arial" w:hAnsi="Arial" w:cs="Arial"/>
          <w:bCs/>
          <w:i/>
        </w:rPr>
        <w:t xml:space="preserve">(Source: State Opioid Response Grants, </w:t>
      </w:r>
      <w:hyperlink r:id="rId44" w:history="1">
        <w:r w:rsidRPr="00AB5C3A">
          <w:rPr>
            <w:rStyle w:val="Hyperlink"/>
            <w:rFonts w:cs="Arial"/>
            <w:i/>
          </w:rPr>
          <w:t>https://www.samhsa.gov/grants/grant-announcements/ti-24-008</w:t>
        </w:r>
      </w:hyperlink>
      <w:r w:rsidR="00AB5C3A">
        <w:rPr>
          <w:rFonts w:ascii="Arial" w:hAnsi="Arial" w:cs="Arial"/>
          <w:i/>
        </w:rPr>
        <w:t xml:space="preserve"> and </w:t>
      </w:r>
      <w:r w:rsidR="00AB5C3A" w:rsidRPr="0013240C">
        <w:rPr>
          <w:rFonts w:ascii="Arial" w:hAnsi="Arial" w:cs="Arial"/>
          <w:i/>
          <w:iCs/>
        </w:rPr>
        <w:t>Dex Stanger Chief Fiscal Officer, Ohio Department of Behavioral Health, February 23, 2026</w:t>
      </w:r>
      <w:r w:rsidRPr="00AB5C3A">
        <w:rPr>
          <w:rFonts w:ascii="Arial" w:hAnsi="Arial" w:cs="Arial"/>
          <w:i/>
        </w:rPr>
        <w:t xml:space="preserve">) </w:t>
      </w:r>
    </w:p>
    <w:p w14:paraId="2148D788" w14:textId="070F5306" w:rsidR="000723D6" w:rsidRPr="00FA4759" w:rsidRDefault="000723D6" w:rsidP="006672EA">
      <w:pPr>
        <w:pStyle w:val="Heading3"/>
        <w:jc w:val="both"/>
        <w:rPr>
          <w:rFonts w:cs="Arial"/>
          <w:sz w:val="24"/>
          <w:szCs w:val="24"/>
        </w:rPr>
      </w:pPr>
      <w:bookmarkStart w:id="32" w:name="_Toc22413858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2"/>
    </w:p>
    <w:p w14:paraId="2C5C23C1" w14:textId="77777777" w:rsidR="00B01E70" w:rsidRPr="00A0464C" w:rsidRDefault="00B01E70" w:rsidP="00B01E70">
      <w:pPr>
        <w:pStyle w:val="Heading3"/>
        <w:jc w:val="both"/>
        <w:rPr>
          <w:rFonts w:cs="Arial"/>
          <w:sz w:val="24"/>
          <w:szCs w:val="24"/>
        </w:rPr>
      </w:pPr>
      <w:bookmarkStart w:id="33" w:name="_Toc224138583"/>
      <w:r w:rsidRPr="00A0464C">
        <w:rPr>
          <w:rFonts w:cs="Arial"/>
          <w:sz w:val="24"/>
          <w:szCs w:val="24"/>
        </w:rPr>
        <w:t>OMB Compliance Requirements</w:t>
      </w:r>
      <w:bookmarkEnd w:id="3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ED4441">
      <w:pPr>
        <w:pStyle w:val="ListParagraph"/>
        <w:numPr>
          <w:ilvl w:val="0"/>
          <w:numId w:val="45"/>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ED4441">
      <w:pPr>
        <w:pStyle w:val="ListParagraph"/>
        <w:numPr>
          <w:ilvl w:val="0"/>
          <w:numId w:val="45"/>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ED4441">
      <w:pPr>
        <w:pStyle w:val="ListParagraph"/>
        <w:numPr>
          <w:ilvl w:val="1"/>
          <w:numId w:val="43"/>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ED4441">
      <w:pPr>
        <w:pStyle w:val="ListParagraph"/>
        <w:numPr>
          <w:ilvl w:val="0"/>
          <w:numId w:val="46"/>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ED4441">
      <w:pPr>
        <w:pStyle w:val="ListParagraph"/>
        <w:numPr>
          <w:ilvl w:val="1"/>
          <w:numId w:val="46"/>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ED4441">
      <w:pPr>
        <w:pStyle w:val="ListParagraph"/>
        <w:numPr>
          <w:ilvl w:val="1"/>
          <w:numId w:val="46"/>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w:t>
      </w:r>
      <w:r w:rsidRPr="00E13AE2">
        <w:rPr>
          <w:rFonts w:ascii="Arial" w:hAnsi="Arial" w:cs="Arial"/>
        </w:rPr>
        <w:lastRenderedPageBreak/>
        <w:t>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ED4441">
      <w:pPr>
        <w:pStyle w:val="ListParagraph"/>
        <w:numPr>
          <w:ilvl w:val="1"/>
          <w:numId w:val="46"/>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ED4441">
      <w:pPr>
        <w:pStyle w:val="ListParagraph"/>
        <w:numPr>
          <w:ilvl w:val="1"/>
          <w:numId w:val="46"/>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ED4441">
      <w:pPr>
        <w:pStyle w:val="ListParagraph"/>
        <w:numPr>
          <w:ilvl w:val="1"/>
          <w:numId w:val="43"/>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ED4441">
      <w:pPr>
        <w:pStyle w:val="ListParagraph"/>
        <w:numPr>
          <w:ilvl w:val="0"/>
          <w:numId w:val="44"/>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ED4441">
      <w:pPr>
        <w:pStyle w:val="ListParagraph"/>
        <w:numPr>
          <w:ilvl w:val="0"/>
          <w:numId w:val="44"/>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ED4441">
      <w:pPr>
        <w:pStyle w:val="ListParagraph"/>
        <w:numPr>
          <w:ilvl w:val="0"/>
          <w:numId w:val="44"/>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ED4441">
      <w:pPr>
        <w:pStyle w:val="ListParagraph"/>
        <w:numPr>
          <w:ilvl w:val="0"/>
          <w:numId w:val="44"/>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ED4441">
      <w:pPr>
        <w:pStyle w:val="ListParagraph"/>
        <w:numPr>
          <w:ilvl w:val="0"/>
          <w:numId w:val="44"/>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ED4441">
      <w:pPr>
        <w:pStyle w:val="ListParagraph"/>
        <w:numPr>
          <w:ilvl w:val="1"/>
          <w:numId w:val="43"/>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 xml:space="preserve">2 CFR Part 200, Appendix V, paragraph F, provides the guidelines to use when determining the federal agency that will serve as the cognizant agency for indirect costs for states, local governments, and Indian </w:t>
      </w:r>
      <w:r w:rsidRPr="00D9475D">
        <w:rPr>
          <w:rFonts w:ascii="Arial" w:hAnsi="Arial" w:cs="Arial"/>
        </w:rPr>
        <w:lastRenderedPageBreak/>
        <w:t>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ED4441">
      <w:pPr>
        <w:pStyle w:val="BodyText"/>
        <w:widowControl w:val="0"/>
        <w:numPr>
          <w:ilvl w:val="0"/>
          <w:numId w:val="39"/>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ED4441">
      <w:pPr>
        <w:pStyle w:val="ListParagraph"/>
        <w:widowControl w:val="0"/>
        <w:numPr>
          <w:ilvl w:val="0"/>
          <w:numId w:val="39"/>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ED4441">
      <w:pPr>
        <w:pStyle w:val="ListParagraph"/>
        <w:widowControl w:val="0"/>
        <w:numPr>
          <w:ilvl w:val="0"/>
          <w:numId w:val="34"/>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ED4441">
      <w:pPr>
        <w:pStyle w:val="ListParagraph"/>
        <w:widowControl w:val="0"/>
        <w:numPr>
          <w:ilvl w:val="0"/>
          <w:numId w:val="34"/>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ED4441">
      <w:pPr>
        <w:pStyle w:val="ListParagraph"/>
        <w:widowControl w:val="0"/>
        <w:numPr>
          <w:ilvl w:val="0"/>
          <w:numId w:val="39"/>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lastRenderedPageBreak/>
        <w:t>follows:</w:t>
      </w:r>
    </w:p>
    <w:p w14:paraId="4B4530F1" w14:textId="1C182A87" w:rsidR="00B85001" w:rsidRPr="00F00D94" w:rsidRDefault="00B85001" w:rsidP="00ED4441">
      <w:pPr>
        <w:pStyle w:val="ListParagraph"/>
        <w:widowControl w:val="0"/>
        <w:numPr>
          <w:ilvl w:val="0"/>
          <w:numId w:val="35"/>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ED4441">
      <w:pPr>
        <w:pStyle w:val="ListParagraph"/>
        <w:widowControl w:val="0"/>
        <w:numPr>
          <w:ilvl w:val="0"/>
          <w:numId w:val="35"/>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ED4441">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ED4441">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4" w:name="_Hlk135059089"/>
      <w:r w:rsidRPr="00BF0246">
        <w:rPr>
          <w:rStyle w:val="Hyperlink"/>
          <w:rFonts w:cs="Arial"/>
          <w:b/>
          <w:i/>
          <w:iCs/>
          <w:color w:val="002060"/>
        </w:rPr>
        <w:t>Additional Control Test Objectives for Written Procedures</w:t>
      </w:r>
    </w:p>
    <w:bookmarkEnd w:id="3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ED4441">
      <w:pPr>
        <w:pStyle w:val="ListParagraph"/>
        <w:numPr>
          <w:ilvl w:val="0"/>
          <w:numId w:val="31"/>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ED4441">
      <w:pPr>
        <w:pStyle w:val="AuditProcedureHeading"/>
        <w:numPr>
          <w:ilvl w:val="0"/>
          <w:numId w:val="31"/>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ED4441">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ED4441">
      <w:pPr>
        <w:pStyle w:val="ListParagraph"/>
        <w:numPr>
          <w:ilvl w:val="2"/>
          <w:numId w:val="31"/>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ED4441">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ED4441">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ED4441">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ED4441">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ED4441">
      <w:pPr>
        <w:pStyle w:val="AuditProcedureHeading"/>
        <w:numPr>
          <w:ilvl w:val="1"/>
          <w:numId w:val="31"/>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ED4441">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ED4441">
      <w:pPr>
        <w:pStyle w:val="AuditProcedureHeading"/>
        <w:numPr>
          <w:ilvl w:val="1"/>
          <w:numId w:val="31"/>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ED4441">
      <w:pPr>
        <w:pStyle w:val="ListParagraph"/>
        <w:numPr>
          <w:ilvl w:val="2"/>
          <w:numId w:val="31"/>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ED4441">
      <w:pPr>
        <w:pStyle w:val="AuditProcedureHeading"/>
        <w:numPr>
          <w:ilvl w:val="0"/>
          <w:numId w:val="31"/>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ED4441">
      <w:pPr>
        <w:pStyle w:val="AuditProcedureHeading"/>
        <w:numPr>
          <w:ilvl w:val="1"/>
          <w:numId w:val="31"/>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ED4441">
      <w:pPr>
        <w:pStyle w:val="AuditProcedureHeading"/>
        <w:numPr>
          <w:ilvl w:val="1"/>
          <w:numId w:val="31"/>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ED4441">
      <w:pPr>
        <w:pStyle w:val="ListParagraph"/>
        <w:numPr>
          <w:ilvl w:val="2"/>
          <w:numId w:val="31"/>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36"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36"/>
          </w:p>
          <w:bookmarkEnd w:id="3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lastRenderedPageBreak/>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lastRenderedPageBreak/>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w:t>
            </w:r>
            <w:r w:rsidRPr="00F00D94">
              <w:rPr>
                <w:rFonts w:ascii="Arial" w:hAnsi="Arial" w:cs="Arial"/>
                <w:sz w:val="20"/>
              </w:rPr>
              <w:lastRenderedPageBreak/>
              <w:t xml:space="preserve">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37" w:name="_Toc224138584"/>
      <w:r w:rsidRPr="00FA4759">
        <w:rPr>
          <w:rFonts w:cs="Arial"/>
          <w:sz w:val="24"/>
          <w:szCs w:val="24"/>
        </w:rPr>
        <w:t>Audit Implications Summary</w:t>
      </w:r>
      <w:bookmarkEnd w:id="3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ED4441">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ED4441">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ED4441">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ED4441">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ED4441">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38" w:name="B__LIST_OF_SELECTED_ITEMS"/>
      <w:bookmarkStart w:id="39" w:name="C___CASH_MANAGEMENT"/>
      <w:bookmarkStart w:id="40" w:name="_Toc442267690"/>
      <w:bookmarkStart w:id="41" w:name="_Toc224138585"/>
      <w:bookmarkEnd w:id="38"/>
      <w:bookmarkEnd w:id="39"/>
      <w:r w:rsidRPr="00C95501">
        <w:rPr>
          <w:rFonts w:cs="Arial"/>
          <w:sz w:val="24"/>
        </w:rPr>
        <w:lastRenderedPageBreak/>
        <w:t xml:space="preserve">C. </w:t>
      </w:r>
      <w:r w:rsidR="00341FBE" w:rsidRPr="00C95501">
        <w:rPr>
          <w:rFonts w:cs="Arial"/>
          <w:sz w:val="24"/>
        </w:rPr>
        <w:t>CASH MANAGEMENT</w:t>
      </w:r>
      <w:bookmarkEnd w:id="40"/>
      <w:bookmarkEnd w:id="41"/>
    </w:p>
    <w:p w14:paraId="2DD0D478" w14:textId="77777777" w:rsidR="00341FBE" w:rsidRPr="00C95501" w:rsidRDefault="006A15E5" w:rsidP="006672EA">
      <w:pPr>
        <w:pStyle w:val="Heading3"/>
        <w:jc w:val="both"/>
        <w:rPr>
          <w:rFonts w:cs="Arial"/>
          <w:sz w:val="24"/>
          <w:szCs w:val="24"/>
        </w:rPr>
      </w:pPr>
      <w:bookmarkStart w:id="42" w:name="_Toc442267691"/>
      <w:bookmarkStart w:id="43" w:name="_Toc224138586"/>
      <w:r w:rsidRPr="00C95501">
        <w:rPr>
          <w:rFonts w:cs="Arial"/>
          <w:sz w:val="24"/>
          <w:szCs w:val="24"/>
        </w:rPr>
        <w:t xml:space="preserve">OMB </w:t>
      </w:r>
      <w:r w:rsidR="00341FBE" w:rsidRPr="00C95501">
        <w:rPr>
          <w:rFonts w:cs="Arial"/>
          <w:sz w:val="24"/>
          <w:szCs w:val="24"/>
        </w:rPr>
        <w:t>Compliance Requirements</w:t>
      </w:r>
      <w:bookmarkEnd w:id="42"/>
      <w:bookmarkEnd w:id="43"/>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ED4441">
      <w:pPr>
        <w:pStyle w:val="ListParagraph"/>
        <w:numPr>
          <w:ilvl w:val="0"/>
          <w:numId w:val="48"/>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ED4441">
      <w:pPr>
        <w:pStyle w:val="ListParagraph"/>
        <w:numPr>
          <w:ilvl w:val="0"/>
          <w:numId w:val="48"/>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5A1159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8" w:history="1">
        <w:r w:rsidR="003C0E2D" w:rsidRPr="00F00D94">
          <w:rPr>
            <w:rStyle w:val="Hyperlink"/>
            <w:rFonts w:cs="Arial"/>
          </w:rPr>
          <w:t>31 CFR Part 205</w:t>
        </w:r>
      </w:hyperlink>
      <w:r w:rsidRPr="00F00D94">
        <w:rPr>
          <w:rFonts w:ascii="Arial" w:hAnsi="Arial" w:cs="Arial"/>
        </w:rPr>
        <w:t xml:space="preserve">, </w:t>
      </w:r>
      <w:hyperlink r:id="rId49" w:history="1">
        <w:r w:rsidR="00203D3E" w:rsidRPr="00F00D94">
          <w:rPr>
            <w:rStyle w:val="Hyperlink"/>
            <w:rFonts w:cs="Arial"/>
          </w:rPr>
          <w:t>48 CFR 52.216-7(b)</w:t>
        </w:r>
      </w:hyperlink>
      <w:r w:rsidRPr="00F00D94">
        <w:rPr>
          <w:rFonts w:ascii="Arial" w:hAnsi="Arial" w:cs="Arial"/>
        </w:rPr>
        <w:t xml:space="preserve"> and </w:t>
      </w:r>
      <w:hyperlink r:id="rId5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67367D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07AFEE34"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AB5C3A">
        <w:rPr>
          <w:rFonts w:ascii="Arial" w:hAnsi="Arial" w:cs="Arial"/>
          <w:bCs/>
        </w:rPr>
        <w:t>2025</w:t>
      </w:r>
      <w:r w:rsidR="00AB5C3A" w:rsidRPr="00EA2CA3">
        <w:rPr>
          <w:rFonts w:ascii="Arial" w:hAnsi="Arial" w:cs="Arial"/>
          <w:bCs/>
        </w:rPr>
        <w:t xml:space="preserve"> </w:t>
      </w:r>
      <w:r w:rsidRPr="00EA2CA3">
        <w:rPr>
          <w:rFonts w:ascii="Arial" w:hAnsi="Arial" w:cs="Arial"/>
          <w:bCs/>
        </w:rPr>
        <w:t>OMB Compliance Supplement.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lastRenderedPageBreak/>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4" w:name="_Toc224138587"/>
      <w:r w:rsidRPr="00C95501">
        <w:rPr>
          <w:rFonts w:cs="Arial"/>
          <w:sz w:val="24"/>
          <w:szCs w:val="24"/>
        </w:rPr>
        <w:t>Additional Program Specific Information</w:t>
      </w:r>
      <w:bookmarkEnd w:id="44"/>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6C9158DD"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3219E73F" w14:textId="04717C8C"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5" w:name="_Toc442267692"/>
      <w:bookmarkStart w:id="46" w:name="_Toc224138588"/>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5"/>
      <w:bookmarkEnd w:id="46"/>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D952043"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4"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ED4441">
      <w:pPr>
        <w:pStyle w:val="ListParagraph"/>
        <w:numPr>
          <w:ilvl w:val="0"/>
          <w:numId w:val="31"/>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ED4441">
      <w:pPr>
        <w:pStyle w:val="AuditProcedureHeading"/>
        <w:numPr>
          <w:ilvl w:val="0"/>
          <w:numId w:val="31"/>
        </w:numPr>
        <w:spacing w:after="0"/>
        <w:jc w:val="both"/>
        <w:rPr>
          <w:rFonts w:cs="Arial"/>
          <w:bCs/>
          <w:i/>
          <w:iCs/>
          <w:color w:val="002060"/>
          <w:szCs w:val="20"/>
        </w:rPr>
      </w:pPr>
      <w:r w:rsidRPr="00BF0246">
        <w:rPr>
          <w:rFonts w:cs="Arial"/>
          <w:bCs/>
          <w:i/>
          <w:iCs/>
          <w:color w:val="002060"/>
          <w:szCs w:val="20"/>
        </w:rPr>
        <w:lastRenderedPageBreak/>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ED4441">
      <w:pPr>
        <w:pStyle w:val="ListParagraph"/>
        <w:numPr>
          <w:ilvl w:val="2"/>
          <w:numId w:val="31"/>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ED4441">
      <w:pPr>
        <w:pStyle w:val="AuditProcedureHeading"/>
        <w:numPr>
          <w:ilvl w:val="0"/>
          <w:numId w:val="31"/>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ED4441">
      <w:pPr>
        <w:pStyle w:val="AuditProcedureHeading"/>
        <w:numPr>
          <w:ilvl w:val="1"/>
          <w:numId w:val="31"/>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ED4441">
      <w:pPr>
        <w:pStyle w:val="AuditProcedureHeading"/>
        <w:numPr>
          <w:ilvl w:val="1"/>
          <w:numId w:val="31"/>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ED4441">
      <w:pPr>
        <w:pStyle w:val="ListParagraph"/>
        <w:numPr>
          <w:ilvl w:val="2"/>
          <w:numId w:val="31"/>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47" w:name="_Toc442267693"/>
      <w:bookmarkStart w:id="48" w:name="_Toc224138589"/>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47"/>
      <w:r w:rsidR="00CC4452">
        <w:rPr>
          <w:rFonts w:cs="Arial"/>
          <w:sz w:val="24"/>
          <w:szCs w:val="24"/>
        </w:rPr>
        <w:t xml:space="preserve"> – Compliance</w:t>
      </w:r>
      <w:bookmarkEnd w:id="48"/>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lastRenderedPageBreak/>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ED4441">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lastRenderedPageBreak/>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49" w:name="_Toc438816465"/>
      <w:bookmarkStart w:id="50" w:name="_Toc442267694"/>
    </w:p>
    <w:p w14:paraId="5F477BA8" w14:textId="40F9D9C2" w:rsidR="00FF7307" w:rsidRPr="00220BD0" w:rsidRDefault="002A3BB7" w:rsidP="006672EA">
      <w:pPr>
        <w:pStyle w:val="Heading3"/>
        <w:jc w:val="both"/>
        <w:rPr>
          <w:rFonts w:cs="Arial"/>
          <w:b w:val="0"/>
          <w:sz w:val="24"/>
          <w:szCs w:val="24"/>
        </w:rPr>
      </w:pPr>
      <w:bookmarkStart w:id="51" w:name="_Toc224138590"/>
      <w:r w:rsidRPr="00220BD0">
        <w:rPr>
          <w:rFonts w:cs="Arial"/>
          <w:sz w:val="24"/>
          <w:szCs w:val="24"/>
        </w:rPr>
        <w:t>Audit Implications Summary</w:t>
      </w:r>
      <w:bookmarkEnd w:id="49"/>
      <w:bookmarkEnd w:id="50"/>
      <w:bookmarkEnd w:id="51"/>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416BE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ED4441">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ED4441">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ED4441">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ED4441">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ED4441">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6"/>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2" w:name="_Toc224138591"/>
      <w:r w:rsidRPr="00220BD0">
        <w:rPr>
          <w:rFonts w:cs="Arial"/>
          <w:sz w:val="24"/>
        </w:rPr>
        <w:lastRenderedPageBreak/>
        <w:t xml:space="preserve">E.  </w:t>
      </w:r>
      <w:bookmarkStart w:id="53" w:name="_Toc442267695"/>
      <w:r w:rsidRPr="00220BD0">
        <w:rPr>
          <w:rFonts w:cs="Arial"/>
          <w:sz w:val="24"/>
        </w:rPr>
        <w:t>ELIGIBILITY</w:t>
      </w:r>
      <w:bookmarkEnd w:id="53"/>
      <w:bookmarkEnd w:id="52"/>
    </w:p>
    <w:p w14:paraId="5DAB0DE7" w14:textId="77777777" w:rsidR="007E5B12" w:rsidRPr="00220BD0" w:rsidRDefault="004655E0" w:rsidP="006672EA">
      <w:pPr>
        <w:pStyle w:val="Heading3"/>
        <w:jc w:val="both"/>
        <w:rPr>
          <w:rFonts w:cs="Arial"/>
          <w:sz w:val="24"/>
          <w:szCs w:val="24"/>
        </w:rPr>
      </w:pPr>
      <w:bookmarkStart w:id="54" w:name="_Toc224138592"/>
      <w:r w:rsidRPr="00220BD0">
        <w:rPr>
          <w:rFonts w:cs="Arial"/>
          <w:sz w:val="24"/>
          <w:szCs w:val="24"/>
        </w:rPr>
        <w:t xml:space="preserve">OMB </w:t>
      </w:r>
      <w:r w:rsidR="007E5B12" w:rsidRPr="00220BD0">
        <w:rPr>
          <w:rFonts w:cs="Arial"/>
          <w:sz w:val="24"/>
          <w:szCs w:val="24"/>
        </w:rPr>
        <w:t>Compliance Requirements</w:t>
      </w:r>
      <w:bookmarkEnd w:id="54"/>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0351ED2D"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AB5C3A">
        <w:rPr>
          <w:rFonts w:ascii="Arial" w:hAnsi="Arial" w:cs="Arial"/>
          <w:bCs/>
        </w:rPr>
        <w:t>2025</w:t>
      </w:r>
      <w:r w:rsidR="00AB5C3A" w:rsidRPr="00EA2CA3">
        <w:rPr>
          <w:rFonts w:ascii="Arial" w:hAnsi="Arial" w:cs="Arial"/>
          <w:bCs/>
        </w:rPr>
        <w:t xml:space="preserve"> </w:t>
      </w:r>
      <w:r w:rsidRPr="00EA2CA3">
        <w:rPr>
          <w:rFonts w:ascii="Arial" w:hAnsi="Arial" w:cs="Arial"/>
          <w:bCs/>
        </w:rPr>
        <w:t>OMB Compliance Supplement.</w:t>
      </w:r>
    </w:p>
    <w:p w14:paraId="0BC66884" w14:textId="77777777" w:rsidR="00E039F3" w:rsidRPr="00220BD0" w:rsidRDefault="00E039F3" w:rsidP="006672EA">
      <w:pPr>
        <w:pStyle w:val="Heading3"/>
        <w:jc w:val="both"/>
        <w:rPr>
          <w:rFonts w:cs="Arial"/>
          <w:sz w:val="24"/>
          <w:szCs w:val="24"/>
        </w:rPr>
      </w:pPr>
      <w:bookmarkStart w:id="55" w:name="_Toc224138593"/>
      <w:r w:rsidRPr="00220BD0">
        <w:rPr>
          <w:rFonts w:cs="Arial"/>
          <w:sz w:val="24"/>
          <w:szCs w:val="24"/>
        </w:rPr>
        <w:t>Additional Program Specific Information</w:t>
      </w:r>
      <w:bookmarkEnd w:id="55"/>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23A1EAFD"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0BAD7EED" w14:textId="622D6DA6"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6" w:name="_Toc224138594"/>
      <w:r w:rsidRPr="00220BD0">
        <w:rPr>
          <w:rFonts w:cs="Arial"/>
          <w:sz w:val="24"/>
          <w:szCs w:val="24"/>
        </w:rPr>
        <w:t xml:space="preserve">Audit Objectives </w:t>
      </w:r>
      <w:r w:rsidR="001F23FF" w:rsidRPr="00220BD0">
        <w:rPr>
          <w:rFonts w:cs="Arial"/>
          <w:sz w:val="24"/>
          <w:szCs w:val="24"/>
        </w:rPr>
        <w:t>and Control Testing</w:t>
      </w:r>
      <w:bookmarkEnd w:id="56"/>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7" w:name="_Toc22413859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8" w:name="_Toc224138596"/>
      <w:r w:rsidRPr="00220BD0">
        <w:rPr>
          <w:rFonts w:cs="Arial"/>
          <w:sz w:val="24"/>
          <w:szCs w:val="24"/>
        </w:rPr>
        <w:lastRenderedPageBreak/>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E0DAB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ED4441">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ED4441">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ED4441">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ED4441">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ED4441">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8"/>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59" w:name="_Toc224138597"/>
      <w:r w:rsidRPr="00220BD0">
        <w:rPr>
          <w:rFonts w:cs="Arial"/>
          <w:sz w:val="24"/>
        </w:rPr>
        <w:lastRenderedPageBreak/>
        <w:t xml:space="preserve">F.  </w:t>
      </w:r>
      <w:bookmarkStart w:id="60" w:name="_Toc442267696"/>
      <w:r w:rsidRPr="00220BD0">
        <w:rPr>
          <w:rFonts w:cs="Arial"/>
          <w:sz w:val="24"/>
        </w:rPr>
        <w:t>EQUIPMENT AND REAL PROPERTY MANAGEMENT</w:t>
      </w:r>
      <w:bookmarkEnd w:id="60"/>
      <w:bookmarkEnd w:id="59"/>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1" w:name="_Toc224138598"/>
      <w:r w:rsidRPr="00925AAE">
        <w:rPr>
          <w:sz w:val="24"/>
          <w:szCs w:val="24"/>
        </w:rPr>
        <w:t>OMB Compliance Requirements</w:t>
      </w:r>
      <w:bookmarkEnd w:id="61"/>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ED4441">
      <w:pPr>
        <w:pStyle w:val="ListParagraph"/>
        <w:numPr>
          <w:ilvl w:val="2"/>
          <w:numId w:val="46"/>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ED4441">
      <w:pPr>
        <w:pStyle w:val="ListParagraph"/>
        <w:numPr>
          <w:ilvl w:val="2"/>
          <w:numId w:val="46"/>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ED4441">
      <w:pPr>
        <w:pStyle w:val="ListParagraph"/>
        <w:numPr>
          <w:ilvl w:val="2"/>
          <w:numId w:val="46"/>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ED4441">
      <w:pPr>
        <w:pStyle w:val="ListParagraph"/>
        <w:numPr>
          <w:ilvl w:val="2"/>
          <w:numId w:val="46"/>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ED4441">
      <w:pPr>
        <w:pStyle w:val="ListParagraph"/>
        <w:numPr>
          <w:ilvl w:val="2"/>
          <w:numId w:val="46"/>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ED4441">
      <w:pPr>
        <w:pStyle w:val="ListParagraph"/>
        <w:numPr>
          <w:ilvl w:val="2"/>
          <w:numId w:val="46"/>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ED4441">
      <w:pPr>
        <w:pStyle w:val="ListParagraph"/>
        <w:numPr>
          <w:ilvl w:val="2"/>
          <w:numId w:val="46"/>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F585A15"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59"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ED444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ED444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ED444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ED4441">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35CD0CC"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0"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7904983B"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AB5C3A">
        <w:rPr>
          <w:rFonts w:ascii="Arial" w:hAnsi="Arial" w:cs="Arial"/>
          <w:bCs/>
        </w:rPr>
        <w:t>2025</w:t>
      </w:r>
      <w:r w:rsidR="00AB5C3A" w:rsidRPr="00EA2CA3">
        <w:rPr>
          <w:rFonts w:ascii="Arial" w:hAnsi="Arial" w:cs="Arial"/>
          <w:bCs/>
        </w:rPr>
        <w:t xml:space="preserve"> </w:t>
      </w:r>
      <w:r w:rsidRPr="00EA2CA3">
        <w:rPr>
          <w:rFonts w:ascii="Arial" w:hAnsi="Arial" w:cs="Arial"/>
          <w:bCs/>
        </w:rPr>
        <w:t>OMB Compliance Supplement.</w:t>
      </w:r>
    </w:p>
    <w:p w14:paraId="4D6A77FC" w14:textId="77777777" w:rsidR="00E039F3" w:rsidRPr="00220BD0" w:rsidRDefault="00E039F3" w:rsidP="006672EA">
      <w:pPr>
        <w:pStyle w:val="Heading3"/>
        <w:jc w:val="both"/>
        <w:rPr>
          <w:rFonts w:cs="Arial"/>
          <w:sz w:val="24"/>
          <w:szCs w:val="24"/>
        </w:rPr>
      </w:pPr>
      <w:bookmarkStart w:id="62" w:name="_Toc224138599"/>
      <w:r w:rsidRPr="00220BD0">
        <w:rPr>
          <w:rFonts w:cs="Arial"/>
          <w:sz w:val="24"/>
          <w:szCs w:val="24"/>
        </w:rPr>
        <w:t>Additional Program Specific Information</w:t>
      </w:r>
      <w:bookmarkEnd w:id="62"/>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1E378139"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7A3ACD70" w14:textId="37533780"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43F46E" w14:textId="4B0F8F12" w:rsidR="00A671A3" w:rsidRPr="00A671A3" w:rsidRDefault="00A671A3" w:rsidP="00C472D5">
      <w:pPr>
        <w:autoSpaceDE w:val="0"/>
        <w:autoSpaceDN w:val="0"/>
        <w:adjustRightInd w:val="0"/>
        <w:spacing w:after="240"/>
        <w:jc w:val="both"/>
        <w:rPr>
          <w:rFonts w:ascii="Arial" w:hAnsi="Arial" w:cs="Arial"/>
        </w:rPr>
      </w:pPr>
      <w:r w:rsidRPr="00A671A3">
        <w:rPr>
          <w:rFonts w:ascii="Arial" w:hAnsi="Arial" w:cs="Arial"/>
        </w:rPr>
        <w:t xml:space="preserve">Required </w:t>
      </w:r>
      <w:r>
        <w:rPr>
          <w:rFonts w:ascii="Arial" w:hAnsi="Arial" w:cs="Arial"/>
        </w:rPr>
        <w:t>per Section A-2.2 of the Application Guide – Required Application Components</w:t>
      </w:r>
      <w:r w:rsidRPr="00A671A3">
        <w:rPr>
          <w:rFonts w:ascii="Arial" w:hAnsi="Arial" w:cs="Arial"/>
        </w:rPr>
        <w:t>:</w:t>
      </w:r>
    </w:p>
    <w:p w14:paraId="344148A6" w14:textId="13728423" w:rsidR="00C472D5" w:rsidRPr="00C472D5" w:rsidRDefault="00C472D5" w:rsidP="00C472D5">
      <w:pPr>
        <w:autoSpaceDE w:val="0"/>
        <w:autoSpaceDN w:val="0"/>
        <w:adjustRightInd w:val="0"/>
        <w:spacing w:after="240"/>
        <w:jc w:val="both"/>
        <w:rPr>
          <w:rFonts w:ascii="Arial" w:hAnsi="Arial" w:cs="Arial"/>
        </w:rPr>
      </w:pPr>
      <w:r w:rsidRPr="00C81943">
        <w:rPr>
          <w:rFonts w:ascii="Arial" w:hAnsi="Arial" w:cs="Arial"/>
          <w:u w:val="single"/>
        </w:rPr>
        <w:lastRenderedPageBreak/>
        <w:t>Equipment</w:t>
      </w:r>
      <w:r w:rsidRPr="000800EA">
        <w:rPr>
          <w:rFonts w:ascii="Arial" w:hAnsi="Arial" w:cs="Arial"/>
        </w:rPr>
        <w:t>: List equipment costs and provide justification for the need for the equipment to carry out the program’s goals. Extensive justification and a detailed status of current equipment must be provided when requesting funds for the purchase of items that meet the definition of equipment (</w:t>
      </w:r>
      <w:r w:rsidRPr="00651D5E">
        <w:rPr>
          <w:rFonts w:ascii="Arial" w:hAnsi="Arial" w:cs="Arial"/>
        </w:rPr>
        <w:t>a useful life of more than one year and a per-unit acquisition cost that equals or exceeds the lesser of the capitalization level established by the recipient or subrecipient for financial statement purposes, or $10,000.</w:t>
      </w:r>
      <w:r w:rsidRPr="000800EA">
        <w:rPr>
          <w:rFonts w:ascii="Arial" w:hAnsi="Arial" w:cs="Arial"/>
        </w:rPr>
        <w:t xml:space="preserve">). For example, large items of medical equipment. </w:t>
      </w:r>
    </w:p>
    <w:p w14:paraId="353ADF0C" w14:textId="77777777" w:rsidR="00C472D5" w:rsidRDefault="00C472D5" w:rsidP="00ED4441">
      <w:pPr>
        <w:spacing w:after="240"/>
        <w:jc w:val="both"/>
        <w:rPr>
          <w:rFonts w:ascii="Arial" w:hAnsi="Arial" w:cs="Arial"/>
        </w:rPr>
      </w:pPr>
      <w:r w:rsidRPr="00C472D5">
        <w:rPr>
          <w:rFonts w:ascii="Arial" w:hAnsi="Arial" w:cs="Arial"/>
          <w:u w:val="single"/>
        </w:rPr>
        <w:t>Supplies</w:t>
      </w:r>
      <w:r w:rsidRPr="00C472D5">
        <w:rPr>
          <w:rFonts w:ascii="Arial" w:hAnsi="Arial" w:cs="Arial"/>
        </w:rPr>
        <w:t xml:space="preserve">: List of the items that the project will use to implement the proposed project. Items must be listed separately: office supplies (e.g., paper, pencils). </w:t>
      </w:r>
    </w:p>
    <w:p w14:paraId="4E133FD0" w14:textId="56EB7DD0" w:rsidR="00ED4441" w:rsidRPr="00AC618B" w:rsidRDefault="00C472D5" w:rsidP="00ED4441">
      <w:pPr>
        <w:spacing w:after="240"/>
        <w:jc w:val="both"/>
        <w:rPr>
          <w:rFonts w:ascii="Arial" w:hAnsi="Arial" w:cs="Arial"/>
          <w:b/>
          <w:i/>
        </w:rPr>
      </w:pPr>
      <w:r w:rsidRPr="00C472D5">
        <w:rPr>
          <w:rFonts w:ascii="Arial" w:hAnsi="Arial" w:cs="Arial"/>
          <w:bCs/>
          <w:i/>
        </w:rPr>
        <w:t xml:space="preserve">(Source: State Opioid Response </w:t>
      </w:r>
      <w:r w:rsidRPr="00AC618B">
        <w:rPr>
          <w:rFonts w:ascii="Arial" w:hAnsi="Arial" w:cs="Arial"/>
          <w:bCs/>
          <w:i/>
        </w:rPr>
        <w:t xml:space="preserve">Grants, </w:t>
      </w:r>
      <w:hyperlink r:id="rId61" w:history="1">
        <w:r w:rsidRPr="00AC618B">
          <w:rPr>
            <w:rStyle w:val="Hyperlink"/>
            <w:rFonts w:cs="Arial"/>
            <w:i/>
          </w:rPr>
          <w:t>https://www.samhsa.gov/grants/grant-announcements/ti-24-008</w:t>
        </w:r>
      </w:hyperlink>
      <w:r w:rsidR="00A671A3" w:rsidRPr="00AC618B">
        <w:rPr>
          <w:rFonts w:ascii="Arial" w:hAnsi="Arial" w:cs="Arial"/>
          <w:bCs/>
          <w:i/>
        </w:rPr>
        <w:t xml:space="preserve"> </w:t>
      </w:r>
      <w:r w:rsidR="00AB5C3A" w:rsidRPr="00AC618B">
        <w:rPr>
          <w:rFonts w:ascii="Arial" w:hAnsi="Arial" w:cs="Arial"/>
          <w:i/>
        </w:rPr>
        <w:t>and Dex Stanger Chief Fiscal Officer, Ohio Department of Behavioral Health, February 23, 2026</w:t>
      </w:r>
      <w:r w:rsidRPr="00AC618B">
        <w:rPr>
          <w:rFonts w:ascii="Arial" w:hAnsi="Arial" w:cs="Arial"/>
          <w:bCs/>
          <w:i/>
        </w:rPr>
        <w:t>)</w:t>
      </w:r>
    </w:p>
    <w:p w14:paraId="6869D9D8" w14:textId="77777777" w:rsidR="008B3524" w:rsidRPr="00220BD0" w:rsidRDefault="00205793" w:rsidP="006672EA">
      <w:pPr>
        <w:pStyle w:val="Heading3"/>
        <w:jc w:val="both"/>
        <w:rPr>
          <w:rFonts w:cs="Arial"/>
          <w:bCs/>
          <w:sz w:val="24"/>
          <w:szCs w:val="24"/>
        </w:rPr>
      </w:pPr>
      <w:bookmarkStart w:id="63" w:name="_Toc224138600"/>
      <w:r w:rsidRPr="00220BD0">
        <w:rPr>
          <w:rFonts w:cs="Arial"/>
          <w:sz w:val="24"/>
          <w:szCs w:val="24"/>
        </w:rPr>
        <w:t xml:space="preserve">Audit Objectives </w:t>
      </w:r>
      <w:r w:rsidR="008B3524" w:rsidRPr="00220BD0">
        <w:rPr>
          <w:rFonts w:cs="Arial"/>
          <w:sz w:val="24"/>
          <w:szCs w:val="24"/>
        </w:rPr>
        <w:t>and Control Testing</w:t>
      </w:r>
      <w:bookmarkEnd w:id="63"/>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4" w:name="_Toc224138601"/>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 xml:space="preserve">For dispositions of real property acquired or improved under federal awards, perform procedures to verify that the recipient or subrecipient followed the instructions of the </w:t>
            </w:r>
            <w:r w:rsidR="005D5ABF" w:rsidRPr="005D5ABF">
              <w:rPr>
                <w:rFonts w:ascii="Arial" w:hAnsi="Arial" w:cs="Arial"/>
                <w:sz w:val="20"/>
              </w:rPr>
              <w:lastRenderedPageBreak/>
              <w:t>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5" w:name="_Toc224138602"/>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2AB9882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ED4441">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ED4441">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ED4441">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ED4441">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ED4441">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3"/>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66" w:name="_Toc224138603"/>
      <w:r w:rsidRPr="00220BD0">
        <w:rPr>
          <w:rFonts w:cs="Arial"/>
          <w:sz w:val="24"/>
        </w:rPr>
        <w:lastRenderedPageBreak/>
        <w:t xml:space="preserve">G.  </w:t>
      </w:r>
      <w:bookmarkStart w:id="67" w:name="_Toc442267697"/>
      <w:r w:rsidR="005D5ABF" w:rsidRPr="005D5ABF">
        <w:rPr>
          <w:rFonts w:cs="Arial"/>
          <w:sz w:val="24"/>
        </w:rPr>
        <w:t>COST SHARING (including MATCHING), LEVEL OF EFFORT, EARMARKING</w:t>
      </w:r>
      <w:bookmarkEnd w:id="67"/>
      <w:bookmarkEnd w:id="66"/>
    </w:p>
    <w:p w14:paraId="59C904A6" w14:textId="707FA18F" w:rsidR="00223898" w:rsidRPr="00220BD0" w:rsidRDefault="004655E0" w:rsidP="006672EA">
      <w:pPr>
        <w:pStyle w:val="Heading3"/>
        <w:jc w:val="both"/>
        <w:rPr>
          <w:rFonts w:cs="Arial"/>
          <w:sz w:val="24"/>
          <w:szCs w:val="24"/>
        </w:rPr>
      </w:pPr>
      <w:bookmarkStart w:id="68" w:name="_Toc224138604"/>
      <w:r w:rsidRPr="00220BD0">
        <w:rPr>
          <w:rFonts w:cs="Arial"/>
          <w:sz w:val="24"/>
          <w:szCs w:val="24"/>
        </w:rPr>
        <w:t xml:space="preserve">OMB </w:t>
      </w:r>
      <w:r w:rsidR="00223898" w:rsidRPr="00220BD0">
        <w:rPr>
          <w:rFonts w:cs="Arial"/>
          <w:sz w:val="24"/>
          <w:szCs w:val="24"/>
        </w:rPr>
        <w:t>Compliance Requirements</w:t>
      </w:r>
      <w:bookmarkEnd w:id="68"/>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ED4441">
      <w:pPr>
        <w:pStyle w:val="ListParagraph"/>
        <w:numPr>
          <w:ilvl w:val="1"/>
          <w:numId w:val="34"/>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ED4441">
      <w:pPr>
        <w:pStyle w:val="ListParagraph"/>
        <w:numPr>
          <w:ilvl w:val="1"/>
          <w:numId w:val="34"/>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ED4441">
      <w:pPr>
        <w:pStyle w:val="ListParagraph"/>
        <w:numPr>
          <w:ilvl w:val="1"/>
          <w:numId w:val="34"/>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ED4441">
      <w:pPr>
        <w:pStyle w:val="ListParagraph"/>
        <w:numPr>
          <w:ilvl w:val="1"/>
          <w:numId w:val="34"/>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ED4441">
      <w:pPr>
        <w:pStyle w:val="ListParagraph"/>
        <w:numPr>
          <w:ilvl w:val="1"/>
          <w:numId w:val="34"/>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ED4441">
      <w:pPr>
        <w:pStyle w:val="ListParagraph"/>
        <w:numPr>
          <w:ilvl w:val="1"/>
          <w:numId w:val="34"/>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234674D9"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AB5C3A">
        <w:rPr>
          <w:rFonts w:ascii="Arial" w:hAnsi="Arial" w:cs="Arial"/>
          <w:bCs/>
        </w:rPr>
        <w:t>2025</w:t>
      </w:r>
      <w:r w:rsidR="00AB5C3A" w:rsidRPr="00EA2CA3">
        <w:rPr>
          <w:rFonts w:ascii="Arial" w:hAnsi="Arial" w:cs="Arial"/>
          <w:bCs/>
        </w:rPr>
        <w:t xml:space="preserve"> </w:t>
      </w:r>
      <w:r w:rsidRPr="00EA2CA3">
        <w:rPr>
          <w:rFonts w:ascii="Arial" w:hAnsi="Arial" w:cs="Arial"/>
          <w:bCs/>
        </w:rPr>
        <w:t>OMB Compliance Supplement.</w:t>
      </w:r>
    </w:p>
    <w:p w14:paraId="30831737" w14:textId="77777777" w:rsidR="00FC7102" w:rsidRPr="00220BD0" w:rsidRDefault="00FC7102" w:rsidP="006672EA">
      <w:pPr>
        <w:pStyle w:val="Heading3"/>
        <w:jc w:val="both"/>
        <w:rPr>
          <w:rFonts w:cs="Arial"/>
          <w:sz w:val="24"/>
          <w:szCs w:val="24"/>
        </w:rPr>
      </w:pPr>
      <w:bookmarkStart w:id="69" w:name="_Toc224138605"/>
      <w:r w:rsidRPr="00220BD0">
        <w:rPr>
          <w:rFonts w:cs="Arial"/>
          <w:sz w:val="24"/>
          <w:szCs w:val="24"/>
        </w:rPr>
        <w:t>Additional Program Specific Information</w:t>
      </w:r>
      <w:bookmarkEnd w:id="69"/>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30755356"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6A337E69" w14:textId="1F329130"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2E52700" w14:textId="77777777" w:rsidR="00C472D5" w:rsidRDefault="00C472D5" w:rsidP="00C472D5">
      <w:pPr>
        <w:spacing w:after="240"/>
        <w:jc w:val="both"/>
        <w:rPr>
          <w:rFonts w:ascii="Arial" w:hAnsi="Arial" w:cs="Arial"/>
        </w:rPr>
      </w:pPr>
      <w:r>
        <w:rPr>
          <w:rFonts w:ascii="Arial" w:hAnsi="Arial" w:cs="Arial"/>
          <w:i/>
        </w:rPr>
        <w:t>Cost Sharing and Matching Requirements</w:t>
      </w:r>
      <w:r w:rsidRPr="0022014F">
        <w:rPr>
          <w:rFonts w:ascii="Arial" w:hAnsi="Arial" w:cs="Arial"/>
        </w:rPr>
        <w:t xml:space="preserve"> </w:t>
      </w:r>
    </w:p>
    <w:p w14:paraId="3C1615C6" w14:textId="77777777" w:rsidR="00C472D5" w:rsidRPr="0022014F" w:rsidRDefault="00C472D5" w:rsidP="00C472D5">
      <w:pPr>
        <w:spacing w:after="240"/>
        <w:jc w:val="both"/>
        <w:rPr>
          <w:rFonts w:ascii="Arial" w:hAnsi="Arial" w:cs="Arial"/>
        </w:rPr>
      </w:pPr>
      <w:r w:rsidRPr="0022014F">
        <w:rPr>
          <w:rFonts w:ascii="Arial" w:hAnsi="Arial" w:cs="Arial"/>
        </w:rPr>
        <w:t>Cost sharing/match is not required in this program.</w:t>
      </w:r>
    </w:p>
    <w:p w14:paraId="364E208D" w14:textId="77777777" w:rsidR="00C472D5" w:rsidRPr="0022014F" w:rsidRDefault="00C472D5" w:rsidP="00C472D5">
      <w:pPr>
        <w:spacing w:after="240"/>
        <w:jc w:val="both"/>
        <w:rPr>
          <w:rFonts w:ascii="Arial" w:hAnsi="Arial" w:cs="Arial"/>
          <w:i/>
        </w:rPr>
      </w:pPr>
      <w:r w:rsidRPr="0022014F">
        <w:rPr>
          <w:rFonts w:ascii="Arial" w:hAnsi="Arial" w:cs="Arial"/>
          <w:i/>
        </w:rPr>
        <w:t>Supplement Not Supplant</w:t>
      </w:r>
    </w:p>
    <w:p w14:paraId="6E438FF8" w14:textId="77777777" w:rsidR="00C472D5" w:rsidRPr="0022014F" w:rsidRDefault="00C472D5" w:rsidP="00C472D5">
      <w:pPr>
        <w:spacing w:after="240"/>
        <w:jc w:val="both"/>
        <w:rPr>
          <w:rFonts w:ascii="Arial" w:hAnsi="Arial" w:cs="Arial"/>
        </w:rPr>
      </w:pPr>
      <w:r w:rsidRPr="0022014F">
        <w:rPr>
          <w:rFonts w:ascii="Arial" w:hAnsi="Arial" w:cs="Arial"/>
        </w:rPr>
        <w:t>Grant funds may be used to supplement existing activities. Grant funds may not be used to supplant current funding of existing activities. “Supplant” is defined as replacing funding of a recipient’s existing program with funds from a federal grant</w:t>
      </w:r>
      <w:r w:rsidRPr="009F69B0">
        <w:t xml:space="preserve"> </w:t>
      </w:r>
      <w:r w:rsidRPr="009F69B0">
        <w:rPr>
          <w:rFonts w:ascii="Arial" w:hAnsi="Arial" w:cs="Arial"/>
        </w:rPr>
        <w:t>(2 CFR Part 200, Appendix XI).</w:t>
      </w:r>
      <w:r w:rsidRPr="0022014F">
        <w:rPr>
          <w:rFonts w:ascii="Arial" w:hAnsi="Arial" w:cs="Arial"/>
        </w:rPr>
        <w:t xml:space="preserve"> </w:t>
      </w:r>
    </w:p>
    <w:p w14:paraId="1939B22D" w14:textId="106A1ABD" w:rsidR="00ED4441" w:rsidRPr="00C472D5" w:rsidRDefault="00C472D5" w:rsidP="00ED4441">
      <w:pPr>
        <w:spacing w:after="240"/>
        <w:jc w:val="both"/>
        <w:rPr>
          <w:rFonts w:ascii="Arial" w:hAnsi="Arial" w:cs="Arial"/>
          <w:b/>
        </w:rPr>
      </w:pPr>
      <w:r w:rsidRPr="00AB5C3A">
        <w:rPr>
          <w:rFonts w:ascii="Arial" w:hAnsi="Arial" w:cs="Arial"/>
          <w:bCs/>
          <w:i/>
          <w:iCs/>
        </w:rPr>
        <w:t>(Source: State Opioid Response Grants</w:t>
      </w:r>
      <w:r w:rsidR="00AB5C3A" w:rsidRPr="00AB5C3A">
        <w:rPr>
          <w:rFonts w:ascii="Arial" w:hAnsi="Arial" w:cs="Arial"/>
          <w:bCs/>
          <w:i/>
          <w:iCs/>
        </w:rPr>
        <w:t xml:space="preserve"> </w:t>
      </w:r>
      <w:hyperlink r:id="rId64" w:history="1">
        <w:r w:rsidRPr="00AB5C3A">
          <w:rPr>
            <w:rStyle w:val="Hyperlink"/>
            <w:rFonts w:cs="Arial"/>
            <w:i/>
            <w:iCs/>
          </w:rPr>
          <w:t>https://www.samhsa.gov/grants/grant-announcements/ti-24-008</w:t>
        </w:r>
      </w:hyperlink>
      <w:r w:rsidRPr="00AB5C3A">
        <w:rPr>
          <w:rFonts w:ascii="Arial" w:hAnsi="Arial" w:cs="Arial"/>
          <w:bCs/>
          <w:i/>
          <w:iCs/>
        </w:rPr>
        <w:t>, page 30</w:t>
      </w:r>
      <w:r w:rsidR="00AB5C3A" w:rsidRPr="00AB5C3A">
        <w:rPr>
          <w:rFonts w:ascii="Arial" w:hAnsi="Arial" w:cs="Arial"/>
          <w:bCs/>
          <w:i/>
          <w:iCs/>
        </w:rPr>
        <w:t xml:space="preserve"> and</w:t>
      </w:r>
      <w:r w:rsidR="00AB5C3A" w:rsidRPr="00AB5C3A">
        <w:rPr>
          <w:rFonts w:ascii="Arial" w:hAnsi="Arial" w:cs="Arial"/>
          <w:i/>
          <w:iCs/>
        </w:rPr>
        <w:t xml:space="preserve"> Dex Stanger Chief Fiscal Officer, Ohio Department of Behavioral Health, February 23, 2026</w:t>
      </w:r>
      <w:r w:rsidRPr="00AB5C3A">
        <w:rPr>
          <w:rFonts w:ascii="Arial" w:hAnsi="Arial" w:cs="Arial"/>
          <w:bCs/>
          <w:i/>
          <w:iCs/>
        </w:rPr>
        <w:t>)</w:t>
      </w:r>
    </w:p>
    <w:p w14:paraId="7577CBCE" w14:textId="77777777" w:rsidR="0038712E" w:rsidRPr="00220BD0" w:rsidRDefault="00205793" w:rsidP="006672EA">
      <w:pPr>
        <w:pStyle w:val="Heading3"/>
        <w:jc w:val="both"/>
        <w:rPr>
          <w:rFonts w:cs="Arial"/>
          <w:bCs/>
          <w:sz w:val="24"/>
          <w:szCs w:val="24"/>
        </w:rPr>
      </w:pPr>
      <w:bookmarkStart w:id="70" w:name="_Toc224138606"/>
      <w:r w:rsidRPr="00220BD0">
        <w:rPr>
          <w:rFonts w:cs="Arial"/>
          <w:sz w:val="24"/>
          <w:szCs w:val="24"/>
        </w:rPr>
        <w:t xml:space="preserve">Audit Objectives </w:t>
      </w:r>
      <w:r w:rsidR="0038712E" w:rsidRPr="00220BD0">
        <w:rPr>
          <w:rFonts w:cs="Arial"/>
          <w:sz w:val="24"/>
          <w:szCs w:val="24"/>
        </w:rPr>
        <w:t>and Control Testing</w:t>
      </w:r>
      <w:bookmarkEnd w:id="70"/>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lastRenderedPageBreak/>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1" w:name="_Toc22413860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1"/>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5190863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ED4441">
              <w:rPr>
                <w:rFonts w:ascii="Arial" w:hAnsi="Arial" w:cs="Arial"/>
                <w:b/>
                <w:bCs/>
                <w:sz w:val="20"/>
              </w:rPr>
              <w:t xml:space="preserve"> </w:t>
            </w:r>
            <w:r w:rsidR="00ED4441" w:rsidRPr="00C85CEE">
              <w:rPr>
                <w:rFonts w:ascii="Arial" w:hAnsi="Arial" w:cs="Arial"/>
                <w:i/>
                <w:iCs/>
                <w:color w:val="002060"/>
                <w:sz w:val="20"/>
              </w:rPr>
              <w:t>– Not Applicable</w:t>
            </w:r>
            <w:r w:rsidR="00ED4441">
              <w:rPr>
                <w:rFonts w:ascii="Arial" w:hAnsi="Arial" w:cs="Arial"/>
                <w:i/>
                <w:iCs/>
                <w:color w:val="002060"/>
                <w:sz w:val="20"/>
              </w:rPr>
              <w:t xml:space="preserve"> per </w:t>
            </w:r>
            <w:r w:rsidR="00AB5C3A">
              <w:rPr>
                <w:rFonts w:ascii="Arial" w:hAnsi="Arial" w:cs="Arial"/>
                <w:i/>
                <w:iCs/>
                <w:color w:val="002060"/>
                <w:sz w:val="20"/>
              </w:rPr>
              <w:t xml:space="preserve">Ohio Department of Behavioral Health </w:t>
            </w:r>
            <w:r w:rsidR="00ED4441">
              <w:rPr>
                <w:rFonts w:ascii="Arial" w:hAnsi="Arial" w:cs="Arial"/>
                <w:i/>
                <w:iCs/>
                <w:color w:val="002060"/>
                <w:sz w:val="20"/>
              </w:rPr>
              <w:t>Guidance; However, Auditors Need to Test Matching Steps if Grant or Entity-Specific Guidance Includes Matching Requirements</w:t>
            </w:r>
            <w:r w:rsidR="00AB5C3A">
              <w:rPr>
                <w:rFonts w:ascii="Arial" w:hAnsi="Arial" w:cs="Arial"/>
                <w:i/>
                <w:iCs/>
                <w:color w:val="002060"/>
                <w:sz w:val="20"/>
              </w:rPr>
              <w:t>.</w:t>
            </w:r>
          </w:p>
          <w:p w14:paraId="19C8301A" w14:textId="77777777" w:rsidR="00C30AA9" w:rsidRPr="009A75F1" w:rsidRDefault="00C30AA9" w:rsidP="00ED4441">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ED4441">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ED4441">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ED4441">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lastRenderedPageBreak/>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2" w:name="_Toc224138608"/>
      <w:r w:rsidRPr="00220BD0">
        <w:rPr>
          <w:rFonts w:cs="Arial"/>
          <w:sz w:val="24"/>
          <w:szCs w:val="24"/>
        </w:rPr>
        <w:t>Audit Implications Summary</w:t>
      </w:r>
      <w:bookmarkEnd w:id="72"/>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2F6E5B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ED4441">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ED4441">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ED4441">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ED4441">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ED4441">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3" w:name="_Toc442267698"/>
      <w:bookmarkStart w:id="74" w:name="_Toc224138609"/>
      <w:r w:rsidRPr="00220BD0">
        <w:rPr>
          <w:rFonts w:cs="Arial"/>
          <w:sz w:val="24"/>
        </w:rPr>
        <w:lastRenderedPageBreak/>
        <w:t xml:space="preserve">H.  PERIOD </w:t>
      </w:r>
      <w:r w:rsidR="00F12052" w:rsidRPr="00220BD0">
        <w:rPr>
          <w:rFonts w:cs="Arial"/>
          <w:sz w:val="24"/>
        </w:rPr>
        <w:t>OF PERFORMANCE</w:t>
      </w:r>
      <w:bookmarkEnd w:id="73"/>
      <w:bookmarkEnd w:id="74"/>
    </w:p>
    <w:p w14:paraId="07D5A30C" w14:textId="635B47C0" w:rsidR="007E5B12" w:rsidRPr="00220BD0" w:rsidRDefault="004655E0" w:rsidP="006672EA">
      <w:pPr>
        <w:pStyle w:val="Heading3"/>
        <w:jc w:val="both"/>
        <w:rPr>
          <w:rFonts w:cs="Arial"/>
          <w:sz w:val="24"/>
          <w:szCs w:val="24"/>
        </w:rPr>
      </w:pPr>
      <w:bookmarkStart w:id="75" w:name="_Toc224138610"/>
      <w:r w:rsidRPr="00220BD0">
        <w:rPr>
          <w:rFonts w:cs="Arial"/>
          <w:sz w:val="24"/>
          <w:szCs w:val="24"/>
        </w:rPr>
        <w:t xml:space="preserve">OMB </w:t>
      </w:r>
      <w:r w:rsidR="007E5B12" w:rsidRPr="00220BD0">
        <w:rPr>
          <w:rFonts w:cs="Arial"/>
          <w:sz w:val="24"/>
          <w:szCs w:val="24"/>
        </w:rPr>
        <w:t>Compliance Requirements</w:t>
      </w:r>
      <w:bookmarkEnd w:id="75"/>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307A1013"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AB5C3A">
        <w:rPr>
          <w:rFonts w:ascii="Arial" w:hAnsi="Arial" w:cs="Arial"/>
          <w:bCs/>
        </w:rPr>
        <w:t>2025</w:t>
      </w:r>
      <w:r w:rsidR="00AB5C3A" w:rsidRPr="00EA2CA3">
        <w:rPr>
          <w:rFonts w:ascii="Arial" w:hAnsi="Arial" w:cs="Arial"/>
          <w:bCs/>
        </w:rPr>
        <w:t xml:space="preserve"> </w:t>
      </w:r>
      <w:r w:rsidRPr="00EA2CA3">
        <w:rPr>
          <w:rFonts w:ascii="Arial" w:hAnsi="Arial" w:cs="Arial"/>
          <w:bCs/>
        </w:rPr>
        <w:t>OMB Compliance Supplement.</w:t>
      </w:r>
    </w:p>
    <w:p w14:paraId="620B48E1" w14:textId="77777777" w:rsidR="00FC7102" w:rsidRPr="00220BD0" w:rsidRDefault="00FC7102" w:rsidP="006672EA">
      <w:pPr>
        <w:pStyle w:val="Heading3"/>
        <w:jc w:val="both"/>
        <w:rPr>
          <w:rFonts w:cs="Arial"/>
          <w:sz w:val="24"/>
          <w:szCs w:val="24"/>
        </w:rPr>
      </w:pPr>
      <w:bookmarkStart w:id="76" w:name="_Toc224138611"/>
      <w:r w:rsidRPr="00220BD0">
        <w:rPr>
          <w:rFonts w:cs="Arial"/>
          <w:sz w:val="24"/>
          <w:szCs w:val="24"/>
        </w:rPr>
        <w:t>Additional Program Specific Information</w:t>
      </w:r>
      <w:bookmarkEnd w:id="76"/>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4B0AD9D8"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6362E798" w14:textId="1F49933A"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C472D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C6E3BD8" w14:textId="77777777" w:rsidR="00C472D5" w:rsidRPr="00C472D5" w:rsidRDefault="00C472D5" w:rsidP="00C472D5">
      <w:pPr>
        <w:spacing w:after="240"/>
        <w:jc w:val="both"/>
        <w:rPr>
          <w:rFonts w:ascii="Arial" w:hAnsi="Arial" w:cs="Arial"/>
          <w:b/>
        </w:rPr>
      </w:pPr>
      <w:r w:rsidRPr="00C472D5">
        <w:rPr>
          <w:rFonts w:ascii="Arial" w:hAnsi="Arial" w:cs="Arial"/>
        </w:rPr>
        <w:t>Anticipated Project Start Date:</w:t>
      </w:r>
      <w:r w:rsidRPr="00C472D5">
        <w:rPr>
          <w:rFonts w:ascii="Arial" w:hAnsi="Arial" w:cs="Arial"/>
        </w:rPr>
        <w:tab/>
        <w:t xml:space="preserve">September 30, 2024 </w:t>
      </w:r>
    </w:p>
    <w:p w14:paraId="0BFABED7" w14:textId="77777777" w:rsidR="00C472D5" w:rsidRPr="00C472D5" w:rsidRDefault="00C472D5" w:rsidP="00C472D5">
      <w:pPr>
        <w:pStyle w:val="Default"/>
        <w:spacing w:after="240"/>
        <w:jc w:val="both"/>
        <w:rPr>
          <w:rFonts w:ascii="Arial" w:eastAsia="Times New Roman" w:hAnsi="Arial" w:cs="Arial"/>
          <w:sz w:val="20"/>
          <w:szCs w:val="20"/>
        </w:rPr>
      </w:pPr>
      <w:r w:rsidRPr="00C472D5">
        <w:rPr>
          <w:rFonts w:ascii="Arial" w:hAnsi="Arial" w:cs="Arial"/>
          <w:sz w:val="20"/>
          <w:szCs w:val="20"/>
        </w:rPr>
        <w:t>Length of Project Period:</w:t>
      </w:r>
      <w:r w:rsidRPr="00C472D5">
        <w:rPr>
          <w:rFonts w:ascii="Arial" w:hAnsi="Arial" w:cs="Arial"/>
          <w:sz w:val="20"/>
          <w:szCs w:val="20"/>
        </w:rPr>
        <w:tab/>
        <w:t>Up to Three Years</w:t>
      </w:r>
    </w:p>
    <w:p w14:paraId="69584142" w14:textId="2D28EF38" w:rsidR="00ED4441" w:rsidRPr="00AB5C3A" w:rsidRDefault="00C472D5" w:rsidP="00ED4441">
      <w:pPr>
        <w:spacing w:after="240"/>
        <w:jc w:val="both"/>
        <w:rPr>
          <w:rFonts w:ascii="Arial" w:hAnsi="Arial" w:cs="Arial"/>
          <w:b/>
          <w:sz w:val="24"/>
          <w:szCs w:val="24"/>
        </w:rPr>
      </w:pPr>
      <w:r w:rsidRPr="00AB5C3A">
        <w:rPr>
          <w:rFonts w:ascii="Arial" w:hAnsi="Arial" w:cs="Arial"/>
          <w:bCs/>
          <w:i/>
        </w:rPr>
        <w:lastRenderedPageBreak/>
        <w:t xml:space="preserve">(Source: State Opioid Response Grants, </w:t>
      </w:r>
      <w:hyperlink r:id="rId67" w:history="1">
        <w:r w:rsidRPr="00AB5C3A">
          <w:rPr>
            <w:rStyle w:val="Hyperlink"/>
            <w:rFonts w:cs="Arial"/>
            <w:i/>
          </w:rPr>
          <w:t>https://www.samhsa.gov/grants/grant-announcements/ti-24-008</w:t>
        </w:r>
      </w:hyperlink>
      <w:r w:rsidR="00AB5C3A">
        <w:rPr>
          <w:rFonts w:ascii="Arial" w:hAnsi="Arial" w:cs="Arial"/>
          <w:i/>
        </w:rPr>
        <w:t xml:space="preserve"> and</w:t>
      </w:r>
      <w:r w:rsidR="00AB5C3A" w:rsidRPr="00AB5C3A">
        <w:rPr>
          <w:rFonts w:ascii="Arial" w:hAnsi="Arial" w:cs="Arial"/>
          <w:i/>
          <w:iCs/>
        </w:rPr>
        <w:t xml:space="preserve"> </w:t>
      </w:r>
      <w:r w:rsidR="00AB5C3A" w:rsidRPr="0013240C">
        <w:rPr>
          <w:rFonts w:ascii="Arial" w:hAnsi="Arial" w:cs="Arial"/>
          <w:i/>
          <w:iCs/>
        </w:rPr>
        <w:t>Dex Stanger Chief Fiscal Officer, Ohio Department of Behavioral Health, February 23, 2026</w:t>
      </w:r>
      <w:r w:rsidRPr="00AB5C3A">
        <w:rPr>
          <w:rFonts w:ascii="Arial" w:hAnsi="Arial" w:cs="Arial"/>
          <w:bCs/>
          <w:i/>
        </w:rPr>
        <w:t xml:space="preserve">) </w:t>
      </w:r>
    </w:p>
    <w:p w14:paraId="7A569597" w14:textId="77777777" w:rsidR="00C30DAB" w:rsidRPr="00220BD0" w:rsidRDefault="00205793" w:rsidP="006672EA">
      <w:pPr>
        <w:pStyle w:val="Heading3"/>
        <w:jc w:val="both"/>
        <w:rPr>
          <w:rFonts w:cs="Arial"/>
          <w:bCs/>
          <w:sz w:val="24"/>
          <w:szCs w:val="24"/>
        </w:rPr>
      </w:pPr>
      <w:bookmarkStart w:id="77" w:name="_Toc224138612"/>
      <w:r w:rsidRPr="00220BD0">
        <w:rPr>
          <w:rFonts w:cs="Arial"/>
          <w:sz w:val="24"/>
          <w:szCs w:val="24"/>
        </w:rPr>
        <w:t xml:space="preserve">Audit Objectives </w:t>
      </w:r>
      <w:r w:rsidR="00C30DAB" w:rsidRPr="00220BD0">
        <w:rPr>
          <w:rFonts w:cs="Arial"/>
          <w:sz w:val="24"/>
          <w:szCs w:val="24"/>
        </w:rPr>
        <w:t>and Control Testing</w:t>
      </w:r>
      <w:bookmarkEnd w:id="77"/>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8" w:name="_Toc22413861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8"/>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lastRenderedPageBreak/>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9" w:name="_Toc224138614"/>
      <w:r w:rsidRPr="00220BD0">
        <w:rPr>
          <w:rFonts w:cs="Arial"/>
          <w:sz w:val="24"/>
          <w:szCs w:val="24"/>
        </w:rPr>
        <w:t>Audit Implications Summary</w:t>
      </w:r>
      <w:bookmarkEnd w:id="79"/>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564330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ED4441">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ED4441">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ED4441">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ED4441">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ED4441">
            <w:pPr>
              <w:widowControl w:val="0"/>
              <w:numPr>
                <w:ilvl w:val="0"/>
                <w:numId w:val="24"/>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0" w:name="_Toc442267699"/>
      <w:bookmarkStart w:id="81" w:name="_Toc224138615"/>
      <w:r w:rsidRPr="00220BD0">
        <w:rPr>
          <w:rFonts w:cs="Arial"/>
          <w:sz w:val="24"/>
        </w:rPr>
        <w:lastRenderedPageBreak/>
        <w:t>I.  PROCUREMENT AND SUSPENSION AND DEBARMENT</w:t>
      </w:r>
      <w:bookmarkEnd w:id="80"/>
      <w:bookmarkEnd w:id="81"/>
    </w:p>
    <w:p w14:paraId="1560ABE2" w14:textId="77777777" w:rsidR="00DC3468" w:rsidRPr="00220BD0" w:rsidRDefault="004655E0" w:rsidP="006672EA">
      <w:pPr>
        <w:pStyle w:val="Heading3"/>
        <w:jc w:val="both"/>
        <w:rPr>
          <w:rFonts w:cs="Arial"/>
          <w:sz w:val="24"/>
          <w:szCs w:val="24"/>
        </w:rPr>
      </w:pPr>
      <w:bookmarkStart w:id="82" w:name="_Toc224138616"/>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2"/>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ED4441">
      <w:pPr>
        <w:pStyle w:val="ListParagraph"/>
        <w:numPr>
          <w:ilvl w:val="0"/>
          <w:numId w:val="50"/>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ED4441">
      <w:pPr>
        <w:pStyle w:val="ListParagraph"/>
        <w:numPr>
          <w:ilvl w:val="0"/>
          <w:numId w:val="50"/>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ED4441">
      <w:pPr>
        <w:pStyle w:val="ListParagraph"/>
        <w:numPr>
          <w:ilvl w:val="0"/>
          <w:numId w:val="50"/>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83"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83"/>
    <w:p w14:paraId="4CCA3F59" w14:textId="3D618F17" w:rsidR="000F1417" w:rsidRDefault="000F1417" w:rsidP="00ED4441">
      <w:pPr>
        <w:pStyle w:val="ListParagraph"/>
        <w:numPr>
          <w:ilvl w:val="0"/>
          <w:numId w:val="50"/>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ED4441">
      <w:pPr>
        <w:pStyle w:val="ListParagraph"/>
        <w:numPr>
          <w:ilvl w:val="0"/>
          <w:numId w:val="50"/>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ED4441">
      <w:pPr>
        <w:pStyle w:val="ListParagraph"/>
        <w:numPr>
          <w:ilvl w:val="0"/>
          <w:numId w:val="50"/>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27B2797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70">
        <w:r w:rsidRPr="000F1417">
          <w:rPr>
            <w:rFonts w:ascii="Arial" w:hAnsi="Arial" w:cs="Arial"/>
            <w:color w:val="2D74B5"/>
            <w:u w:val="single" w:color="2D74B5"/>
          </w:rPr>
          <w:t>IIJA</w:t>
        </w:r>
      </w:hyperlink>
      <w:r w:rsidRPr="000F1417">
        <w:rPr>
          <w:rFonts w:ascii="Arial" w:hAnsi="Arial" w:cs="Arial"/>
        </w:rPr>
        <w:t xml:space="preserve"> section 70912(4)-(5) and 70914</w:t>
      </w:r>
      <w:hyperlink r:id="rId71" w:history="1">
        <w:r w:rsidRPr="00716831">
          <w:rPr>
            <w:rStyle w:val="Hyperlink"/>
            <w:rFonts w:cs="Arial"/>
          </w:rPr>
          <w:t>,</w:t>
        </w:r>
        <w:bookmarkStart w:id="84" w:name="_Hlk209508736"/>
        <w:r w:rsidR="00716831" w:rsidRPr="00716831">
          <w:rPr>
            <w:rStyle w:val="Hyperlink"/>
            <w:rFonts w:ascii="Times New Roman" w:hAnsi="Times New Roman"/>
          </w:rPr>
          <w:t xml:space="preserve"> </w:t>
        </w:r>
        <w:bookmarkEnd w:id="84"/>
        <w:r w:rsidR="00716831" w:rsidRPr="00716831">
          <w:rPr>
            <w:rStyle w:val="Hyperlink"/>
            <w:rFonts w:cs="Arial"/>
          </w:rPr>
          <w:t>2 CFR part 184</w:t>
        </w:r>
      </w:hyperlink>
      <w:r w:rsidRPr="000F1417">
        <w:rPr>
          <w:rFonts w:ascii="Arial" w:hAnsi="Arial" w:cs="Arial"/>
        </w:rPr>
        <w:t xml:space="preserve">, and OMB Memorandum </w:t>
      </w:r>
      <w:hyperlink r:id="rId72"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ED444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ED444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ED4441">
      <w:pPr>
        <w:pStyle w:val="ListParagraph"/>
        <w:numPr>
          <w:ilvl w:val="0"/>
          <w:numId w:val="5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297A53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73"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5" w:name="_Toc224138617"/>
      <w:r w:rsidRPr="00220BD0">
        <w:rPr>
          <w:rFonts w:cs="Arial"/>
          <w:sz w:val="24"/>
          <w:szCs w:val="24"/>
        </w:rPr>
        <w:t xml:space="preserve">OMB </w:t>
      </w:r>
      <w:r w:rsidR="00DC3468" w:rsidRPr="00220BD0">
        <w:rPr>
          <w:rFonts w:cs="Arial"/>
          <w:sz w:val="24"/>
          <w:szCs w:val="24"/>
        </w:rPr>
        <w:t>Compliance Requirements – Suspension and Debarment</w:t>
      </w:r>
      <w:bookmarkEnd w:id="85"/>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25D93122"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74"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872ABF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5"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63A2604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6"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A00B01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77" w:history="1">
        <w:r w:rsidR="000023A2" w:rsidRPr="00B206E2">
          <w:rPr>
            <w:rStyle w:val="Hyperlink"/>
            <w:rFonts w:cs="Arial"/>
          </w:rPr>
          <w:t>48 CFR 9.405-2(b)</w:t>
        </w:r>
      </w:hyperlink>
      <w:r w:rsidR="006F1440" w:rsidRPr="00F00D94">
        <w:rPr>
          <w:rFonts w:ascii="Arial" w:hAnsi="Arial" w:cs="Arial"/>
        </w:rPr>
        <w:t xml:space="preserve"> and the clause at </w:t>
      </w:r>
      <w:hyperlink r:id="rId78"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166E0738"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AB5C3A">
        <w:rPr>
          <w:rFonts w:ascii="Arial" w:hAnsi="Arial" w:cs="Arial"/>
          <w:bCs/>
        </w:rPr>
        <w:t>2025</w:t>
      </w:r>
      <w:r w:rsidR="00AB5C3A" w:rsidRPr="00EA2CA3">
        <w:rPr>
          <w:rFonts w:ascii="Arial" w:hAnsi="Arial" w:cs="Arial"/>
          <w:bCs/>
        </w:rPr>
        <w:t xml:space="preserve"> </w:t>
      </w:r>
      <w:r w:rsidRPr="00EA2CA3">
        <w:rPr>
          <w:rFonts w:ascii="Arial" w:hAnsi="Arial" w:cs="Arial"/>
          <w:bCs/>
        </w:rPr>
        <w:t>OMB Compliance Supplement.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86" w:name="_Toc224138618"/>
      <w:r w:rsidRPr="00220BD0">
        <w:rPr>
          <w:rFonts w:cs="Arial"/>
          <w:sz w:val="24"/>
          <w:szCs w:val="24"/>
        </w:rPr>
        <w:t>Additional Program Specific Information</w:t>
      </w:r>
      <w:bookmarkEnd w:id="86"/>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18BFD209"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669A9E88" w14:textId="7D55D384"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87" w:name="_Toc224138619"/>
      <w:r w:rsidRPr="00220BD0">
        <w:rPr>
          <w:rFonts w:cs="Arial"/>
          <w:sz w:val="24"/>
          <w:szCs w:val="24"/>
        </w:rPr>
        <w:t xml:space="preserve">Audit Objectives </w:t>
      </w:r>
      <w:r w:rsidR="00220BEF" w:rsidRPr="00220BD0">
        <w:rPr>
          <w:rFonts w:cs="Arial"/>
          <w:sz w:val="24"/>
          <w:szCs w:val="24"/>
        </w:rPr>
        <w:t>and Control Testing</w:t>
      </w:r>
      <w:bookmarkEnd w:id="87"/>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ED4441">
      <w:pPr>
        <w:pStyle w:val="ListParagraph"/>
        <w:numPr>
          <w:ilvl w:val="0"/>
          <w:numId w:val="31"/>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ED4441">
      <w:pPr>
        <w:pStyle w:val="AuditProcedureHeading"/>
        <w:numPr>
          <w:ilvl w:val="0"/>
          <w:numId w:val="31"/>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ED4441">
      <w:pPr>
        <w:pStyle w:val="AuditProcedureHeading"/>
        <w:numPr>
          <w:ilvl w:val="1"/>
          <w:numId w:val="31"/>
        </w:numPr>
        <w:spacing w:after="0"/>
        <w:jc w:val="both"/>
        <w:rPr>
          <w:rFonts w:cs="Arial"/>
          <w:bCs/>
          <w:i/>
          <w:iCs/>
          <w:color w:val="002060"/>
          <w:szCs w:val="20"/>
        </w:rPr>
      </w:pPr>
      <w:r w:rsidRPr="005F1316">
        <w:rPr>
          <w:rFonts w:cs="Arial"/>
          <w:bCs/>
          <w:i/>
          <w:iCs/>
          <w:color w:val="002060"/>
          <w:szCs w:val="20"/>
        </w:rPr>
        <w:lastRenderedPageBreak/>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ED4441">
      <w:pPr>
        <w:pStyle w:val="ListParagraph"/>
        <w:numPr>
          <w:ilvl w:val="2"/>
          <w:numId w:val="31"/>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ED4441">
      <w:pPr>
        <w:pStyle w:val="AuditProcedureHeading"/>
        <w:numPr>
          <w:ilvl w:val="1"/>
          <w:numId w:val="31"/>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ED4441">
      <w:pPr>
        <w:pStyle w:val="ListParagraph"/>
        <w:numPr>
          <w:ilvl w:val="2"/>
          <w:numId w:val="31"/>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ED4441">
      <w:pPr>
        <w:pStyle w:val="AuditProcedureHeading"/>
        <w:numPr>
          <w:ilvl w:val="1"/>
          <w:numId w:val="31"/>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ED4441">
      <w:pPr>
        <w:pStyle w:val="ListParagraph"/>
        <w:numPr>
          <w:ilvl w:val="2"/>
          <w:numId w:val="31"/>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ED4441">
      <w:pPr>
        <w:pStyle w:val="AuditProcedureHeading"/>
        <w:numPr>
          <w:ilvl w:val="1"/>
          <w:numId w:val="31"/>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ED4441">
      <w:pPr>
        <w:pStyle w:val="ListParagraph"/>
        <w:numPr>
          <w:ilvl w:val="2"/>
          <w:numId w:val="31"/>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ED4441">
      <w:pPr>
        <w:pStyle w:val="AuditProcedureHeading"/>
        <w:numPr>
          <w:ilvl w:val="0"/>
          <w:numId w:val="31"/>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ED4441">
      <w:pPr>
        <w:pStyle w:val="AuditProcedureHeading"/>
        <w:numPr>
          <w:ilvl w:val="1"/>
          <w:numId w:val="31"/>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ED4441">
      <w:pPr>
        <w:pStyle w:val="AuditProcedureHeading"/>
        <w:numPr>
          <w:ilvl w:val="1"/>
          <w:numId w:val="31"/>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ED4441">
      <w:pPr>
        <w:pStyle w:val="ListParagraph"/>
        <w:numPr>
          <w:ilvl w:val="2"/>
          <w:numId w:val="31"/>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88" w:name="_Toc224138620"/>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88"/>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89"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89"/>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7A9C83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79" w:history="1">
              <w:r w:rsidR="000023A2" w:rsidRPr="00F00D94">
                <w:rPr>
                  <w:rStyle w:val="Hyperlink"/>
                  <w:rFonts w:cs="Arial"/>
                  <w:sz w:val="20"/>
                </w:rPr>
                <w:t>48 CFR 52.203-13</w:t>
              </w:r>
            </w:hyperlink>
            <w:r w:rsidRPr="00F00D94">
              <w:rPr>
                <w:rFonts w:ascii="Arial" w:hAnsi="Arial" w:cs="Arial"/>
                <w:sz w:val="20"/>
              </w:rPr>
              <w:t xml:space="preserve"> and </w:t>
            </w:r>
            <w:hyperlink r:id="rId80"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ECAA60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81"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82"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F4F703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83" w:history="1">
              <w:r w:rsidR="00E52CC0" w:rsidRPr="00F00D94">
                <w:rPr>
                  <w:rStyle w:val="Hyperlink"/>
                  <w:rFonts w:cs="Arial"/>
                  <w:sz w:val="20"/>
                </w:rPr>
                <w:t>48 CFR 52.244-5</w:t>
              </w:r>
            </w:hyperlink>
            <w:r w:rsidR="00BF5750" w:rsidRPr="00F00D94">
              <w:rPr>
                <w:rFonts w:ascii="Arial" w:hAnsi="Arial" w:cs="Arial"/>
                <w:sz w:val="20"/>
              </w:rPr>
              <w:t>).</w:t>
            </w:r>
          </w:p>
          <w:p w14:paraId="02970176" w14:textId="35840202"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84" w:history="1">
              <w:r w:rsidR="00E52CC0" w:rsidRPr="00F00D94">
                <w:rPr>
                  <w:rStyle w:val="Hyperlink"/>
                  <w:rFonts w:cs="Arial"/>
                  <w:sz w:val="20"/>
                </w:rPr>
                <w:t>48 CFR 52.244-5</w:t>
              </w:r>
            </w:hyperlink>
            <w:r w:rsidRPr="00F00D94">
              <w:rPr>
                <w:rFonts w:ascii="Arial" w:hAnsi="Arial" w:cs="Arial"/>
                <w:sz w:val="20"/>
              </w:rPr>
              <w:t>).</w:t>
            </w:r>
          </w:p>
          <w:p w14:paraId="761FC7CF" w14:textId="20F3CBB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lastRenderedPageBreak/>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85"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43DB51E5"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6"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88ED243"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87" w:history="1">
              <w:r w:rsidR="00E52CC0" w:rsidRPr="00F00D94">
                <w:rPr>
                  <w:rStyle w:val="Hyperlink"/>
                  <w:rFonts w:cs="Arial"/>
                  <w:sz w:val="20"/>
                </w:rPr>
                <w:t>2 CFR 180.300</w:t>
              </w:r>
            </w:hyperlink>
            <w:r w:rsidR="00BF5750" w:rsidRPr="00F00D94">
              <w:rPr>
                <w:rFonts w:ascii="Arial" w:hAnsi="Arial" w:cs="Arial"/>
                <w:sz w:val="20"/>
              </w:rPr>
              <w:t xml:space="preserve">; </w:t>
            </w:r>
            <w:hyperlink r:id="rId88"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w:t>
            </w:r>
            <w:r w:rsidRPr="006826EF">
              <w:rPr>
                <w:rFonts w:ascii="Arial" w:hAnsi="Arial" w:cs="Arial"/>
                <w:i/>
                <w:iCs/>
                <w:color w:val="002060"/>
                <w:sz w:val="20"/>
              </w:rPr>
              <w:lastRenderedPageBreak/>
              <w:t xml:space="preserve">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0" w:name="_Toc224138621"/>
      <w:r w:rsidRPr="00220BD0">
        <w:rPr>
          <w:rFonts w:cs="Arial"/>
          <w:sz w:val="24"/>
          <w:szCs w:val="24"/>
        </w:rPr>
        <w:t>Audit Implications Summary</w:t>
      </w:r>
      <w:bookmarkEnd w:id="90"/>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A560E1"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89"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ED4441">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ED4441">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ED4441">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ED4441">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ED4441">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90"/>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1" w:name="J___PROGRAM_INCOME"/>
      <w:bookmarkStart w:id="92" w:name="_Toc442267700"/>
      <w:bookmarkStart w:id="93" w:name="_Toc224138622"/>
      <w:bookmarkEnd w:id="91"/>
      <w:r w:rsidRPr="00220BD0">
        <w:rPr>
          <w:rFonts w:cs="Arial"/>
          <w:sz w:val="24"/>
        </w:rPr>
        <w:lastRenderedPageBreak/>
        <w:t>J.  PROGRAM INCOME</w:t>
      </w:r>
      <w:bookmarkEnd w:id="92"/>
      <w:bookmarkEnd w:id="93"/>
    </w:p>
    <w:p w14:paraId="6A0D3833" w14:textId="6B7FCA2D" w:rsidR="007E5B12" w:rsidRPr="00220BD0" w:rsidRDefault="00261D87" w:rsidP="006672EA">
      <w:pPr>
        <w:pStyle w:val="Heading3"/>
        <w:jc w:val="both"/>
        <w:rPr>
          <w:rFonts w:cs="Arial"/>
          <w:sz w:val="24"/>
          <w:szCs w:val="24"/>
        </w:rPr>
      </w:pPr>
      <w:bookmarkStart w:id="94" w:name="_Toc224138623"/>
      <w:r w:rsidRPr="00220BD0">
        <w:rPr>
          <w:rFonts w:cs="Arial"/>
          <w:sz w:val="24"/>
          <w:szCs w:val="24"/>
        </w:rPr>
        <w:t xml:space="preserve">OMB </w:t>
      </w:r>
      <w:r w:rsidR="007E5B12" w:rsidRPr="00220BD0">
        <w:rPr>
          <w:rFonts w:cs="Arial"/>
          <w:sz w:val="24"/>
          <w:szCs w:val="24"/>
        </w:rPr>
        <w:t>Compliance Requirements</w:t>
      </w:r>
      <w:bookmarkEnd w:id="94"/>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34642083"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91"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92"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77A89FB6" w:rsidR="00506F5E" w:rsidRPr="00D74E6A"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060D98">
        <w:rPr>
          <w:rFonts w:ascii="Arial" w:hAnsi="Arial" w:cs="Arial"/>
          <w:bCs/>
        </w:rPr>
        <w:t>2025</w:t>
      </w:r>
      <w:r w:rsidR="00060D98" w:rsidRPr="00EA2CA3">
        <w:rPr>
          <w:rFonts w:ascii="Arial" w:hAnsi="Arial" w:cs="Arial"/>
          <w:bCs/>
        </w:rPr>
        <w:t xml:space="preserve"> </w:t>
      </w:r>
      <w:r w:rsidRPr="00EA2CA3">
        <w:rPr>
          <w:rFonts w:ascii="Arial" w:hAnsi="Arial" w:cs="Arial"/>
          <w:bCs/>
        </w:rPr>
        <w:t>OMB Compliance Supplement.</w:t>
      </w:r>
    </w:p>
    <w:p w14:paraId="78298AAA" w14:textId="77777777" w:rsidR="00703F98" w:rsidRPr="00220BD0" w:rsidRDefault="00703F98" w:rsidP="006672EA">
      <w:pPr>
        <w:pStyle w:val="Heading3"/>
        <w:jc w:val="both"/>
        <w:rPr>
          <w:rFonts w:cs="Arial"/>
          <w:sz w:val="24"/>
          <w:szCs w:val="24"/>
        </w:rPr>
      </w:pPr>
      <w:bookmarkStart w:id="95" w:name="_Toc224138624"/>
      <w:r w:rsidRPr="00220BD0">
        <w:rPr>
          <w:rFonts w:cs="Arial"/>
          <w:sz w:val="24"/>
          <w:szCs w:val="24"/>
        </w:rPr>
        <w:t>Additional Program Specific Information</w:t>
      </w:r>
      <w:bookmarkEnd w:id="95"/>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3F276522"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4526B7E7" w14:textId="787E5859"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567AB8C" w14:textId="77777777" w:rsidR="00C472D5" w:rsidRPr="00575E81" w:rsidRDefault="00C472D5" w:rsidP="00C472D5">
      <w:pPr>
        <w:spacing w:after="240"/>
        <w:jc w:val="both"/>
        <w:rPr>
          <w:rFonts w:ascii="Arial" w:hAnsi="Arial" w:cs="Arial"/>
        </w:rPr>
      </w:pPr>
      <w:r w:rsidRPr="00575E81">
        <w:rPr>
          <w:rFonts w:ascii="Arial" w:hAnsi="Arial" w:cs="Arial"/>
        </w:rPr>
        <w:t>Recipients must first use revenue from third-party payments (such as Medicare or Medicaid) from providing services to pay for uninsured or underinsured individuals. Recipients must implement policies and procedures that ensure other sources of funding (such as Medicare, Medicaid, private insurance, etc.) are used first when available for that individual. Grant award funds for payment of services may be used for individuals who are not covered by public or other health insurance programs. Each recipient must have policies and procedures in place to determine affordability and insurance coverage for individuals seeking services. Program income revenue generated from providing services must first be used to pay for programmatic expenses related to the proposed grant activities.</w:t>
      </w:r>
    </w:p>
    <w:p w14:paraId="04E48A3C" w14:textId="4F1FD6AC" w:rsidR="00ED4441" w:rsidRPr="00060D98" w:rsidRDefault="00C472D5" w:rsidP="00ED4441">
      <w:pPr>
        <w:spacing w:after="240"/>
        <w:jc w:val="both"/>
        <w:rPr>
          <w:rFonts w:ascii="Arial" w:hAnsi="Arial" w:cs="Arial"/>
          <w:b/>
          <w:i/>
        </w:rPr>
      </w:pPr>
      <w:r w:rsidRPr="00060D98">
        <w:rPr>
          <w:rFonts w:ascii="Arial" w:hAnsi="Arial" w:cs="Arial"/>
          <w:bCs/>
          <w:i/>
        </w:rPr>
        <w:t xml:space="preserve">(Source: State Opioid Response Grants, </w:t>
      </w:r>
      <w:hyperlink r:id="rId93" w:history="1">
        <w:r w:rsidRPr="00060D98">
          <w:rPr>
            <w:rStyle w:val="Hyperlink"/>
            <w:rFonts w:cs="Arial"/>
            <w:i/>
          </w:rPr>
          <w:t>https://www.samhsa.gov/grants/grant-announcements/ti-24-008</w:t>
        </w:r>
      </w:hyperlink>
      <w:r w:rsidR="00060D98" w:rsidRPr="00060D98">
        <w:rPr>
          <w:rFonts w:ascii="Arial" w:hAnsi="Arial" w:cs="Arial"/>
          <w:i/>
        </w:rPr>
        <w:t xml:space="preserve"> and Dex Stanger Chief Fiscal Officer, Ohio Department of Behavioral Health, February 23, 2026</w:t>
      </w:r>
      <w:r w:rsidRPr="00060D98">
        <w:rPr>
          <w:rFonts w:ascii="Arial" w:hAnsi="Arial" w:cs="Arial"/>
          <w:bCs/>
          <w:i/>
        </w:rPr>
        <w:t>)</w:t>
      </w:r>
    </w:p>
    <w:p w14:paraId="48D3DB50" w14:textId="77777777" w:rsidR="00220BEF" w:rsidRPr="00220BD0" w:rsidRDefault="00A55B64" w:rsidP="006672EA">
      <w:pPr>
        <w:pStyle w:val="Heading3"/>
        <w:jc w:val="both"/>
        <w:rPr>
          <w:rFonts w:cs="Arial"/>
          <w:bCs/>
          <w:sz w:val="24"/>
          <w:szCs w:val="24"/>
        </w:rPr>
      </w:pPr>
      <w:bookmarkStart w:id="96" w:name="_Toc224138625"/>
      <w:r w:rsidRPr="00220BD0">
        <w:rPr>
          <w:rFonts w:cs="Arial"/>
          <w:sz w:val="24"/>
          <w:szCs w:val="24"/>
        </w:rPr>
        <w:t xml:space="preserve">Audit Objectives </w:t>
      </w:r>
      <w:r w:rsidR="00220BEF" w:rsidRPr="00220BD0">
        <w:rPr>
          <w:rFonts w:cs="Arial"/>
          <w:sz w:val="24"/>
          <w:szCs w:val="24"/>
        </w:rPr>
        <w:t>and Control Testing</w:t>
      </w:r>
      <w:bookmarkEnd w:id="96"/>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97" w:name="_Toc22413862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7"/>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98" w:name="_Toc224138627"/>
      <w:r w:rsidRPr="000706D1">
        <w:rPr>
          <w:rFonts w:cs="Arial"/>
          <w:sz w:val="24"/>
          <w:szCs w:val="24"/>
        </w:rPr>
        <w:t>Audit Implications Summary</w:t>
      </w:r>
      <w:bookmarkEnd w:id="98"/>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4374F4F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ED4441">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ED4441">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ED4441">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ED4441">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ED4441">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5"/>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99" w:name="L___REPORTING"/>
      <w:bookmarkStart w:id="100" w:name="_Toc442267701"/>
      <w:bookmarkStart w:id="101" w:name="_Toc224138628"/>
      <w:bookmarkEnd w:id="99"/>
      <w:r w:rsidRPr="000706D1">
        <w:rPr>
          <w:rFonts w:cs="Arial"/>
          <w:sz w:val="24"/>
        </w:rPr>
        <w:lastRenderedPageBreak/>
        <w:t>L.  REPORTING</w:t>
      </w:r>
      <w:bookmarkEnd w:id="100"/>
      <w:bookmarkEnd w:id="101"/>
    </w:p>
    <w:p w14:paraId="13BAAFFB" w14:textId="16BE9FED" w:rsidR="007E5B12" w:rsidRPr="000706D1" w:rsidRDefault="00261D87" w:rsidP="006672EA">
      <w:pPr>
        <w:pStyle w:val="Heading3"/>
        <w:jc w:val="both"/>
        <w:rPr>
          <w:rFonts w:cs="Arial"/>
          <w:sz w:val="24"/>
          <w:szCs w:val="24"/>
        </w:rPr>
      </w:pPr>
      <w:bookmarkStart w:id="102" w:name="_Toc224138629"/>
      <w:r w:rsidRPr="000706D1">
        <w:rPr>
          <w:rFonts w:cs="Arial"/>
          <w:sz w:val="24"/>
          <w:szCs w:val="24"/>
        </w:rPr>
        <w:t xml:space="preserve">OMB </w:t>
      </w:r>
      <w:r w:rsidR="007E5B12" w:rsidRPr="000706D1">
        <w:rPr>
          <w:rFonts w:cs="Arial"/>
          <w:sz w:val="24"/>
          <w:szCs w:val="24"/>
        </w:rPr>
        <w:t>Compliance Requirements</w:t>
      </w:r>
      <w:bookmarkEnd w:id="10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96"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9EB3195"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97"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77937C9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98"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813C0BD"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99"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 xml:space="preserve">Subawardee </w:t>
            </w:r>
            <w:r w:rsidRPr="00373297">
              <w:rPr>
                <w:rFonts w:ascii="Arial" w:hAnsi="Arial" w:cs="Arial"/>
                <w:sz w:val="20"/>
                <w:szCs w:val="20"/>
              </w:rPr>
              <w:t>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ED444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ED444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ED444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ED444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ED444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ED4441">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137B558F"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060D98">
        <w:rPr>
          <w:rFonts w:ascii="Arial" w:hAnsi="Arial" w:cs="Arial"/>
          <w:bCs/>
        </w:rPr>
        <w:t>2025</w:t>
      </w:r>
      <w:r w:rsidR="00060D98" w:rsidRPr="00EA2CA3">
        <w:rPr>
          <w:rFonts w:ascii="Arial" w:hAnsi="Arial" w:cs="Arial"/>
          <w:bCs/>
        </w:rPr>
        <w:t xml:space="preserve"> </w:t>
      </w:r>
      <w:r w:rsidRPr="00EA2CA3">
        <w:rPr>
          <w:rFonts w:ascii="Arial" w:hAnsi="Arial" w:cs="Arial"/>
          <w:bCs/>
        </w:rPr>
        <w:t>OMB Compliance Supplement.</w:t>
      </w:r>
    </w:p>
    <w:p w14:paraId="5979A865" w14:textId="77777777" w:rsidR="00703F98" w:rsidRPr="000706D1" w:rsidRDefault="00703F98" w:rsidP="006672EA">
      <w:pPr>
        <w:pStyle w:val="Heading3"/>
        <w:jc w:val="both"/>
        <w:rPr>
          <w:rFonts w:cs="Arial"/>
          <w:sz w:val="24"/>
          <w:szCs w:val="24"/>
        </w:rPr>
      </w:pPr>
      <w:bookmarkStart w:id="103" w:name="_Toc224138630"/>
      <w:r w:rsidRPr="000706D1">
        <w:rPr>
          <w:rFonts w:cs="Arial"/>
          <w:sz w:val="24"/>
          <w:szCs w:val="24"/>
        </w:rPr>
        <w:t>Additional Program Specific Information</w:t>
      </w:r>
      <w:bookmarkEnd w:id="10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1BDBEEE"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6D1FCF37" w14:textId="28501B24"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12BC445" w14:textId="77777777" w:rsidR="00C472D5" w:rsidRPr="00BF3D5C" w:rsidRDefault="00C472D5" w:rsidP="00C472D5">
      <w:pPr>
        <w:spacing w:after="171"/>
        <w:rPr>
          <w:rFonts w:ascii="Arial" w:hAnsi="Arial" w:cs="Arial"/>
          <w:b/>
          <w:bCs/>
          <w:szCs w:val="16"/>
        </w:rPr>
      </w:pPr>
      <w:r w:rsidRPr="00BF3D5C">
        <w:rPr>
          <w:rFonts w:ascii="Arial" w:hAnsi="Arial" w:cs="Arial"/>
          <w:b/>
          <w:bCs/>
          <w:szCs w:val="16"/>
        </w:rPr>
        <w:t xml:space="preserve">DATA COLLECTION/PERFORMANCE MEASUREMENT AND PROJECT PERFORMANCE ASSESSMENT </w:t>
      </w:r>
    </w:p>
    <w:p w14:paraId="77154A14" w14:textId="77777777" w:rsidR="00C472D5" w:rsidRDefault="00C472D5" w:rsidP="00C472D5">
      <w:pPr>
        <w:spacing w:after="171"/>
        <w:jc w:val="both"/>
        <w:rPr>
          <w:rFonts w:ascii="Arial" w:hAnsi="Arial" w:cs="Arial"/>
          <w:szCs w:val="16"/>
        </w:rPr>
      </w:pPr>
      <w:r w:rsidRPr="00A7428A">
        <w:rPr>
          <w:rFonts w:ascii="Arial" w:hAnsi="Arial" w:cs="Arial"/>
          <w:szCs w:val="16"/>
        </w:rPr>
        <w:t xml:space="preserve">Data Collection/Performance Measurement </w:t>
      </w:r>
    </w:p>
    <w:p w14:paraId="06C7D841" w14:textId="77777777" w:rsidR="00C472D5" w:rsidRDefault="00C472D5" w:rsidP="00C472D5">
      <w:pPr>
        <w:spacing w:after="171"/>
        <w:jc w:val="both"/>
        <w:rPr>
          <w:rFonts w:ascii="Arial" w:hAnsi="Arial" w:cs="Arial"/>
          <w:szCs w:val="16"/>
        </w:rPr>
      </w:pPr>
      <w:r w:rsidRPr="188DFEC2">
        <w:rPr>
          <w:rFonts w:ascii="Arial" w:eastAsia="Aptos" w:hAnsi="Arial" w:cs="Arial"/>
        </w:rPr>
        <w:t xml:space="preserve">All SAMHSA recipients must collect and report data to meet obligations under the GPRA Modernization Act of 2010. For SOS 4.0, this requirement is fulfilled through SAMHSA’s Unified Performance Reporting Tool (SUPRT): </w:t>
      </w:r>
    </w:p>
    <w:p w14:paraId="3BBFFA2C" w14:textId="77777777" w:rsidR="00C472D5" w:rsidRDefault="00C472D5" w:rsidP="00C472D5">
      <w:pPr>
        <w:contextualSpacing/>
        <w:jc w:val="both"/>
        <w:rPr>
          <w:rFonts w:ascii="Arial" w:hAnsi="Arial" w:cs="Arial"/>
          <w:szCs w:val="16"/>
        </w:rPr>
      </w:pPr>
      <w:r w:rsidRPr="00A7428A">
        <w:rPr>
          <w:rFonts w:ascii="Arial" w:hAnsi="Arial" w:cs="Arial"/>
          <w:szCs w:val="16"/>
        </w:rPr>
        <w:t xml:space="preserve">Recipients are required to report performance on the following measures: abstinence, employment/education status, criminal justice involvement, social connectedness, health/behavioral/social consequences, and housing stability. Recipients will be required to report client-level data on elements including but not limited to demographic characteristics, substance use, diagnosis(es), services received, and types of MOUD received (see Appendix C- Confidentiality and SAMHSA Participant Protection/Human Subjects Guidelines, 4. Data Collection). </w:t>
      </w:r>
      <w:r w:rsidRPr="188DFEC2">
        <w:rPr>
          <w:rFonts w:ascii="Arial" w:eastAsia="Segoe UI" w:hAnsi="Arial" w:cs="Arial"/>
        </w:rPr>
        <w:t xml:space="preserve"> </w:t>
      </w:r>
    </w:p>
    <w:p w14:paraId="4EED4B8A" w14:textId="77777777" w:rsidR="00C472D5" w:rsidRPr="007211A1" w:rsidRDefault="00C472D5" w:rsidP="00C472D5">
      <w:pPr>
        <w:contextualSpacing/>
        <w:jc w:val="both"/>
        <w:rPr>
          <w:rFonts w:ascii="Arial" w:eastAsia="Segoe UI" w:hAnsi="Arial" w:cs="Arial"/>
        </w:rPr>
      </w:pPr>
    </w:p>
    <w:p w14:paraId="0077DA02" w14:textId="77777777" w:rsidR="00C472D5" w:rsidRDefault="00C472D5" w:rsidP="00C472D5">
      <w:pPr>
        <w:contextualSpacing/>
        <w:jc w:val="both"/>
        <w:rPr>
          <w:rFonts w:ascii="Arial" w:eastAsia="Segoe UI" w:hAnsi="Arial" w:cs="Arial"/>
        </w:rPr>
      </w:pPr>
      <w:r w:rsidRPr="33D7BA77">
        <w:rPr>
          <w:rFonts w:ascii="Arial" w:eastAsia="Segoe UI" w:hAnsi="Arial" w:cs="Arial"/>
        </w:rPr>
        <w:t>Beginning October 1, 2025 (FFY 2025), SAMHSA transitioned from the GPRA tool to the Unified Performance Reporting Tools (SUPRT). As of this date, required performance measures are captured through SUPRT rather than GPRA. Recipients must complete SUPRT-A (Administrative) for all clients receiving grant-funded services at Baseline, 6-month Reassessment, Annual, and Closeout. SUPRT-A captures client-level data on demographics (if SUPRT-C is declined), behavioral health history, screenings, diagnoses, services received, and MOUD type (methadone, buprenorphine, or XR-naltrexone). Recipients must also offer SUPRT-C (Client/Caregiver) at Baseline and Reassessment for all age groups and annually for adults; participation is voluntary and does not affect eligibility for services. All SUPRT data must be entered into SPARS within 30 days of collection and comply with SAMHSA’s 60-day edit window.</w:t>
      </w:r>
    </w:p>
    <w:p w14:paraId="10F32F49" w14:textId="77777777" w:rsidR="00C472D5" w:rsidRDefault="00C472D5" w:rsidP="00C472D5">
      <w:pPr>
        <w:contextualSpacing/>
        <w:jc w:val="both"/>
        <w:rPr>
          <w:rFonts w:ascii="Arial" w:eastAsia="Arial" w:hAnsi="Arial" w:cs="Arial"/>
        </w:rPr>
      </w:pPr>
    </w:p>
    <w:p w14:paraId="5CE94577" w14:textId="0A329BC8" w:rsidR="00C472D5" w:rsidRDefault="00C472D5" w:rsidP="00C472D5">
      <w:pPr>
        <w:spacing w:after="240"/>
        <w:jc w:val="both"/>
        <w:rPr>
          <w:rFonts w:ascii="Arial" w:hAnsi="Arial" w:cs="Arial"/>
          <w:szCs w:val="16"/>
        </w:rPr>
      </w:pPr>
      <w:r w:rsidRPr="00A7428A">
        <w:rPr>
          <w:rFonts w:ascii="Arial" w:hAnsi="Arial" w:cs="Arial"/>
          <w:szCs w:val="16"/>
        </w:rPr>
        <w:t xml:space="preserve">This information will be gathered using a uniform data collection tool provided by SAMHSA. Recipients are required to submit data via SAMHSA’s Performance Accountability and Reporting System (SPARS); and access will be provided upon award. An example of the required data collection tool can be found at </w:t>
      </w:r>
      <w:hyperlink r:id="rId100" w:history="1">
        <w:r w:rsidRPr="0075709A">
          <w:rPr>
            <w:rStyle w:val="Hyperlink"/>
            <w:rFonts w:cs="Arial"/>
            <w:szCs w:val="16"/>
          </w:rPr>
          <w:t>https://www.samhsa.gov/sites/default/files/csat-gpra-client-outcomes-measures-tool.pdf</w:t>
        </w:r>
      </w:hyperlink>
      <w:r w:rsidRPr="00A7428A">
        <w:rPr>
          <w:rFonts w:ascii="Arial" w:hAnsi="Arial" w:cs="Arial"/>
          <w:szCs w:val="16"/>
        </w:rPr>
        <w:t>.</w:t>
      </w:r>
      <w:r>
        <w:rPr>
          <w:rFonts w:ascii="Arial" w:hAnsi="Arial" w:cs="Arial"/>
          <w:szCs w:val="16"/>
        </w:rPr>
        <w:t xml:space="preserve"> </w:t>
      </w:r>
      <w:r w:rsidRPr="00A7428A">
        <w:rPr>
          <w:rFonts w:ascii="Arial" w:hAnsi="Arial" w:cs="Arial"/>
          <w:szCs w:val="16"/>
        </w:rPr>
        <w:t xml:space="preserve">Data will be collected at intake to services, six months post intake, and at discharge. Recipients will be expected to do </w:t>
      </w:r>
      <w:r w:rsidRPr="00A7428A">
        <w:rPr>
          <w:rFonts w:ascii="Arial" w:hAnsi="Arial" w:cs="Arial"/>
          <w:szCs w:val="16"/>
        </w:rPr>
        <w:lastRenderedPageBreak/>
        <w:t xml:space="preserve">a GPRA interview on all clients in their specified unduplicated target number and are also expected to achieve a six-month follow-up rate of 80 percent. </w:t>
      </w:r>
    </w:p>
    <w:p w14:paraId="2D49760B" w14:textId="097FB7D0" w:rsidR="00C472D5" w:rsidRDefault="00C472D5" w:rsidP="00C472D5">
      <w:pPr>
        <w:spacing w:after="240"/>
        <w:jc w:val="both"/>
        <w:rPr>
          <w:rFonts w:ascii="Arial" w:eastAsia="Segoe UI" w:hAnsi="Arial" w:cs="Arial"/>
        </w:rPr>
      </w:pPr>
      <w:r w:rsidRPr="007211A1">
        <w:rPr>
          <w:rFonts w:ascii="Arial" w:eastAsia="Segoe UI" w:hAnsi="Arial" w:cs="Arial"/>
        </w:rPr>
        <w:t xml:space="preserve">This information will be gathered using </w:t>
      </w:r>
      <w:r w:rsidRPr="007211A1">
        <w:rPr>
          <w:rFonts w:ascii="Arial" w:eastAsia="Segoe UI" w:hAnsi="Arial" w:cs="Arial"/>
          <w:b/>
          <w:bCs/>
        </w:rPr>
        <w:t>SAMHSA’s Unified Performance Reporting Tools (SUPRT).</w:t>
      </w:r>
      <w:r w:rsidRPr="007211A1">
        <w:rPr>
          <w:rFonts w:ascii="Arial" w:eastAsia="Segoe UI" w:hAnsi="Arial" w:cs="Arial"/>
        </w:rPr>
        <w:t xml:space="preserve"> Recipients are required to submit data via </w:t>
      </w:r>
      <w:r w:rsidRPr="007211A1">
        <w:rPr>
          <w:rFonts w:ascii="Arial" w:eastAsia="Segoe UI" w:hAnsi="Arial" w:cs="Arial"/>
          <w:b/>
          <w:bCs/>
        </w:rPr>
        <w:t>SAMHSA’s Performance Accountability and Reporting System (SPARS)</w:t>
      </w:r>
      <w:r w:rsidRPr="007211A1">
        <w:rPr>
          <w:rFonts w:ascii="Arial" w:eastAsia="Segoe UI" w:hAnsi="Arial" w:cs="Arial"/>
        </w:rPr>
        <w:t xml:space="preserve">; access will be provided upon award. The SUPRT framework includes two instruments: </w:t>
      </w:r>
      <w:r w:rsidRPr="007211A1">
        <w:rPr>
          <w:rFonts w:ascii="Arial" w:eastAsia="Segoe UI" w:hAnsi="Arial" w:cs="Arial"/>
          <w:b/>
          <w:bCs/>
        </w:rPr>
        <w:t>SUPRT</w:t>
      </w:r>
      <w:r w:rsidRPr="007211A1">
        <w:rPr>
          <w:rFonts w:ascii="Cambria Math" w:eastAsia="Segoe UI" w:hAnsi="Cambria Math" w:cs="Cambria Math"/>
          <w:b/>
          <w:bCs/>
        </w:rPr>
        <w:t>‑</w:t>
      </w:r>
      <w:r w:rsidRPr="007211A1">
        <w:rPr>
          <w:rFonts w:ascii="Arial" w:eastAsia="Segoe UI" w:hAnsi="Arial" w:cs="Arial"/>
          <w:b/>
          <w:bCs/>
        </w:rPr>
        <w:t>A (Administrative)</w:t>
      </w:r>
      <w:r w:rsidRPr="007211A1">
        <w:rPr>
          <w:rFonts w:ascii="Arial" w:eastAsia="Segoe UI" w:hAnsi="Arial" w:cs="Arial"/>
        </w:rPr>
        <w:t xml:space="preserve">, which is required for all clients receiving grant-funded services, and </w:t>
      </w:r>
      <w:r w:rsidRPr="007211A1">
        <w:rPr>
          <w:rFonts w:ascii="Arial" w:eastAsia="Segoe UI" w:hAnsi="Arial" w:cs="Arial"/>
          <w:b/>
          <w:bCs/>
        </w:rPr>
        <w:t>SUPRT</w:t>
      </w:r>
      <w:r w:rsidRPr="007211A1">
        <w:rPr>
          <w:rFonts w:ascii="Cambria Math" w:eastAsia="Segoe UI" w:hAnsi="Cambria Math" w:cs="Cambria Math"/>
          <w:b/>
          <w:bCs/>
        </w:rPr>
        <w:t>‑</w:t>
      </w:r>
      <w:r w:rsidRPr="007211A1">
        <w:rPr>
          <w:rFonts w:ascii="Arial" w:eastAsia="Segoe UI" w:hAnsi="Arial" w:cs="Arial"/>
          <w:b/>
          <w:bCs/>
        </w:rPr>
        <w:t>C (Client/Caregiver)</w:t>
      </w:r>
      <w:r w:rsidRPr="007211A1">
        <w:rPr>
          <w:rFonts w:ascii="Arial" w:eastAsia="Segoe UI" w:hAnsi="Arial" w:cs="Arial"/>
        </w:rPr>
        <w:t xml:space="preserve">, which is voluntary and must be offered at each eligible timepoint. Data will be collected at </w:t>
      </w:r>
      <w:r w:rsidRPr="007211A1">
        <w:rPr>
          <w:rFonts w:ascii="Arial" w:eastAsia="Segoe UI" w:hAnsi="Arial" w:cs="Arial"/>
          <w:b/>
          <w:bCs/>
        </w:rPr>
        <w:t>Baseline (within 30 days before or after first service)</w:t>
      </w:r>
      <w:r w:rsidRPr="007211A1">
        <w:rPr>
          <w:rFonts w:ascii="Arial" w:eastAsia="Segoe UI" w:hAnsi="Arial" w:cs="Arial"/>
        </w:rPr>
        <w:t xml:space="preserve">, </w:t>
      </w:r>
      <w:r w:rsidRPr="007211A1">
        <w:rPr>
          <w:rFonts w:ascii="Arial" w:eastAsia="Segoe UI" w:hAnsi="Arial" w:cs="Arial"/>
          <w:b/>
          <w:bCs/>
        </w:rPr>
        <w:t>Reassessment 6 months after baseline,</w:t>
      </w:r>
      <w:r w:rsidRPr="007211A1">
        <w:rPr>
          <w:rFonts w:ascii="Arial" w:eastAsia="Segoe UI" w:hAnsi="Arial" w:cs="Arial"/>
        </w:rPr>
        <w:t xml:space="preserve"> </w:t>
      </w:r>
      <w:r w:rsidRPr="007211A1">
        <w:rPr>
          <w:rFonts w:ascii="Arial" w:eastAsia="Segoe UI" w:hAnsi="Arial" w:cs="Arial"/>
          <w:b/>
          <w:bCs/>
        </w:rPr>
        <w:t>Annual (every 12 months from baseline)</w:t>
      </w:r>
      <w:r w:rsidRPr="007211A1">
        <w:rPr>
          <w:rFonts w:ascii="Arial" w:eastAsia="Segoe UI" w:hAnsi="Arial" w:cs="Arial"/>
        </w:rPr>
        <w:t xml:space="preserve">, and </w:t>
      </w:r>
      <w:r w:rsidRPr="007211A1">
        <w:rPr>
          <w:rFonts w:ascii="Arial" w:eastAsia="Segoe UI" w:hAnsi="Arial" w:cs="Arial"/>
          <w:b/>
          <w:bCs/>
        </w:rPr>
        <w:t>Closeout (within 30 days of service end)</w:t>
      </w:r>
      <w:r w:rsidRPr="007211A1">
        <w:rPr>
          <w:rFonts w:ascii="Arial" w:eastAsia="Segoe UI" w:hAnsi="Arial" w:cs="Arial"/>
        </w:rPr>
        <w:t>. Unlike previous GPRA requirements, there is no mandated follow-up completion percentage; however, recipients are expected to enter all SUPRT</w:t>
      </w:r>
      <w:r w:rsidRPr="007211A1">
        <w:rPr>
          <w:rFonts w:ascii="Cambria Math" w:eastAsia="Segoe UI" w:hAnsi="Cambria Math" w:cs="Cambria Math"/>
        </w:rPr>
        <w:t>‑</w:t>
      </w:r>
      <w:r w:rsidRPr="007211A1">
        <w:rPr>
          <w:rFonts w:ascii="Arial" w:eastAsia="Segoe UI" w:hAnsi="Arial" w:cs="Arial"/>
        </w:rPr>
        <w:t>A and SUPRT</w:t>
      </w:r>
      <w:r w:rsidRPr="007211A1">
        <w:rPr>
          <w:rFonts w:ascii="Cambria Math" w:eastAsia="Segoe UI" w:hAnsi="Cambria Math" w:cs="Cambria Math"/>
        </w:rPr>
        <w:t>‑</w:t>
      </w:r>
      <w:r w:rsidRPr="007211A1">
        <w:rPr>
          <w:rFonts w:ascii="Arial" w:eastAsia="Segoe UI" w:hAnsi="Arial" w:cs="Arial"/>
        </w:rPr>
        <w:t xml:space="preserve">C assessments within </w:t>
      </w:r>
      <w:r w:rsidRPr="007211A1">
        <w:rPr>
          <w:rFonts w:ascii="Arial" w:eastAsia="Segoe UI" w:hAnsi="Arial" w:cs="Arial"/>
          <w:b/>
          <w:bCs/>
        </w:rPr>
        <w:t>30 days of collection</w:t>
      </w:r>
      <w:r w:rsidRPr="007211A1">
        <w:rPr>
          <w:rFonts w:ascii="Arial" w:eastAsia="Segoe UI" w:hAnsi="Arial" w:cs="Arial"/>
        </w:rPr>
        <w:t xml:space="preserve"> and maintain compliance with SAMHSA’s assessment windows. SUPRT</w:t>
      </w:r>
      <w:r w:rsidRPr="007211A1">
        <w:rPr>
          <w:rFonts w:ascii="Cambria Math" w:eastAsia="Segoe UI" w:hAnsi="Cambria Math" w:cs="Cambria Math"/>
        </w:rPr>
        <w:t>‑</w:t>
      </w:r>
      <w:r w:rsidRPr="007211A1">
        <w:rPr>
          <w:rFonts w:ascii="Arial" w:eastAsia="Segoe UI" w:hAnsi="Arial" w:cs="Arial"/>
        </w:rPr>
        <w:t>C participation is voluntary and does not affect service eligibility.</w:t>
      </w:r>
    </w:p>
    <w:p w14:paraId="7642500C" w14:textId="77777777" w:rsidR="00C472D5" w:rsidRDefault="00C472D5" w:rsidP="00C472D5">
      <w:pPr>
        <w:spacing w:after="240"/>
        <w:jc w:val="both"/>
        <w:rPr>
          <w:rFonts w:ascii="Arial" w:hAnsi="Arial" w:cs="Arial"/>
          <w:szCs w:val="16"/>
        </w:rPr>
      </w:pPr>
      <w:r w:rsidRPr="007211A1">
        <w:rPr>
          <w:rFonts w:ascii="Arial" w:eastAsia="Segoe UI" w:hAnsi="Arial" w:cs="Arial"/>
        </w:rPr>
        <w:t>The collection of this</w:t>
      </w:r>
      <w:r w:rsidRPr="00A7428A">
        <w:rPr>
          <w:rFonts w:ascii="Arial" w:hAnsi="Arial" w:cs="Arial"/>
          <w:szCs w:val="16"/>
        </w:rPr>
        <w:t xml:space="preserve"> data enables SAMHSA to report on key outcome measures relating to the grant program. In addition to these outcomes, data collected </w:t>
      </w:r>
      <w:r w:rsidRPr="007211A1">
        <w:rPr>
          <w:rFonts w:ascii="Arial" w:eastAsia="Segoe UI" w:hAnsi="Arial" w:cs="Arial"/>
        </w:rPr>
        <w:t xml:space="preserve">through </w:t>
      </w:r>
      <w:r w:rsidRPr="007211A1">
        <w:rPr>
          <w:rFonts w:ascii="Arial" w:eastAsia="Segoe UI" w:hAnsi="Arial" w:cs="Arial"/>
          <w:b/>
          <w:bCs/>
        </w:rPr>
        <w:t>SUPRT</w:t>
      </w:r>
      <w:r w:rsidRPr="007211A1">
        <w:rPr>
          <w:rFonts w:ascii="Cambria Math" w:eastAsia="Segoe UI" w:hAnsi="Cambria Math" w:cs="Cambria Math"/>
          <w:b/>
          <w:bCs/>
        </w:rPr>
        <w:t>‑</w:t>
      </w:r>
      <w:r w:rsidRPr="007211A1">
        <w:rPr>
          <w:rFonts w:ascii="Arial" w:eastAsia="Segoe UI" w:hAnsi="Arial" w:cs="Arial"/>
          <w:b/>
          <w:bCs/>
        </w:rPr>
        <w:t>A and SUPRT</w:t>
      </w:r>
      <w:r w:rsidRPr="007211A1">
        <w:rPr>
          <w:rFonts w:ascii="Cambria Math" w:eastAsia="Segoe UI" w:hAnsi="Cambria Math" w:cs="Cambria Math"/>
          <w:b/>
          <w:bCs/>
        </w:rPr>
        <w:t>‑</w:t>
      </w:r>
      <w:r w:rsidRPr="007211A1">
        <w:rPr>
          <w:rFonts w:ascii="Arial" w:eastAsia="Segoe UI" w:hAnsi="Arial" w:cs="Arial"/>
          <w:b/>
          <w:bCs/>
        </w:rPr>
        <w:t>C</w:t>
      </w:r>
      <w:r w:rsidRPr="00A7428A">
        <w:rPr>
          <w:rFonts w:ascii="Arial" w:hAnsi="Arial" w:cs="Arial"/>
          <w:szCs w:val="16"/>
        </w:rPr>
        <w:t xml:space="preserve"> will be used to demonstrate how SAMHSA’s grant programs are reducing disparities in behavioral health access, service use, and outcomes nationwide. </w:t>
      </w:r>
      <w:r w:rsidRPr="007211A1">
        <w:rPr>
          <w:rFonts w:ascii="Arial" w:eastAsia="Segoe UI" w:hAnsi="Arial" w:cs="Arial"/>
        </w:rPr>
        <w:t>SUPRT introduces enhanced demographic and social determinants of health fields to support equity-focused reporting.</w:t>
      </w:r>
      <w:r w:rsidRPr="00A7428A">
        <w:rPr>
          <w:rFonts w:ascii="Arial" w:hAnsi="Arial" w:cs="Arial"/>
          <w:szCs w:val="16"/>
        </w:rPr>
        <w:t xml:space="preserve"> SAMHSA may </w:t>
      </w:r>
      <w:r w:rsidRPr="007211A1">
        <w:rPr>
          <w:rFonts w:ascii="Arial" w:eastAsia="Segoe UI" w:hAnsi="Arial" w:cs="Arial"/>
        </w:rPr>
        <w:t xml:space="preserve">update required elements or </w:t>
      </w:r>
      <w:r w:rsidRPr="00A7428A">
        <w:rPr>
          <w:rFonts w:ascii="Arial" w:hAnsi="Arial" w:cs="Arial"/>
          <w:szCs w:val="16"/>
        </w:rPr>
        <w:t xml:space="preserve">add additional reporting measures throughout the </w:t>
      </w:r>
      <w:r w:rsidRPr="007211A1">
        <w:rPr>
          <w:rFonts w:ascii="Arial" w:eastAsia="Segoe UI" w:hAnsi="Arial" w:cs="Arial"/>
        </w:rPr>
        <w:t>grant</w:t>
      </w:r>
      <w:r w:rsidRPr="00A7428A">
        <w:rPr>
          <w:rFonts w:ascii="Arial" w:hAnsi="Arial" w:cs="Arial"/>
          <w:szCs w:val="16"/>
        </w:rPr>
        <w:t xml:space="preserve"> period to meet </w:t>
      </w:r>
      <w:r w:rsidRPr="007211A1">
        <w:rPr>
          <w:rFonts w:ascii="Arial" w:eastAsia="Segoe UI" w:hAnsi="Arial" w:cs="Arial"/>
        </w:rPr>
        <w:t>evolving national evaluation priorities.</w:t>
      </w:r>
    </w:p>
    <w:p w14:paraId="6905C435" w14:textId="77777777" w:rsidR="00C472D5" w:rsidRDefault="00C472D5" w:rsidP="00C472D5">
      <w:pPr>
        <w:spacing w:after="171"/>
        <w:contextualSpacing/>
        <w:jc w:val="both"/>
        <w:rPr>
          <w:rFonts w:ascii="Arial" w:hAnsi="Arial" w:cs="Arial"/>
          <w:szCs w:val="16"/>
        </w:rPr>
      </w:pPr>
      <w:r w:rsidRPr="00A7428A">
        <w:rPr>
          <w:rFonts w:ascii="Arial" w:hAnsi="Arial" w:cs="Arial"/>
          <w:szCs w:val="16"/>
        </w:rPr>
        <w:t xml:space="preserve">Recipients will also be required to report program-level data on a quarterly basis in SPARS. The SOR/TOR – Program Instrument will collect the following measures: </w:t>
      </w:r>
    </w:p>
    <w:p w14:paraId="1D451C2B" w14:textId="77777777" w:rsidR="00C472D5" w:rsidRPr="00A7428A" w:rsidRDefault="00C472D5" w:rsidP="00C472D5">
      <w:pPr>
        <w:pStyle w:val="ListParagraph"/>
        <w:numPr>
          <w:ilvl w:val="0"/>
          <w:numId w:val="60"/>
        </w:numPr>
        <w:spacing w:after="171"/>
        <w:jc w:val="both"/>
        <w:rPr>
          <w:rFonts w:ascii="Arial" w:hAnsi="Arial" w:cs="Arial"/>
          <w:szCs w:val="16"/>
          <w:lang w:val="en"/>
        </w:rPr>
      </w:pPr>
      <w:r w:rsidRPr="00A7428A">
        <w:rPr>
          <w:rFonts w:ascii="Arial" w:hAnsi="Arial" w:cs="Arial"/>
          <w:szCs w:val="16"/>
        </w:rPr>
        <w:t xml:space="preserve">Naloxone overdose kits purchase and distribution </w:t>
      </w:r>
    </w:p>
    <w:p w14:paraId="7F565B35" w14:textId="77777777" w:rsidR="00C472D5" w:rsidRPr="001F73A4" w:rsidRDefault="00C472D5" w:rsidP="00C472D5">
      <w:pPr>
        <w:pStyle w:val="ListParagraph"/>
        <w:numPr>
          <w:ilvl w:val="0"/>
          <w:numId w:val="60"/>
        </w:numPr>
        <w:spacing w:after="171"/>
        <w:jc w:val="both"/>
        <w:rPr>
          <w:rFonts w:ascii="Arial" w:hAnsi="Arial" w:cs="Arial"/>
          <w:szCs w:val="16"/>
          <w:lang w:val="en"/>
        </w:rPr>
      </w:pPr>
      <w:r w:rsidRPr="00A7428A">
        <w:rPr>
          <w:rFonts w:ascii="Arial" w:hAnsi="Arial" w:cs="Arial"/>
          <w:szCs w:val="16"/>
        </w:rPr>
        <w:t>Overdose reversal</w:t>
      </w:r>
    </w:p>
    <w:p w14:paraId="2EF60C4C" w14:textId="77777777" w:rsidR="00C472D5" w:rsidRPr="001F73A4" w:rsidRDefault="00C472D5" w:rsidP="00C472D5">
      <w:pPr>
        <w:pStyle w:val="ListParagraph"/>
        <w:numPr>
          <w:ilvl w:val="0"/>
          <w:numId w:val="60"/>
        </w:numPr>
        <w:spacing w:after="171"/>
        <w:jc w:val="both"/>
        <w:rPr>
          <w:rFonts w:ascii="Arial" w:hAnsi="Arial" w:cs="Arial"/>
          <w:szCs w:val="16"/>
          <w:lang w:val="en"/>
        </w:rPr>
      </w:pPr>
      <w:r w:rsidRPr="001F73A4">
        <w:rPr>
          <w:rFonts w:ascii="Arial" w:hAnsi="Arial" w:cs="Arial"/>
          <w:szCs w:val="16"/>
        </w:rPr>
        <w:t xml:space="preserve">Fentanyl test strips purchase and distribution </w:t>
      </w:r>
    </w:p>
    <w:p w14:paraId="304285D2" w14:textId="77777777" w:rsidR="00C472D5" w:rsidRPr="001F73A4" w:rsidRDefault="00C472D5" w:rsidP="00C472D5">
      <w:pPr>
        <w:pStyle w:val="ListParagraph"/>
        <w:numPr>
          <w:ilvl w:val="0"/>
          <w:numId w:val="60"/>
        </w:numPr>
        <w:spacing w:after="171"/>
        <w:jc w:val="both"/>
        <w:rPr>
          <w:rFonts w:ascii="Arial" w:hAnsi="Arial" w:cs="Arial"/>
          <w:szCs w:val="16"/>
          <w:lang w:val="en"/>
        </w:rPr>
      </w:pPr>
      <w:r w:rsidRPr="001F73A4">
        <w:rPr>
          <w:rFonts w:ascii="Arial" w:hAnsi="Arial" w:cs="Arial"/>
          <w:szCs w:val="16"/>
        </w:rPr>
        <w:t xml:space="preserve">Education of school-aged children, first responders, and key community sectors on opioid and/or stimulant misuse </w:t>
      </w:r>
    </w:p>
    <w:p w14:paraId="03148456" w14:textId="77777777" w:rsidR="00C472D5" w:rsidRPr="001F73A4" w:rsidRDefault="00C472D5" w:rsidP="00C472D5">
      <w:pPr>
        <w:pStyle w:val="ListParagraph"/>
        <w:numPr>
          <w:ilvl w:val="0"/>
          <w:numId w:val="60"/>
        </w:numPr>
        <w:spacing w:after="171"/>
        <w:jc w:val="both"/>
        <w:rPr>
          <w:rFonts w:ascii="Arial" w:hAnsi="Arial" w:cs="Arial"/>
          <w:szCs w:val="16"/>
          <w:lang w:val="en"/>
        </w:rPr>
      </w:pPr>
      <w:r w:rsidRPr="001F73A4">
        <w:rPr>
          <w:rFonts w:ascii="Arial" w:hAnsi="Arial" w:cs="Arial"/>
          <w:szCs w:val="16"/>
        </w:rPr>
        <w:t>Outreach activities that target underserved and/or diverse populations</w:t>
      </w:r>
    </w:p>
    <w:p w14:paraId="45258FD0" w14:textId="77777777" w:rsidR="00C472D5" w:rsidRPr="001F73A4" w:rsidRDefault="00C472D5" w:rsidP="00C472D5">
      <w:pPr>
        <w:spacing w:after="171"/>
        <w:jc w:val="both"/>
        <w:rPr>
          <w:rFonts w:ascii="Arial" w:hAnsi="Arial" w:cs="Arial"/>
          <w:szCs w:val="12"/>
        </w:rPr>
      </w:pPr>
      <w:r w:rsidRPr="001F73A4">
        <w:rPr>
          <w:rFonts w:ascii="Arial" w:hAnsi="Arial" w:cs="Arial"/>
          <w:szCs w:val="12"/>
        </w:rPr>
        <w:t xml:space="preserve">Performance data will be reported to the public as part of SAMHSA’s Congressional Budget Justification. </w:t>
      </w:r>
    </w:p>
    <w:p w14:paraId="4D0AFDB9" w14:textId="77777777" w:rsidR="00C472D5" w:rsidRPr="001F73A4" w:rsidRDefault="00C472D5" w:rsidP="00C472D5">
      <w:pPr>
        <w:spacing w:after="171"/>
        <w:jc w:val="both"/>
        <w:rPr>
          <w:rFonts w:ascii="Arial" w:hAnsi="Arial" w:cs="Arial"/>
          <w:i/>
          <w:iCs/>
          <w:szCs w:val="12"/>
        </w:rPr>
      </w:pPr>
      <w:r w:rsidRPr="001F73A4">
        <w:rPr>
          <w:rFonts w:ascii="Arial" w:hAnsi="Arial" w:cs="Arial"/>
          <w:i/>
          <w:iCs/>
          <w:szCs w:val="12"/>
        </w:rPr>
        <w:t xml:space="preserve">Project Performance Assessment </w:t>
      </w:r>
    </w:p>
    <w:p w14:paraId="39B486E9" w14:textId="77777777" w:rsidR="00C472D5" w:rsidRPr="001F73A4" w:rsidRDefault="00C472D5" w:rsidP="00C472D5">
      <w:pPr>
        <w:spacing w:after="171"/>
        <w:jc w:val="both"/>
        <w:rPr>
          <w:rFonts w:ascii="Arial" w:hAnsi="Arial" w:cs="Arial"/>
          <w:szCs w:val="12"/>
        </w:rPr>
      </w:pPr>
      <w:r w:rsidRPr="001F73A4">
        <w:rPr>
          <w:rFonts w:ascii="Arial" w:hAnsi="Arial" w:cs="Arial"/>
          <w:szCs w:val="12"/>
        </w:rPr>
        <w:t xml:space="preserve">Recipients must periodically review the performance data they report to SAMHSA (as required above), assess their progress, and use this information to improve the management of their grant project. Recipients are also required to report on their progress by addressing the goals and objectives identified in your Project Narrative. </w:t>
      </w:r>
    </w:p>
    <w:p w14:paraId="204B8F36" w14:textId="4F137DD5" w:rsidR="00C472D5" w:rsidRPr="00BF3D5C" w:rsidRDefault="00C472D5" w:rsidP="00C472D5">
      <w:pPr>
        <w:spacing w:after="171"/>
        <w:rPr>
          <w:rFonts w:ascii="Arial" w:hAnsi="Arial" w:cs="Arial"/>
          <w:b/>
          <w:bCs/>
          <w:szCs w:val="16"/>
        </w:rPr>
      </w:pPr>
      <w:r w:rsidRPr="001F73A4">
        <w:rPr>
          <w:rFonts w:ascii="Arial" w:hAnsi="Arial" w:cs="Arial"/>
          <w:szCs w:val="12"/>
        </w:rPr>
        <w:t xml:space="preserve">The project performance assessment should be designed to help you determine whether you are achieving the goals, objectives, and outcomes you intend to achieve and whether adjustments need to be made to your project. Performance assessments should be used to determine whether your project is having/will have the intended impact on behavioral health disparities. </w:t>
      </w:r>
    </w:p>
    <w:p w14:paraId="07DDCE4C" w14:textId="4ED28434" w:rsidR="00ED4441" w:rsidRPr="00AA5B05" w:rsidRDefault="00C472D5" w:rsidP="00ED4441">
      <w:pPr>
        <w:spacing w:after="240"/>
        <w:jc w:val="both"/>
        <w:rPr>
          <w:rFonts w:ascii="Arial" w:hAnsi="Arial" w:cs="Arial"/>
          <w:b/>
        </w:rPr>
      </w:pPr>
      <w:r>
        <w:rPr>
          <w:rFonts w:ascii="Arial" w:hAnsi="Arial" w:cs="Arial"/>
          <w:i/>
          <w:iCs/>
          <w:szCs w:val="16"/>
        </w:rPr>
        <w:t xml:space="preserve">(Source: </w:t>
      </w:r>
      <w:r w:rsidR="00060D98" w:rsidRPr="0013240C">
        <w:rPr>
          <w:rFonts w:ascii="Arial" w:hAnsi="Arial" w:cs="Arial"/>
          <w:i/>
          <w:iCs/>
        </w:rPr>
        <w:t>Dex Stanger</w:t>
      </w:r>
      <w:r w:rsidR="00060D98">
        <w:rPr>
          <w:rFonts w:ascii="Arial" w:hAnsi="Arial" w:cs="Arial"/>
          <w:i/>
          <w:iCs/>
        </w:rPr>
        <w:t>,</w:t>
      </w:r>
      <w:r w:rsidR="00060D98" w:rsidRPr="0013240C">
        <w:rPr>
          <w:rFonts w:ascii="Arial" w:hAnsi="Arial" w:cs="Arial"/>
          <w:i/>
          <w:iCs/>
        </w:rPr>
        <w:t xml:space="preserve"> Chief Fiscal Officer, Ohio Department of Behavioral Health, February 23, 2026</w:t>
      </w:r>
      <w:r>
        <w:rPr>
          <w:rFonts w:ascii="Arial" w:hAnsi="Arial" w:cs="Arial"/>
          <w:i/>
          <w:iCs/>
          <w:szCs w:val="16"/>
        </w:rPr>
        <w:t>)</w:t>
      </w:r>
    </w:p>
    <w:p w14:paraId="3289C082" w14:textId="77777777" w:rsidR="00F87F25" w:rsidRPr="000706D1" w:rsidRDefault="00A55B64" w:rsidP="006672EA">
      <w:pPr>
        <w:pStyle w:val="Heading3"/>
        <w:jc w:val="both"/>
        <w:rPr>
          <w:rFonts w:cs="Arial"/>
          <w:bCs/>
          <w:sz w:val="24"/>
          <w:szCs w:val="24"/>
        </w:rPr>
      </w:pPr>
      <w:bookmarkStart w:id="104" w:name="_Toc224138631"/>
      <w:r w:rsidRPr="000706D1">
        <w:rPr>
          <w:rFonts w:cs="Arial"/>
          <w:sz w:val="24"/>
          <w:szCs w:val="24"/>
        </w:rPr>
        <w:t>Audit Objectives</w:t>
      </w:r>
      <w:r w:rsidR="00F87F25" w:rsidRPr="000706D1">
        <w:rPr>
          <w:rFonts w:cs="Arial"/>
          <w:sz w:val="24"/>
          <w:szCs w:val="24"/>
        </w:rPr>
        <w:t xml:space="preserve"> and Control Testing</w:t>
      </w:r>
      <w:bookmarkEnd w:id="10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5" w:name="_Toc22413863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5"/>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62E84B5D" w:rsidR="006516C2" w:rsidRPr="006516C2" w:rsidRDefault="00AC618B"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sidRPr="00AC618B">
              <w:rPr>
                <w:rFonts w:ascii="Arial" w:hAnsi="Arial" w:cs="Arial"/>
                <w:b/>
                <w:bCs/>
                <w:i/>
                <w:iCs/>
                <w:color w:val="002060"/>
                <w:sz w:val="20"/>
                <w:szCs w:val="20"/>
              </w:rPr>
              <w:t>For direct funding:</w:t>
            </w:r>
            <w:r>
              <w:rPr>
                <w:rFonts w:ascii="Arial" w:hAnsi="Arial" w:cs="Arial"/>
                <w:i/>
                <w:iCs/>
                <w:color w:val="002060"/>
                <w:sz w:val="20"/>
                <w:szCs w:val="20"/>
              </w:rPr>
              <w:t xml:space="preserve"> </w:t>
            </w:r>
            <w:r w:rsidR="006516C2">
              <w:rPr>
                <w:rFonts w:ascii="Arial" w:hAnsi="Arial" w:cs="Arial"/>
                <w:i/>
                <w:iCs/>
                <w:color w:val="002060"/>
                <w:sz w:val="20"/>
                <w:szCs w:val="20"/>
              </w:rPr>
              <w:t xml:space="preserve">Testing </w:t>
            </w:r>
            <w:r w:rsidR="006516C2" w:rsidRPr="006516C2">
              <w:rPr>
                <w:rFonts w:ascii="Arial" w:hAnsi="Arial" w:cs="Arial"/>
                <w:i/>
                <w:iCs/>
                <w:color w:val="002060"/>
                <w:sz w:val="20"/>
                <w:szCs w:val="20"/>
              </w:rPr>
              <w:t xml:space="preserve">is only required for data identified by </w:t>
            </w:r>
            <w:r w:rsidR="006516C2">
              <w:rPr>
                <w:rFonts w:ascii="Arial" w:hAnsi="Arial" w:cs="Arial"/>
                <w:i/>
                <w:iCs/>
                <w:color w:val="002060"/>
                <w:sz w:val="20"/>
                <w:szCs w:val="20"/>
              </w:rPr>
              <w:t>the federal agency a</w:t>
            </w:r>
            <w:r w:rsidR="006516C2" w:rsidRPr="006516C2">
              <w:rPr>
                <w:rFonts w:ascii="Arial" w:hAnsi="Arial" w:cs="Arial"/>
                <w:i/>
                <w:iCs/>
                <w:color w:val="002060"/>
                <w:sz w:val="20"/>
                <w:szCs w:val="20"/>
              </w:rPr>
              <w:t>s key line items</w:t>
            </w:r>
            <w:r w:rsidR="006516C2">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sidR="006516C2">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sidR="006516C2">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lastRenderedPageBreak/>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6" w:name="_Toc224138633"/>
      <w:r w:rsidRPr="000706D1">
        <w:rPr>
          <w:rFonts w:cs="Arial"/>
          <w:sz w:val="24"/>
          <w:szCs w:val="24"/>
        </w:rPr>
        <w:t>Audit Implications Summary</w:t>
      </w:r>
      <w:bookmarkEnd w:id="106"/>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ED4441">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ED4441">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ED4441">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ED4441">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ED4441">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2"/>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07" w:name="M___SUBRECIPIENT_MONITORING__"/>
      <w:bookmarkStart w:id="108" w:name="_Toc442267702"/>
      <w:bookmarkStart w:id="109" w:name="_Toc224138634"/>
      <w:bookmarkEnd w:id="107"/>
      <w:r w:rsidRPr="000706D1">
        <w:rPr>
          <w:rFonts w:cs="Arial"/>
          <w:sz w:val="24"/>
        </w:rPr>
        <w:lastRenderedPageBreak/>
        <w:t>M.  SUBRECIPIENT MONITORING</w:t>
      </w:r>
      <w:bookmarkEnd w:id="108"/>
      <w:bookmarkEnd w:id="109"/>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0" w:name="_Toc224138635"/>
      <w:r w:rsidRPr="000706D1">
        <w:rPr>
          <w:rFonts w:cs="Arial"/>
          <w:sz w:val="24"/>
          <w:szCs w:val="24"/>
        </w:rPr>
        <w:t xml:space="preserve">OMB </w:t>
      </w:r>
      <w:r w:rsidR="00B57D2E" w:rsidRPr="000706D1">
        <w:rPr>
          <w:rFonts w:cs="Arial"/>
          <w:sz w:val="24"/>
          <w:szCs w:val="24"/>
        </w:rPr>
        <w:t>Compliance Requirements</w:t>
      </w:r>
      <w:bookmarkEnd w:id="11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7D269A73" w:rsidR="00D74E6A" w:rsidRPr="004A0AB6" w:rsidRDefault="00ED4441" w:rsidP="00D74E6A">
      <w:pPr>
        <w:spacing w:after="240"/>
        <w:jc w:val="both"/>
        <w:rPr>
          <w:rFonts w:ascii="Arial" w:hAnsi="Arial" w:cs="Arial"/>
          <w:b/>
          <w:highlight w:val="yellow"/>
        </w:rPr>
      </w:pPr>
      <w:r w:rsidRPr="00EA2CA3">
        <w:rPr>
          <w:rFonts w:ascii="Arial" w:hAnsi="Arial" w:cs="Arial"/>
          <w:bCs/>
        </w:rPr>
        <w:t xml:space="preserve">This program is not included in the </w:t>
      </w:r>
      <w:r w:rsidR="00060D98">
        <w:rPr>
          <w:rFonts w:ascii="Arial" w:hAnsi="Arial" w:cs="Arial"/>
          <w:bCs/>
        </w:rPr>
        <w:t>2025</w:t>
      </w:r>
      <w:r w:rsidR="00060D98" w:rsidRPr="00EA2CA3">
        <w:rPr>
          <w:rFonts w:ascii="Arial" w:hAnsi="Arial" w:cs="Arial"/>
          <w:bCs/>
        </w:rPr>
        <w:t xml:space="preserve"> </w:t>
      </w:r>
      <w:r w:rsidRPr="00EA2CA3">
        <w:rPr>
          <w:rFonts w:ascii="Arial" w:hAnsi="Arial" w:cs="Arial"/>
          <w:bCs/>
        </w:rPr>
        <w:t>OMB Compliance Supplement.</w:t>
      </w:r>
    </w:p>
    <w:p w14:paraId="3DCB2EC4" w14:textId="77777777" w:rsidR="00B30107" w:rsidRPr="000706D1" w:rsidRDefault="00B30107" w:rsidP="006672EA">
      <w:pPr>
        <w:pStyle w:val="Heading3"/>
        <w:jc w:val="both"/>
        <w:rPr>
          <w:rFonts w:cs="Arial"/>
          <w:sz w:val="24"/>
          <w:szCs w:val="24"/>
        </w:rPr>
      </w:pPr>
      <w:bookmarkStart w:id="111" w:name="_Toc224138636"/>
      <w:r w:rsidRPr="000706D1">
        <w:rPr>
          <w:rFonts w:cs="Arial"/>
          <w:sz w:val="24"/>
          <w:szCs w:val="24"/>
        </w:rPr>
        <w:t>Additional Program Specific Information</w:t>
      </w:r>
      <w:bookmarkEnd w:id="11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0D954364" w:rsidR="00CD5DC7" w:rsidRPr="00AA5B05" w:rsidRDefault="00CD5DC7"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D4441">
        <w:rPr>
          <w:rFonts w:ascii="Arial" w:hAnsi="Arial" w:cs="Arial"/>
          <w:b/>
          <w:highlight w:val="yellow"/>
        </w:rPr>
        <w:t xml:space="preserve"> and</w:t>
      </w:r>
    </w:p>
    <w:p w14:paraId="5868BCA8" w14:textId="306010AB" w:rsidR="006E46AD" w:rsidRPr="00AA5B05" w:rsidRDefault="006E46AD" w:rsidP="00ED4441">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B77B08" w14:textId="77777777" w:rsidR="00C472D5" w:rsidRPr="00F53FD1" w:rsidRDefault="00C472D5" w:rsidP="00C472D5">
      <w:pPr>
        <w:spacing w:after="240"/>
        <w:jc w:val="both"/>
        <w:rPr>
          <w:rFonts w:ascii="Arial" w:hAnsi="Arial" w:cs="Arial"/>
          <w:b/>
          <w:bCs/>
        </w:rPr>
      </w:pPr>
      <w:r w:rsidRPr="00F53FD1">
        <w:rPr>
          <w:rFonts w:ascii="Arial" w:hAnsi="Arial" w:cs="Arial"/>
          <w:b/>
          <w:bCs/>
        </w:rPr>
        <w:t xml:space="preserve">Evidence of Experience and Credentials </w:t>
      </w:r>
    </w:p>
    <w:p w14:paraId="2DF79934" w14:textId="77777777" w:rsidR="00C472D5" w:rsidRPr="00C472D5" w:rsidRDefault="00C472D5" w:rsidP="00C472D5">
      <w:pPr>
        <w:spacing w:after="240"/>
        <w:jc w:val="both"/>
        <w:rPr>
          <w:rFonts w:ascii="Arial" w:hAnsi="Arial" w:cs="Arial"/>
        </w:rPr>
      </w:pPr>
      <w:r w:rsidRPr="00F53FD1">
        <w:rPr>
          <w:rFonts w:ascii="Arial" w:hAnsi="Arial" w:cs="Arial"/>
        </w:rPr>
        <w:t xml:space="preserve">SAMHSA believes that only existing, experienced, and appropriately credentialed organizations with demonstrated infrastructure and expertise will be able to provide the required services quickly and effectively. All Required Activities must be provided by applicants directly, by subrecipients, or through referrals to applicant partner agencies. Applicants must submit documentation in Attachment 1 of their application so that they meet three additional requirements related to the provision of services. The three requirements are: </w:t>
      </w:r>
    </w:p>
    <w:p w14:paraId="0EBD3BAE" w14:textId="77777777" w:rsidR="00C472D5" w:rsidRPr="00C472D5" w:rsidRDefault="00C472D5" w:rsidP="00C472D5">
      <w:pPr>
        <w:pStyle w:val="ListParagraph"/>
        <w:numPr>
          <w:ilvl w:val="0"/>
          <w:numId w:val="62"/>
        </w:numPr>
        <w:spacing w:after="240"/>
        <w:jc w:val="both"/>
        <w:rPr>
          <w:rFonts w:ascii="Arial" w:hAnsi="Arial" w:cs="Arial"/>
        </w:rPr>
      </w:pPr>
      <w:r w:rsidRPr="00C472D5">
        <w:rPr>
          <w:rFonts w:ascii="Arial" w:hAnsi="Arial" w:cs="Arial"/>
        </w:rPr>
        <w:t xml:space="preserve">Provider organizations for direct client services (e.g., substance use/mental disorder treatment) appropriate to the grant must be involved in the proposed project. The provider may be the applicant, or another organization committed to the project. More than one provider organization may be involved. </w:t>
      </w:r>
    </w:p>
    <w:p w14:paraId="0CA7493F" w14:textId="77777777" w:rsidR="00C472D5" w:rsidRPr="00C472D5" w:rsidRDefault="00C472D5" w:rsidP="00C472D5">
      <w:pPr>
        <w:pStyle w:val="ListParagraph"/>
        <w:numPr>
          <w:ilvl w:val="0"/>
          <w:numId w:val="62"/>
        </w:numPr>
        <w:spacing w:after="240"/>
        <w:jc w:val="both"/>
        <w:rPr>
          <w:rFonts w:ascii="Arial" w:hAnsi="Arial" w:cs="Arial"/>
        </w:rPr>
      </w:pPr>
      <w:r w:rsidRPr="00C472D5">
        <w:rPr>
          <w:rFonts w:ascii="Arial" w:hAnsi="Arial" w:cs="Arial"/>
        </w:rPr>
        <w:t xml:space="preserve">Each substance use/mental disorder treatment provider organization must have at least two years of experience (as of the due date of the application) providing relevant services. </w:t>
      </w:r>
    </w:p>
    <w:p w14:paraId="08B1B0DC" w14:textId="77777777" w:rsidR="00C472D5" w:rsidRPr="00C472D5" w:rsidRDefault="00C472D5" w:rsidP="00C472D5">
      <w:pPr>
        <w:pStyle w:val="ListParagraph"/>
        <w:numPr>
          <w:ilvl w:val="0"/>
          <w:numId w:val="62"/>
        </w:numPr>
        <w:spacing w:after="240"/>
        <w:jc w:val="both"/>
        <w:rPr>
          <w:rFonts w:ascii="Arial" w:hAnsi="Arial" w:cs="Arial"/>
        </w:rPr>
      </w:pPr>
      <w:r w:rsidRPr="00C472D5">
        <w:rPr>
          <w:rFonts w:ascii="Arial" w:hAnsi="Arial" w:cs="Arial"/>
        </w:rPr>
        <w:t>Each substance use/mental disorder treatment provider organization must comply with all applicable federal, local (city, county) and state licensing, accreditation, and certification requirements, as of the due date of the application. The above requirements apply to all service provider organizations</w:t>
      </w:r>
    </w:p>
    <w:p w14:paraId="378352F2" w14:textId="6E408593" w:rsidR="00ED4441" w:rsidRPr="00060D98" w:rsidRDefault="00C472D5" w:rsidP="00ED4441">
      <w:pPr>
        <w:spacing w:after="240"/>
        <w:jc w:val="both"/>
        <w:rPr>
          <w:rFonts w:ascii="Arial" w:hAnsi="Arial" w:cs="Arial"/>
          <w:b/>
          <w:i/>
        </w:rPr>
      </w:pPr>
      <w:r w:rsidRPr="00060D98">
        <w:rPr>
          <w:rFonts w:ascii="Arial" w:hAnsi="Arial" w:cs="Arial"/>
          <w:bCs/>
          <w:i/>
        </w:rPr>
        <w:t xml:space="preserve">(Source: State Opioid Response Grants, </w:t>
      </w:r>
      <w:hyperlink r:id="rId103" w:history="1">
        <w:r w:rsidRPr="00060D98">
          <w:rPr>
            <w:rStyle w:val="Hyperlink"/>
            <w:rFonts w:cs="Arial"/>
            <w:i/>
          </w:rPr>
          <w:t>https://www.samhsa.gov/grants/grant-announcements/ti-22-005</w:t>
        </w:r>
      </w:hyperlink>
      <w:r w:rsidRPr="00060D98">
        <w:rPr>
          <w:rFonts w:ascii="Arial" w:hAnsi="Arial" w:cs="Arial"/>
          <w:i/>
        </w:rPr>
        <w:t xml:space="preserve"> </w:t>
      </w:r>
      <w:hyperlink r:id="rId104" w:history="1">
        <w:hyperlink r:id="rId105" w:history="1">
          <w:r w:rsidRPr="00060D98">
            <w:rPr>
              <w:rStyle w:val="Hyperlink"/>
              <w:rFonts w:cs="Arial"/>
              <w:i/>
            </w:rPr>
            <w:t>https://www.samhsa.gov/grants/grant-announcements/ti-24-008</w:t>
          </w:r>
        </w:hyperlink>
      </w:hyperlink>
      <w:r w:rsidR="00060D98" w:rsidRPr="00060D98">
        <w:rPr>
          <w:rFonts w:ascii="Arial" w:hAnsi="Arial" w:cs="Arial"/>
          <w:i/>
        </w:rPr>
        <w:t xml:space="preserve"> and Dex Stanger Chief Fiscal Officer, Ohio Department of Behavioral Health, February 23, 2026</w:t>
      </w:r>
      <w:r w:rsidRPr="00060D98">
        <w:rPr>
          <w:rFonts w:ascii="Arial" w:hAnsi="Arial" w:cs="Arial"/>
          <w:bCs/>
          <w:i/>
        </w:rPr>
        <w:t>)</w:t>
      </w:r>
    </w:p>
    <w:p w14:paraId="2488535F" w14:textId="77777777" w:rsidR="00197FAC" w:rsidRPr="000706D1" w:rsidRDefault="00197FAC" w:rsidP="006672EA">
      <w:pPr>
        <w:pStyle w:val="Heading3"/>
        <w:jc w:val="both"/>
        <w:rPr>
          <w:rFonts w:cs="Arial"/>
          <w:bCs/>
          <w:sz w:val="24"/>
          <w:szCs w:val="24"/>
        </w:rPr>
      </w:pPr>
      <w:bookmarkStart w:id="112" w:name="_Toc224138637"/>
      <w:r w:rsidRPr="000706D1">
        <w:rPr>
          <w:rFonts w:cs="Arial"/>
          <w:sz w:val="24"/>
          <w:szCs w:val="24"/>
        </w:rPr>
        <w:lastRenderedPageBreak/>
        <w:t>Au</w:t>
      </w:r>
      <w:r w:rsidR="004053A3" w:rsidRPr="000706D1">
        <w:rPr>
          <w:rFonts w:cs="Arial"/>
          <w:sz w:val="24"/>
          <w:szCs w:val="24"/>
        </w:rPr>
        <w:t>dit Objectives</w:t>
      </w:r>
      <w:r w:rsidRPr="000706D1">
        <w:rPr>
          <w:rFonts w:cs="Arial"/>
          <w:sz w:val="24"/>
          <w:szCs w:val="24"/>
        </w:rPr>
        <w:t xml:space="preserve"> and Control Testing</w:t>
      </w:r>
      <w:bookmarkEnd w:id="112"/>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3" w:name="_Toc22413863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3"/>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lastRenderedPageBreak/>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ED4441">
            <w:pPr>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4" w:name="_Toc224138639"/>
      <w:r w:rsidRPr="000706D1">
        <w:rPr>
          <w:rFonts w:cs="Arial"/>
          <w:sz w:val="24"/>
          <w:szCs w:val="24"/>
        </w:rPr>
        <w:t>Audit Implications Summary</w:t>
      </w:r>
      <w:bookmarkEnd w:id="114"/>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ECF64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ED4441">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ED4441">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ED4441">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ED4441">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ED4441">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15" w:name="_Toc442267704"/>
      <w:bookmarkStart w:id="116" w:name="_Toc224138640"/>
      <w:r w:rsidRPr="000706D1">
        <w:rPr>
          <w:rStyle w:val="PageNumber"/>
          <w:rFonts w:cs="Arial"/>
          <w:sz w:val="24"/>
        </w:rPr>
        <w:lastRenderedPageBreak/>
        <w:t>Program Testing Conclusion</w:t>
      </w:r>
      <w:bookmarkEnd w:id="115"/>
      <w:bookmarkEnd w:id="11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ED4441">
      <w:pPr>
        <w:numPr>
          <w:ilvl w:val="0"/>
          <w:numId w:val="36"/>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ED4441">
      <w:pPr>
        <w:numPr>
          <w:ilvl w:val="0"/>
          <w:numId w:val="36"/>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ED4441">
      <w:pPr>
        <w:numPr>
          <w:ilvl w:val="0"/>
          <w:numId w:val="36"/>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ED4441">
      <w:pPr>
        <w:numPr>
          <w:ilvl w:val="0"/>
          <w:numId w:val="36"/>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ED4441">
      <w:pPr>
        <w:numPr>
          <w:ilvl w:val="0"/>
          <w:numId w:val="36"/>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ED4441">
      <w:pPr>
        <w:numPr>
          <w:ilvl w:val="0"/>
          <w:numId w:val="36"/>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ED4441">
      <w:pPr>
        <w:numPr>
          <w:ilvl w:val="0"/>
          <w:numId w:val="36"/>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08"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17" w:name="AICPAIGS:767.2670-1"/>
      <w:bookmarkEnd w:id="11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ED4441">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ED4441">
      <w:pPr>
        <w:pStyle w:val="ListParagraph"/>
        <w:numPr>
          <w:ilvl w:val="0"/>
          <w:numId w:val="1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ED4441">
      <w:pPr>
        <w:pStyle w:val="ListParagraph"/>
        <w:numPr>
          <w:ilvl w:val="0"/>
          <w:numId w:val="1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595D820"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3C5140C7" w:rsidR="000C7D0B" w:rsidRDefault="009D190B">
    <w:pPr>
      <w:pBdr>
        <w:top w:val="single" w:sz="4" w:space="1" w:color="auto"/>
      </w:pBdr>
      <w:tabs>
        <w:tab w:val="center" w:pos="4680"/>
      </w:tabs>
      <w:spacing w:line="240" w:lineRule="exact"/>
      <w:rPr>
        <w:sz w:val="18"/>
      </w:rPr>
    </w:pPr>
    <w:r>
      <w:rPr>
        <w:sz w:val="18"/>
      </w:rPr>
      <w:t xml:space="preserve">2025 </w:t>
    </w:r>
    <w:r w:rsidR="00ED4441">
      <w:rPr>
        <w:sz w:val="18"/>
      </w:rPr>
      <w:t>FACCR #93.788 Opioid STR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B9331C2"/>
    <w:multiLevelType w:val="hybridMultilevel"/>
    <w:tmpl w:val="1C48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09606A5"/>
    <w:multiLevelType w:val="hybridMultilevel"/>
    <w:tmpl w:val="26E80E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A2A6F"/>
    <w:multiLevelType w:val="hybridMultilevel"/>
    <w:tmpl w:val="1EC8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3421BA"/>
    <w:multiLevelType w:val="hybridMultilevel"/>
    <w:tmpl w:val="0F78D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D15678"/>
    <w:multiLevelType w:val="hybridMultilevel"/>
    <w:tmpl w:val="E756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4B1EEF"/>
    <w:multiLevelType w:val="hybridMultilevel"/>
    <w:tmpl w:val="EFA8AB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3B85CCE"/>
    <w:multiLevelType w:val="hybridMultilevel"/>
    <w:tmpl w:val="EC2E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1F3D61"/>
    <w:multiLevelType w:val="hybridMultilevel"/>
    <w:tmpl w:val="B802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4A6A87"/>
    <w:multiLevelType w:val="hybridMultilevel"/>
    <w:tmpl w:val="26921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80159A"/>
    <w:multiLevelType w:val="hybridMultilevel"/>
    <w:tmpl w:val="F65248B0"/>
    <w:lvl w:ilvl="0" w:tplc="F10C0A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9"/>
  </w:num>
  <w:num w:numId="3" w16cid:durableId="845168209">
    <w:abstractNumId w:val="20"/>
  </w:num>
  <w:num w:numId="4" w16cid:durableId="495266702">
    <w:abstractNumId w:val="28"/>
  </w:num>
  <w:num w:numId="5" w16cid:durableId="1496074526">
    <w:abstractNumId w:val="50"/>
  </w:num>
  <w:num w:numId="6" w16cid:durableId="1894850701">
    <w:abstractNumId w:val="26"/>
  </w:num>
  <w:num w:numId="7" w16cid:durableId="1851287688">
    <w:abstractNumId w:val="60"/>
  </w:num>
  <w:num w:numId="8" w16cid:durableId="169563015">
    <w:abstractNumId w:val="46"/>
  </w:num>
  <w:num w:numId="9" w16cid:durableId="829565744">
    <w:abstractNumId w:val="16"/>
  </w:num>
  <w:num w:numId="10" w16cid:durableId="1649020827">
    <w:abstractNumId w:val="3"/>
  </w:num>
  <w:num w:numId="11" w16cid:durableId="812450053">
    <w:abstractNumId w:val="58"/>
  </w:num>
  <w:num w:numId="12" w16cid:durableId="208225967">
    <w:abstractNumId w:val="40"/>
  </w:num>
  <w:num w:numId="13" w16cid:durableId="1348169212">
    <w:abstractNumId w:val="33"/>
  </w:num>
  <w:num w:numId="14" w16cid:durableId="1337074581">
    <w:abstractNumId w:val="57"/>
  </w:num>
  <w:num w:numId="15" w16cid:durableId="1151486989">
    <w:abstractNumId w:val="17"/>
  </w:num>
  <w:num w:numId="16" w16cid:durableId="137292458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8249420">
    <w:abstractNumId w:val="41"/>
  </w:num>
  <w:num w:numId="19" w16cid:durableId="1726903200">
    <w:abstractNumId w:val="13"/>
  </w:num>
  <w:num w:numId="20" w16cid:durableId="884410781">
    <w:abstractNumId w:val="7"/>
  </w:num>
  <w:num w:numId="21" w16cid:durableId="810370577">
    <w:abstractNumId w:val="36"/>
  </w:num>
  <w:num w:numId="22" w16cid:durableId="1178009640">
    <w:abstractNumId w:val="2"/>
  </w:num>
  <w:num w:numId="23" w16cid:durableId="1151754974">
    <w:abstractNumId w:val="61"/>
  </w:num>
  <w:num w:numId="24" w16cid:durableId="554588920">
    <w:abstractNumId w:val="51"/>
  </w:num>
  <w:num w:numId="25" w16cid:durableId="2056466201">
    <w:abstractNumId w:val="18"/>
  </w:num>
  <w:num w:numId="26" w16cid:durableId="81878645">
    <w:abstractNumId w:val="29"/>
  </w:num>
  <w:num w:numId="27" w16cid:durableId="754401759">
    <w:abstractNumId w:val="31"/>
  </w:num>
  <w:num w:numId="28" w16cid:durableId="697851989">
    <w:abstractNumId w:val="53"/>
  </w:num>
  <w:num w:numId="29" w16cid:durableId="1478910963">
    <w:abstractNumId w:val="54"/>
  </w:num>
  <w:num w:numId="30" w16cid:durableId="1939830332">
    <w:abstractNumId w:val="14"/>
  </w:num>
  <w:num w:numId="31" w16cid:durableId="516505364">
    <w:abstractNumId w:val="42"/>
  </w:num>
  <w:num w:numId="32" w16cid:durableId="1352143524">
    <w:abstractNumId w:val="23"/>
  </w:num>
  <w:num w:numId="33" w16cid:durableId="2034109230">
    <w:abstractNumId w:val="35"/>
  </w:num>
  <w:num w:numId="34" w16cid:durableId="752432378">
    <w:abstractNumId w:val="30"/>
  </w:num>
  <w:num w:numId="35" w16cid:durableId="1766726706">
    <w:abstractNumId w:val="12"/>
  </w:num>
  <w:num w:numId="36" w16cid:durableId="1123234674">
    <w:abstractNumId w:val="4"/>
  </w:num>
  <w:num w:numId="37" w16cid:durableId="1056511850">
    <w:abstractNumId w:val="48"/>
  </w:num>
  <w:num w:numId="38" w16cid:durableId="1317146710">
    <w:abstractNumId w:val="44"/>
  </w:num>
  <w:num w:numId="39" w16cid:durableId="1101756761">
    <w:abstractNumId w:val="37"/>
  </w:num>
  <w:num w:numId="40" w16cid:durableId="1244534831">
    <w:abstractNumId w:val="43"/>
  </w:num>
  <w:num w:numId="41" w16cid:durableId="120655483">
    <w:abstractNumId w:val="22"/>
  </w:num>
  <w:num w:numId="42" w16cid:durableId="894855469">
    <w:abstractNumId w:val="15"/>
  </w:num>
  <w:num w:numId="43" w16cid:durableId="667756309">
    <w:abstractNumId w:val="6"/>
  </w:num>
  <w:num w:numId="44" w16cid:durableId="142236087">
    <w:abstractNumId w:val="27"/>
  </w:num>
  <w:num w:numId="45" w16cid:durableId="2005356031">
    <w:abstractNumId w:val="10"/>
  </w:num>
  <w:num w:numId="46" w16cid:durableId="196281328">
    <w:abstractNumId w:val="45"/>
  </w:num>
  <w:num w:numId="47" w16cid:durableId="2066832860">
    <w:abstractNumId w:val="1"/>
  </w:num>
  <w:num w:numId="48" w16cid:durableId="870455721">
    <w:abstractNumId w:val="21"/>
  </w:num>
  <w:num w:numId="49" w16cid:durableId="633680411">
    <w:abstractNumId w:val="49"/>
  </w:num>
  <w:num w:numId="50" w16cid:durableId="1902322810">
    <w:abstractNumId w:val="11"/>
  </w:num>
  <w:num w:numId="51" w16cid:durableId="1314218672">
    <w:abstractNumId w:val="32"/>
  </w:num>
  <w:num w:numId="52" w16cid:durableId="1163159298">
    <w:abstractNumId w:val="25"/>
  </w:num>
  <w:num w:numId="53" w16cid:durableId="1105920993">
    <w:abstractNumId w:val="56"/>
  </w:num>
  <w:num w:numId="54" w16cid:durableId="243299480">
    <w:abstractNumId w:val="24"/>
  </w:num>
  <w:num w:numId="55" w16cid:durableId="1078215438">
    <w:abstractNumId w:val="52"/>
  </w:num>
  <w:num w:numId="56" w16cid:durableId="684088558">
    <w:abstractNumId w:val="47"/>
  </w:num>
  <w:num w:numId="57" w16cid:durableId="1785494813">
    <w:abstractNumId w:val="38"/>
  </w:num>
  <w:num w:numId="58" w16cid:durableId="541795188">
    <w:abstractNumId w:val="55"/>
  </w:num>
  <w:num w:numId="59" w16cid:durableId="1186214237">
    <w:abstractNumId w:val="19"/>
  </w:num>
  <w:num w:numId="60" w16cid:durableId="1596355010">
    <w:abstractNumId w:val="9"/>
  </w:num>
  <w:num w:numId="61" w16cid:durableId="1442532896">
    <w:abstractNumId w:val="5"/>
  </w:num>
  <w:num w:numId="62" w16cid:durableId="237595317">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A2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0D98"/>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40C"/>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3297"/>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270B"/>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4B4A"/>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2A40"/>
    <w:rsid w:val="004E3BB1"/>
    <w:rsid w:val="004E4035"/>
    <w:rsid w:val="004E486F"/>
    <w:rsid w:val="004E493D"/>
    <w:rsid w:val="004E5113"/>
    <w:rsid w:val="004E51AC"/>
    <w:rsid w:val="004E5D88"/>
    <w:rsid w:val="004E6A5A"/>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0D15"/>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5C5C"/>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53A"/>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1A3"/>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5C3A"/>
    <w:rsid w:val="00AB6B37"/>
    <w:rsid w:val="00AB75E2"/>
    <w:rsid w:val="00AC0C71"/>
    <w:rsid w:val="00AC1DFB"/>
    <w:rsid w:val="00AC2E0C"/>
    <w:rsid w:val="00AC2E28"/>
    <w:rsid w:val="00AC31F4"/>
    <w:rsid w:val="00AC3233"/>
    <w:rsid w:val="00AC366B"/>
    <w:rsid w:val="00AC388D"/>
    <w:rsid w:val="00AC4FDB"/>
    <w:rsid w:val="00AC57B4"/>
    <w:rsid w:val="00AC618B"/>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2D5"/>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41"/>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759"/>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9"/>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https://ohioauditor.gov/references/practiceaids/faccrs.html" TargetMode="External"/><Relationship Id="rId47" Type="http://schemas.openxmlformats.org/officeDocument/2006/relationships/header" Target="header8.xml"/><Relationship Id="rId63" Type="http://schemas.openxmlformats.org/officeDocument/2006/relationships/header" Target="header11.xml"/><Relationship Id="rId68" Type="http://schemas.openxmlformats.org/officeDocument/2006/relationships/hyperlink" Target="Agency_Adoption_of_the_UG_and_Example_Citations.pdf" TargetMode="External"/><Relationship Id="rId84" Type="http://schemas.openxmlformats.org/officeDocument/2006/relationships/hyperlink" Target="48_CFR_Part_52.pdf" TargetMode="External"/><Relationship Id="rId89" Type="http://schemas.openxmlformats.org/officeDocument/2006/relationships/hyperlink" Target="Agency_Adoption_of_the_UG_and_Example_Citations.pdf" TargetMode="External"/><Relationship Id="rId1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ao.gov/assets/gao-14-704g.pdf" TargetMode="External"/><Relationship Id="rId29" Type="http://schemas.openxmlformats.org/officeDocument/2006/relationships/header" Target="header4.xml"/><Relationship Id="rId107" Type="http://schemas.openxmlformats.org/officeDocument/2006/relationships/header" Target="header17.xml"/><Relationship Id="rId11" Type="http://schemas.openxmlformats.org/officeDocument/2006/relationships/hyperlink" Target="https://dam.assets.ohio.gov/image/upload/mha.ohio.gov/SupportingProviders/ApplyforFunding/ForCurrentAwardees/2026/Table-B-2025-12-02.pdf" TargetMode="External"/><Relationship Id="rId24" Type="http://schemas.openxmlformats.org/officeDocument/2006/relationships/header" Target="header2.xml"/><Relationship Id="rId32" Type="http://schemas.openxmlformats.org/officeDocument/2006/relationships/hyperlink" Target="https://www.samhsa.gov/grants/grant-announcements/ti-24-008" TargetMode="External"/><Relationship Id="rId37" Type="http://schemas.openxmlformats.org/officeDocument/2006/relationships/hyperlink" Target="http://www.ohioauditor.gov/references/practiceaids.html" TargetMode="External"/><Relationship Id="rId40" Type="http://schemas.openxmlformats.org/officeDocument/2006/relationships/header" Target="header7.xml"/><Relationship Id="rId45" Type="http://schemas.openxmlformats.org/officeDocument/2006/relationships/hyperlink" Target="Testing_the_ICRP_discussion.pdf" TargetMode="External"/><Relationship Id="rId53" Type="http://schemas.openxmlformats.org/officeDocument/2006/relationships/hyperlink" Target="https://www.fiscal.treasury.gov/ASAP/" TargetMode="External"/><Relationship Id="rId58" Type="http://schemas.openxmlformats.org/officeDocument/2006/relationships/header" Target="header10.xml"/><Relationship Id="rId66" Type="http://schemas.openxmlformats.org/officeDocument/2006/relationships/header" Target="header12.xml"/><Relationship Id="rId74" Type="http://schemas.openxmlformats.org/officeDocument/2006/relationships/hyperlink" Target="https://sam.gov/content/home" TargetMode="External"/><Relationship Id="rId79" Type="http://schemas.openxmlformats.org/officeDocument/2006/relationships/hyperlink" Target="48_CFR_Part_52.pdf" TargetMode="External"/><Relationship Id="rId87" Type="http://schemas.openxmlformats.org/officeDocument/2006/relationships/hyperlink" Target="2_CFR_Part_180.pdf" TargetMode="External"/><Relationship Id="rId102" Type="http://schemas.openxmlformats.org/officeDocument/2006/relationships/header" Target="header16.xml"/><Relationship Id="rId110" Type="http://schemas.openxmlformats.org/officeDocument/2006/relationships/header" Target="header18.xml"/><Relationship Id="rId5" Type="http://schemas.openxmlformats.org/officeDocument/2006/relationships/numbering" Target="numbering.xml"/><Relationship Id="rId61" Type="http://schemas.openxmlformats.org/officeDocument/2006/relationships/hyperlink" Target="https://www.samhsa.gov/grants/grant-announcements/ti-24-008" TargetMode="External"/><Relationship Id="rId82" Type="http://schemas.openxmlformats.org/officeDocument/2006/relationships/hyperlink" Target="48_CFR_Part_52.pdf" TargetMode="External"/><Relationship Id="rId90" Type="http://schemas.openxmlformats.org/officeDocument/2006/relationships/header" Target="header14.xml"/><Relationship Id="rId95" Type="http://schemas.openxmlformats.org/officeDocument/2006/relationships/header" Target="header15.xml"/><Relationship Id="rId19" Type="http://schemas.openxmlformats.org/officeDocument/2006/relationships/footer" Target="footer1.xm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30" Type="http://schemas.openxmlformats.org/officeDocument/2006/relationships/header" Target="header5.xml"/><Relationship Id="rId35" Type="http://schemas.openxmlformats.org/officeDocument/2006/relationships/hyperlink" Target="https://dbh.ohio.gov/supporting-providers/apply-for-funding/funding-opportunities/funding-opportunities" TargetMode="External"/><Relationship Id="rId43" Type="http://schemas.openxmlformats.org/officeDocument/2006/relationships/hyperlink" Target="Selected_Items_of_Cost_Part_3.2_ComplianceSupplement.pdf" TargetMode="External"/><Relationship Id="rId48" Type="http://schemas.openxmlformats.org/officeDocument/2006/relationships/hyperlink" Target="31_CFR_Part_205.pdf" TargetMode="External"/><Relationship Id="rId56" Type="http://schemas.openxmlformats.org/officeDocument/2006/relationships/header" Target="header9.xml"/><Relationship Id="rId64" Type="http://schemas.openxmlformats.org/officeDocument/2006/relationships/hyperlink" Target="https://www.samhsa.gov/grants/grant-announcements/ti-24-008" TargetMode="External"/><Relationship Id="rId69" Type="http://schemas.openxmlformats.org/officeDocument/2006/relationships/header" Target="header13.xml"/><Relationship Id="rId77" Type="http://schemas.openxmlformats.org/officeDocument/2006/relationships/hyperlink" Target="48_CFR_Part_9.pdf" TargetMode="External"/><Relationship Id="rId100" Type="http://schemas.openxmlformats.org/officeDocument/2006/relationships/hyperlink" Target="https://www.samhsa.gov/sites/default/files/csat-gpra-client-outcomes-measures-tool.pdf" TargetMode="External"/><Relationship Id="rId105" Type="http://schemas.openxmlformats.org/officeDocument/2006/relationships/hyperlink" Target="https://www.samhsa.gov/grants/grant-announcements/ti-24-008"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fiscal.treasury.gov/cmia/" TargetMode="External"/><Relationship Id="rId72" Type="http://schemas.openxmlformats.org/officeDocument/2006/relationships/hyperlink" Target="https://www.whitehouse.gov/wp-content/uploads/2023/10/M-24-02-Buy-America-Implementation-Guidance-Update.pdf" TargetMode="External"/><Relationship Id="rId80" Type="http://schemas.openxmlformats.org/officeDocument/2006/relationships/hyperlink" Target="48_CFR_Part_52.pdf" TargetMode="External"/><Relationship Id="rId85" Type="http://schemas.openxmlformats.org/officeDocument/2006/relationships/hyperlink" Target="48_CFR_Part_15.pdf" TargetMode="External"/><Relationship Id="rId93" Type="http://schemas.openxmlformats.org/officeDocument/2006/relationships/hyperlink" Target="https://www.samhsa.gov/grants/grant-announcements/ti-24-008" TargetMode="External"/><Relationship Id="rId98" Type="http://schemas.openxmlformats.org/officeDocument/2006/relationships/hyperlink" Target="https://www.acquisition.gov/far/52.204-10" TargetMode="External"/><Relationship Id="rId3" Type="http://schemas.openxmlformats.org/officeDocument/2006/relationships/customXml" Target="../customXml/item3.xml"/><Relationship Id="rId12" Type="http://schemas.openxmlformats.org/officeDocument/2006/relationships/hyperlink" Target="OMB_Appendix_VII.pdf" TargetMode="External"/><Relationship Id="rId17" Type="http://schemas.openxmlformats.org/officeDocument/2006/relationships/hyperlink" Target="https://www.gao.gov/assets/gao-25-107721.pdf" TargetMode="External"/><Relationship Id="rId25" Type="http://schemas.openxmlformats.org/officeDocument/2006/relationships/footer" Target="footer2.xml"/><Relationship Id="rId33" Type="http://schemas.openxmlformats.org/officeDocument/2006/relationships/hyperlink" Target="https://dbh.ohio.gov/know-our-programs-and-services/state-opioid-and-stimulant-response/sos-4-resources/sos-4-resources" TargetMode="External"/><Relationship Id="rId38" Type="http://schemas.openxmlformats.org/officeDocument/2006/relationships/hyperlink" Target="https://www.samhsa.gov/grants/grant-announcements/ti-22-005" TargetMode="External"/><Relationship Id="rId46" Type="http://schemas.openxmlformats.org/officeDocument/2006/relationships/hyperlink" Target="Agency_Adoption_of_the_UG_and_Example_Citations.pdf" TargetMode="External"/><Relationship Id="rId59" Type="http://schemas.openxmlformats.org/officeDocument/2006/relationships/hyperlink" Target="48_CFR_Part_52.pdf" TargetMode="External"/><Relationship Id="rId67" Type="http://schemas.openxmlformats.org/officeDocument/2006/relationships/hyperlink" Target="https://www.samhsa.gov/grants/grant-announcements/ti-24-008" TargetMode="External"/><Relationship Id="rId103" Type="http://schemas.openxmlformats.org/officeDocument/2006/relationships/hyperlink" Target="https://www.samhsa.gov/grants/grant-announcements/ti-22-005" TargetMode="External"/><Relationship Id="rId108" Type="http://schemas.openxmlformats.org/officeDocument/2006/relationships/hyperlink" Target="OMB_Appendix_I.pdf" TargetMode="External"/><Relationship Id="rId20" Type="http://schemas.openxmlformats.org/officeDocument/2006/relationships/hyperlink" Target="OMB_Appendix_II.pdf" TargetMode="External"/><Relationship Id="rId41"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54" Type="http://schemas.openxmlformats.org/officeDocument/2006/relationships/hyperlink" Target="48_CFR_Part_52.pdf"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https://www.congress.gov/117/plaws/publ58/PLAW-117publ58.pdf" TargetMode="External"/><Relationship Id="rId75" Type="http://schemas.openxmlformats.org/officeDocument/2006/relationships/hyperlink" Target="2_CFR_Part_180.pdf" TargetMode="External"/><Relationship Id="rId83" Type="http://schemas.openxmlformats.org/officeDocument/2006/relationships/hyperlink" Target="48_CFR_Part_52.pdf" TargetMode="External"/><Relationship Id="rId88" Type="http://schemas.openxmlformats.org/officeDocument/2006/relationships/hyperlink" Target="48_CFR_Part_52.pdf" TargetMode="External"/><Relationship Id="rId91" Type="http://schemas.openxmlformats.org/officeDocument/2006/relationships/hyperlink" Target="37_CFR_part_401.pdf" TargetMode="External"/><Relationship Id="rId96" Type="http://schemas.openxmlformats.org/officeDocument/2006/relationships/hyperlink" Target="https://grants.gov/"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OMB_Part_6.pdf" TargetMode="External"/><Relationship Id="rId36" Type="http://schemas.openxmlformats.org/officeDocument/2006/relationships/header" Target="header6.xml"/><Relationship Id="rId49" Type="http://schemas.openxmlformats.org/officeDocument/2006/relationships/hyperlink" Target="48_CFR_Part_52.pdf" TargetMode="External"/><Relationship Id="rId57" Type="http://schemas.openxmlformats.org/officeDocument/2006/relationships/hyperlink" Target="Agency_Adoption_of_the_UG_and_Example_Citations.pdf" TargetMode="External"/><Relationship Id="rId106" Type="http://schemas.openxmlformats.org/officeDocument/2006/relationships/hyperlink" Target="Agency_Adoption_of_the_UG_and_Example_Citations.pdf" TargetMode="External"/><Relationship Id="rId10" Type="http://schemas.openxmlformats.org/officeDocument/2006/relationships/endnotes" Target="endnotes.xml"/><Relationship Id="rId31" Type="http://schemas.openxmlformats.org/officeDocument/2006/relationships/hyperlink" Target="https://www.samhsa.gov/grants/grant-announcements/ti-24-008" TargetMode="External"/><Relationship Id="rId44" Type="http://schemas.openxmlformats.org/officeDocument/2006/relationships/hyperlink" Target="https://www.samhsa.gov/grants/grant-announcements/ti-24-008" TargetMode="External"/><Relationship Id="rId52" Type="http://schemas.openxmlformats.org/officeDocument/2006/relationships/hyperlink" Target="https://www.hhs.gov/about/agencies/asa/psc/accounting/payment-management/index.html" TargetMode="External"/><Relationship Id="rId60" Type="http://schemas.openxmlformats.org/officeDocument/2006/relationships/hyperlink" Target="48_CFR_Part_52.pdf" TargetMode="External"/><Relationship Id="rId65" Type="http://schemas.openxmlformats.org/officeDocument/2006/relationships/hyperlink" Target="Agency_Adoption_of_the_UG_and_Example_Citations.pdf" TargetMode="External"/><Relationship Id="rId73" Type="http://schemas.openxmlformats.org/officeDocument/2006/relationships/hyperlink" Target="https://www.madeinamerica.gov/waivers" TargetMode="External"/><Relationship Id="rId78" Type="http://schemas.openxmlformats.org/officeDocument/2006/relationships/hyperlink" Target="48_CFR_Part_52.pdf" TargetMode="External"/><Relationship Id="rId81" Type="http://schemas.openxmlformats.org/officeDocument/2006/relationships/hyperlink" Target="48_CFR_Part_44.pdf" TargetMode="External"/><Relationship Id="rId86" Type="http://schemas.openxmlformats.org/officeDocument/2006/relationships/hyperlink" Target="48_CFR_Part_52.pdf" TargetMode="External"/><Relationship Id="rId94" Type="http://schemas.openxmlformats.org/officeDocument/2006/relationships/hyperlink" Target="Agency_Adoption_of_the_UG_and_Example_Citations.pdf" TargetMode="External"/><Relationship Id="rId99" Type="http://schemas.openxmlformats.org/officeDocument/2006/relationships/hyperlink" Target="https://www.usaspending.gov/search" TargetMode="External"/><Relationship Id="rId101"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OSFederal@ohioauditor.gov" TargetMode="External"/><Relationship Id="rId18" Type="http://schemas.openxmlformats.org/officeDocument/2006/relationships/hyperlink" Target="2_CFR_Part_200_2024Revisions.pdf" TargetMode="External"/><Relationship Id="rId39" Type="http://schemas.openxmlformats.org/officeDocument/2006/relationships/hyperlink" Target="Agency_Adoption_of_the_UG_and_Example_Citations.pdf" TargetMode="External"/><Relationship Id="rId109" Type="http://schemas.openxmlformats.org/officeDocument/2006/relationships/hyperlink" Target="Agency_Adoption_of_the_UG_and_Example_Citations.pdf" TargetMode="External"/><Relationship Id="rId34" Type="http://schemas.openxmlformats.org/officeDocument/2006/relationships/hyperlink" Target="https://mha.ohio.gov/supporting-providers/apply-for-funding/funding-opportunities/funding-opportunities" TargetMode="External"/><Relationship Id="rId50" Type="http://schemas.openxmlformats.org/officeDocument/2006/relationships/hyperlink" Target="48_CFR_Part_52.pdf" TargetMode="External"/><Relationship Id="rId55" Type="http://schemas.openxmlformats.org/officeDocument/2006/relationships/hyperlink" Target="Agency_Adoption_of_the_UG_and_Example_Citations.pdf" TargetMode="External"/><Relationship Id="rId76" Type="http://schemas.openxmlformats.org/officeDocument/2006/relationships/hyperlink" Target="OMB_Appendix_II.pdf" TargetMode="External"/><Relationship Id="rId97" Type="http://schemas.openxmlformats.org/officeDocument/2006/relationships/hyperlink" Target="https://www.usaspending.gov/search" TargetMode="External"/><Relationship Id="rId104" Type="http://schemas.openxmlformats.org/officeDocument/2006/relationships/hyperlink" Target="https://www.samhsa.gov/grants/grant-announcements/ti-24-008" TargetMode="External"/><Relationship Id="rId7" Type="http://schemas.openxmlformats.org/officeDocument/2006/relationships/settings" Target="settings.xml"/><Relationship Id="rId71" Type="http://schemas.openxmlformats.org/officeDocument/2006/relationships/hyperlink" Target="https://www.ecfr.gov/current/title-2/subtitle-A/chapter-I/part-184" TargetMode="External"/><Relationship Id="rId92" Type="http://schemas.openxmlformats.org/officeDocument/2006/relationships/hyperlink" Target="37_CFR_part_40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02A22"/>
    <w:rsid w:val="00016009"/>
    <w:rsid w:val="000D2ED7"/>
    <w:rsid w:val="00287BE1"/>
    <w:rsid w:val="002E1B1A"/>
    <w:rsid w:val="003C6842"/>
    <w:rsid w:val="0041270B"/>
    <w:rsid w:val="00435AE4"/>
    <w:rsid w:val="00444C5F"/>
    <w:rsid w:val="00482C49"/>
    <w:rsid w:val="00560B1D"/>
    <w:rsid w:val="0057650C"/>
    <w:rsid w:val="005D662F"/>
    <w:rsid w:val="00755AD6"/>
    <w:rsid w:val="00776DDE"/>
    <w:rsid w:val="0089153A"/>
    <w:rsid w:val="00974272"/>
    <w:rsid w:val="009D78C2"/>
    <w:rsid w:val="00A97B5A"/>
    <w:rsid w:val="00AC1185"/>
    <w:rsid w:val="00BB24E2"/>
    <w:rsid w:val="00C632B1"/>
    <w:rsid w:val="00CC64A1"/>
    <w:rsid w:val="00E476A2"/>
    <w:rsid w:val="00FA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89</Pages>
  <Words>31180</Words>
  <Characters>190380</Characters>
  <Application>Microsoft Office Word</Application>
  <DocSecurity>0</DocSecurity>
  <Lines>3340</Lines>
  <Paragraphs>1582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219978</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40</cp:revision>
  <cp:lastPrinted>2015-07-01T17:39:00Z</cp:lastPrinted>
  <dcterms:created xsi:type="dcterms:W3CDTF">2025-09-30T13:32:00Z</dcterms:created>
  <dcterms:modified xsi:type="dcterms:W3CDTF">2026-03-11T20:23:00Z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