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57CC7BFF" w:rsidR="00B3756A" w:rsidRPr="00A0464C" w:rsidRDefault="00DD1961" w:rsidP="003D19F2">
            <w:pPr>
              <w:jc w:val="both"/>
              <w:rPr>
                <w:rFonts w:ascii="Arial" w:hAnsi="Arial" w:cs="Arial"/>
                <w:sz w:val="24"/>
                <w:szCs w:val="24"/>
              </w:rPr>
            </w:pPr>
            <w:r>
              <w:rPr>
                <w:rFonts w:ascii="Arial" w:hAnsi="Arial" w:cs="Arial"/>
                <w:sz w:val="24"/>
                <w:szCs w:val="24"/>
              </w:rPr>
              <w:t>Student Financial Assistance Cluster</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5CEA1FB2" w14:textId="77777777" w:rsidR="00DD1961" w:rsidRPr="006F45D9" w:rsidRDefault="00DD1961" w:rsidP="00DD1961">
            <w:pPr>
              <w:jc w:val="both"/>
              <w:rPr>
                <w:rFonts w:ascii="Arial" w:hAnsi="Arial" w:cs="Arial"/>
                <w:sz w:val="24"/>
                <w:szCs w:val="24"/>
              </w:rPr>
            </w:pPr>
            <w:r w:rsidRPr="006F45D9">
              <w:rPr>
                <w:rFonts w:ascii="Arial" w:hAnsi="Arial" w:cs="Arial"/>
                <w:sz w:val="24"/>
                <w:szCs w:val="24"/>
              </w:rPr>
              <w:t>#84.007 Federal Supplemental Educational Opportunity Grants (FSEOG)</w:t>
            </w:r>
          </w:p>
          <w:p w14:paraId="1CCEE275" w14:textId="77777777" w:rsidR="00DD1961" w:rsidRPr="006F45D9" w:rsidRDefault="00DD1961" w:rsidP="00DD1961">
            <w:pPr>
              <w:jc w:val="both"/>
              <w:rPr>
                <w:rFonts w:ascii="Arial" w:hAnsi="Arial" w:cs="Arial"/>
                <w:sz w:val="24"/>
                <w:szCs w:val="24"/>
              </w:rPr>
            </w:pPr>
            <w:r w:rsidRPr="006F45D9">
              <w:rPr>
                <w:rFonts w:ascii="Arial" w:hAnsi="Arial" w:cs="Arial"/>
                <w:sz w:val="24"/>
                <w:szCs w:val="24"/>
              </w:rPr>
              <w:t>#84.063 Federal Pell Grant Program</w:t>
            </w:r>
          </w:p>
          <w:p w14:paraId="621E241C" w14:textId="47D26078" w:rsidR="00B3756A" w:rsidRPr="00A0464C" w:rsidRDefault="00DD1961" w:rsidP="00DD1961">
            <w:pPr>
              <w:jc w:val="both"/>
              <w:rPr>
                <w:rFonts w:ascii="Arial" w:hAnsi="Arial" w:cs="Arial"/>
                <w:sz w:val="24"/>
                <w:szCs w:val="24"/>
              </w:rPr>
            </w:pPr>
            <w:r w:rsidRPr="006F45D9">
              <w:rPr>
                <w:rFonts w:ascii="Arial" w:hAnsi="Arial" w:cs="Arial"/>
                <w:sz w:val="24"/>
                <w:szCs w:val="24"/>
              </w:rPr>
              <w:t>#84.268 Federal Direct Student Loans</w:t>
            </w:r>
          </w:p>
        </w:tc>
      </w:tr>
      <w:tr w:rsidR="00DD1961" w:rsidRPr="00F00D94" w14:paraId="2DCAC796" w14:textId="77777777" w:rsidTr="00B62A8A">
        <w:tc>
          <w:tcPr>
            <w:tcW w:w="1560" w:type="pct"/>
            <w:shd w:val="clear" w:color="auto" w:fill="DBE5F1"/>
          </w:tcPr>
          <w:p w14:paraId="749E5A12" w14:textId="77777777" w:rsidR="00DD1961" w:rsidRPr="00A0464C" w:rsidRDefault="00DD1961" w:rsidP="00B62A8A">
            <w:pPr>
              <w:jc w:val="both"/>
              <w:rPr>
                <w:rFonts w:ascii="Arial" w:hAnsi="Arial" w:cs="Arial"/>
                <w:b/>
                <w:sz w:val="24"/>
                <w:szCs w:val="24"/>
              </w:rPr>
            </w:pPr>
            <w:r>
              <w:rPr>
                <w:rFonts w:ascii="Arial" w:hAnsi="Arial" w:cs="Arial"/>
                <w:b/>
                <w:sz w:val="24"/>
                <w:szCs w:val="24"/>
              </w:rPr>
              <w:t>Note:</w:t>
            </w:r>
          </w:p>
        </w:tc>
        <w:tc>
          <w:tcPr>
            <w:tcW w:w="3440" w:type="pct"/>
          </w:tcPr>
          <w:p w14:paraId="79F26CFB" w14:textId="189B3B0E" w:rsidR="00DD1961" w:rsidRPr="006F45D9" w:rsidRDefault="00DD1961" w:rsidP="00B62A8A">
            <w:pPr>
              <w:jc w:val="both"/>
              <w:rPr>
                <w:rFonts w:ascii="Arial" w:hAnsi="Arial" w:cs="Arial"/>
                <w:sz w:val="24"/>
                <w:szCs w:val="24"/>
              </w:rPr>
            </w:pPr>
            <w:r w:rsidRPr="006F45D9">
              <w:rPr>
                <w:rFonts w:ascii="Arial" w:hAnsi="Arial" w:cs="Arial"/>
                <w:sz w:val="24"/>
                <w:szCs w:val="24"/>
              </w:rPr>
              <w:t xml:space="preserve">The Student Financial Assistance Cluster also contains the following programs; however, these are not likely to occur at most local schools. If they occur, they are not likely to be material to the cluster. If you need to test one of the following programs, refer to Part 5 of the OMB Compliance Supplement </w:t>
            </w:r>
            <w:r w:rsidRPr="00354FF7">
              <w:rPr>
                <w:rFonts w:ascii="Arial" w:hAnsi="Arial" w:cs="Arial"/>
                <w:sz w:val="24"/>
                <w:szCs w:val="24"/>
              </w:rPr>
              <w:t>and AOS auditors</w:t>
            </w:r>
            <w:r>
              <w:rPr>
                <w:rFonts w:ascii="Arial" w:hAnsi="Arial" w:cs="Arial"/>
                <w:b/>
                <w:bCs/>
                <w:sz w:val="24"/>
                <w:szCs w:val="24"/>
              </w:rPr>
              <w:t xml:space="preserve"> </w:t>
            </w:r>
            <w:r w:rsidRPr="006F45D9">
              <w:rPr>
                <w:rFonts w:ascii="Arial" w:hAnsi="Arial" w:cs="Arial"/>
                <w:sz w:val="24"/>
                <w:szCs w:val="24"/>
              </w:rPr>
              <w:t xml:space="preserve">contact the Center for Audit Excellence via the </w:t>
            </w:r>
            <w:r w:rsidR="004A6745">
              <w:rPr>
                <w:rFonts w:ascii="Arial" w:hAnsi="Arial" w:cs="Arial"/>
                <w:sz w:val="24"/>
                <w:szCs w:val="24"/>
              </w:rPr>
              <w:t>Federal</w:t>
            </w:r>
            <w:r w:rsidRPr="006F45D9">
              <w:rPr>
                <w:rFonts w:ascii="Arial" w:hAnsi="Arial" w:cs="Arial"/>
                <w:sz w:val="24"/>
                <w:szCs w:val="24"/>
              </w:rPr>
              <w:t xml:space="preserve"> Specialty in </w:t>
            </w:r>
            <w:r w:rsidR="004A6745">
              <w:rPr>
                <w:rFonts w:ascii="Arial" w:hAnsi="Arial" w:cs="Arial"/>
                <w:sz w:val="24"/>
                <w:szCs w:val="24"/>
              </w:rPr>
              <w:t>HappyFox</w:t>
            </w:r>
            <w:r>
              <w:rPr>
                <w:rFonts w:ascii="Arial" w:hAnsi="Arial" w:cs="Arial"/>
                <w:sz w:val="24"/>
                <w:szCs w:val="24"/>
              </w:rPr>
              <w:t xml:space="preserve"> (IPAs use the </w:t>
            </w:r>
            <w:hyperlink r:id="rId11" w:history="1">
              <w:r w:rsidRPr="00354FF7">
                <w:rPr>
                  <w:rStyle w:val="Hyperlink"/>
                  <w:rFonts w:cs="Arial"/>
                  <w:sz w:val="24"/>
                  <w:szCs w:val="24"/>
                </w:rPr>
                <w:t>AOS Federal Inbox</w:t>
              </w:r>
            </w:hyperlink>
            <w:r>
              <w:rPr>
                <w:rFonts w:ascii="Arial" w:hAnsi="Arial" w:cs="Arial"/>
                <w:sz w:val="24"/>
                <w:szCs w:val="24"/>
              </w:rPr>
              <w:t>).</w:t>
            </w:r>
          </w:p>
          <w:p w14:paraId="644BD08B" w14:textId="77777777" w:rsidR="00DD1961" w:rsidRPr="006F45D9" w:rsidRDefault="00DD1961" w:rsidP="00B62A8A">
            <w:pPr>
              <w:jc w:val="both"/>
              <w:rPr>
                <w:rFonts w:ascii="Arial" w:hAnsi="Arial" w:cs="Arial"/>
                <w:sz w:val="24"/>
                <w:szCs w:val="24"/>
              </w:rPr>
            </w:pPr>
            <w:r w:rsidRPr="006F45D9">
              <w:rPr>
                <w:rFonts w:ascii="Arial" w:hAnsi="Arial" w:cs="Arial"/>
                <w:sz w:val="24"/>
                <w:szCs w:val="24"/>
              </w:rPr>
              <w:t xml:space="preserve"> </w:t>
            </w:r>
          </w:p>
          <w:p w14:paraId="4B8C4BF9" w14:textId="77777777" w:rsidR="00DD1961" w:rsidRPr="006F45D9" w:rsidRDefault="00DD1961" w:rsidP="00B62A8A">
            <w:pPr>
              <w:jc w:val="both"/>
              <w:rPr>
                <w:rFonts w:ascii="Arial" w:hAnsi="Arial" w:cs="Arial"/>
                <w:sz w:val="24"/>
                <w:szCs w:val="24"/>
              </w:rPr>
            </w:pPr>
            <w:r w:rsidRPr="006F45D9">
              <w:rPr>
                <w:rFonts w:ascii="Arial" w:hAnsi="Arial" w:cs="Arial"/>
                <w:sz w:val="24"/>
                <w:szCs w:val="24"/>
              </w:rPr>
              <w:t>#84.033 Federal Work-Study Program</w:t>
            </w:r>
          </w:p>
          <w:p w14:paraId="604B6360" w14:textId="77777777" w:rsidR="00DD1961" w:rsidRPr="006F45D9" w:rsidRDefault="00DD1961" w:rsidP="00B62A8A">
            <w:pPr>
              <w:jc w:val="both"/>
              <w:rPr>
                <w:rFonts w:ascii="Arial" w:hAnsi="Arial" w:cs="Arial"/>
                <w:sz w:val="24"/>
                <w:szCs w:val="24"/>
              </w:rPr>
            </w:pPr>
            <w:r w:rsidRPr="006F45D9">
              <w:rPr>
                <w:rFonts w:ascii="Arial" w:hAnsi="Arial" w:cs="Arial"/>
                <w:sz w:val="24"/>
                <w:szCs w:val="24"/>
              </w:rPr>
              <w:t xml:space="preserve">#84.038 Federal Perkins Loan Program </w:t>
            </w:r>
          </w:p>
          <w:p w14:paraId="4730447F" w14:textId="77777777" w:rsidR="00DD1961" w:rsidRPr="006F45D9" w:rsidRDefault="00DD1961" w:rsidP="00B62A8A">
            <w:pPr>
              <w:jc w:val="both"/>
              <w:rPr>
                <w:rFonts w:ascii="Arial" w:hAnsi="Arial" w:cs="Arial"/>
                <w:sz w:val="24"/>
                <w:szCs w:val="24"/>
              </w:rPr>
            </w:pPr>
            <w:r w:rsidRPr="006F45D9">
              <w:rPr>
                <w:rFonts w:ascii="Arial" w:hAnsi="Arial" w:cs="Arial"/>
                <w:sz w:val="24"/>
                <w:szCs w:val="24"/>
              </w:rPr>
              <w:t>#84.379 Teacher Education Assistance for College and Higher Education Grants (TEACH Grants)</w:t>
            </w:r>
          </w:p>
          <w:p w14:paraId="21C0A82F" w14:textId="77777777" w:rsidR="00DD1961" w:rsidRPr="006F45D9" w:rsidRDefault="00DD1961" w:rsidP="00B62A8A">
            <w:pPr>
              <w:jc w:val="both"/>
              <w:rPr>
                <w:rFonts w:ascii="Arial" w:hAnsi="Arial" w:cs="Arial"/>
                <w:sz w:val="24"/>
                <w:szCs w:val="24"/>
              </w:rPr>
            </w:pPr>
            <w:r w:rsidRPr="006F45D9">
              <w:rPr>
                <w:rFonts w:ascii="Arial" w:hAnsi="Arial" w:cs="Arial"/>
                <w:sz w:val="24"/>
                <w:szCs w:val="24"/>
              </w:rPr>
              <w:t>#84.408 Postsecondary Education Scholarships for Veteran’s Dependents (Iraq and Afghanistan Service Grant (IASG))</w:t>
            </w:r>
          </w:p>
          <w:p w14:paraId="7700EA10" w14:textId="77777777" w:rsidR="00DD1961" w:rsidRPr="006F45D9" w:rsidRDefault="00DD1961" w:rsidP="00B62A8A">
            <w:pPr>
              <w:jc w:val="both"/>
              <w:rPr>
                <w:rFonts w:ascii="Arial" w:hAnsi="Arial" w:cs="Arial"/>
                <w:sz w:val="24"/>
                <w:szCs w:val="24"/>
              </w:rPr>
            </w:pPr>
            <w:r w:rsidRPr="006F45D9">
              <w:rPr>
                <w:rFonts w:ascii="Arial" w:hAnsi="Arial" w:cs="Arial"/>
                <w:sz w:val="24"/>
                <w:szCs w:val="24"/>
              </w:rPr>
              <w:t>#93.264 Nurse Facility Loan Program (NFLP)</w:t>
            </w:r>
          </w:p>
          <w:p w14:paraId="79206397" w14:textId="77777777" w:rsidR="00DD1961" w:rsidRPr="006F45D9" w:rsidRDefault="00DD1961" w:rsidP="00B62A8A">
            <w:pPr>
              <w:jc w:val="both"/>
              <w:rPr>
                <w:rFonts w:ascii="Arial" w:hAnsi="Arial" w:cs="Arial"/>
                <w:sz w:val="24"/>
                <w:szCs w:val="24"/>
              </w:rPr>
            </w:pPr>
            <w:r w:rsidRPr="006F45D9">
              <w:rPr>
                <w:rFonts w:ascii="Arial" w:hAnsi="Arial" w:cs="Arial"/>
                <w:sz w:val="24"/>
                <w:szCs w:val="24"/>
              </w:rPr>
              <w:t>#93.342 Health Professions Student Loans, Including Primary Care Loans and Loans for Disadvantaged Students (HPSL/PCL/LDS)</w:t>
            </w:r>
          </w:p>
          <w:p w14:paraId="6A999AC1" w14:textId="77777777" w:rsidR="00DD1961" w:rsidRPr="006F45D9" w:rsidRDefault="00DD1961" w:rsidP="00B62A8A">
            <w:pPr>
              <w:jc w:val="both"/>
              <w:rPr>
                <w:rFonts w:ascii="Arial" w:hAnsi="Arial" w:cs="Arial"/>
                <w:sz w:val="24"/>
                <w:szCs w:val="24"/>
              </w:rPr>
            </w:pPr>
            <w:r w:rsidRPr="006F45D9">
              <w:rPr>
                <w:rFonts w:ascii="Arial" w:hAnsi="Arial" w:cs="Arial"/>
                <w:sz w:val="24"/>
                <w:szCs w:val="24"/>
              </w:rPr>
              <w:t>#93.364 Nursing Student Loans (NSL)</w:t>
            </w:r>
          </w:p>
          <w:p w14:paraId="21D2C48B" w14:textId="77777777" w:rsidR="00DD1961" w:rsidRPr="006F45D9" w:rsidRDefault="00DD1961" w:rsidP="00B62A8A">
            <w:pPr>
              <w:jc w:val="both"/>
              <w:rPr>
                <w:rFonts w:ascii="Arial" w:hAnsi="Arial" w:cs="Arial"/>
                <w:sz w:val="24"/>
                <w:szCs w:val="24"/>
              </w:rPr>
            </w:pPr>
            <w:r w:rsidRPr="006F45D9">
              <w:rPr>
                <w:rFonts w:ascii="Arial" w:hAnsi="Arial" w:cs="Arial"/>
                <w:sz w:val="24"/>
                <w:szCs w:val="24"/>
              </w:rPr>
              <w:t>#93.925 Scholarships for Health Professions Students from Disadvantaged Backgrounds – Scholarships for Disadvantaged Students (SDS)</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22880B54" w:rsidR="00B3756A" w:rsidRPr="00886A3E" w:rsidRDefault="00DD1961" w:rsidP="003D19F2">
                <w:pPr>
                  <w:jc w:val="both"/>
                  <w:rPr>
                    <w:rFonts w:ascii="Arial" w:hAnsi="Arial" w:cs="Arial"/>
                    <w:sz w:val="24"/>
                    <w:szCs w:val="24"/>
                  </w:rPr>
                </w:pPr>
                <w:r>
                  <w:rPr>
                    <w:rFonts w:ascii="Arial" w:hAnsi="Arial" w:cs="Arial"/>
                    <w:sz w:val="24"/>
                    <w:szCs w:val="24"/>
                  </w:rPr>
                  <w:t>Direct</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396A42CD" w:rsidR="00B3756A" w:rsidRPr="00A0464C" w:rsidRDefault="00DD1961" w:rsidP="003D19F2">
            <w:pPr>
              <w:jc w:val="both"/>
              <w:rPr>
                <w:rFonts w:ascii="Arial" w:hAnsi="Arial" w:cs="Arial"/>
                <w:sz w:val="24"/>
                <w:szCs w:val="24"/>
              </w:rPr>
            </w:pPr>
            <w:r>
              <w:rPr>
                <w:rFonts w:ascii="Arial" w:hAnsi="Arial" w:cs="Arial"/>
                <w:sz w:val="24"/>
                <w:szCs w:val="24"/>
              </w:rPr>
              <w:t>N/A</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lastRenderedPageBreak/>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lastRenderedPageBreak/>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5BEE3194" w14:textId="77777777" w:rsidR="00A44256" w:rsidRDefault="00A44256" w:rsidP="00A44256">
            <w:pPr>
              <w:jc w:val="both"/>
              <w:rPr>
                <w:rFonts w:ascii="Arial" w:hAnsi="Arial" w:cs="Arial"/>
                <w:sz w:val="24"/>
                <w:szCs w:val="24"/>
              </w:rPr>
            </w:pPr>
            <w:r w:rsidRPr="00A44256">
              <w:rPr>
                <w:rFonts w:ascii="Arial" w:hAnsi="Arial" w:cs="Arial"/>
                <w:sz w:val="24"/>
                <w:szCs w:val="24"/>
              </w:rPr>
              <w:t>Per the US Department of Education 2 CFR 200 FAQs dated July 2024, "the effective date of the revised Uniform Guidance provisions in 2 CFR Part 200 is October 1, 2024, except for State-administered formula grants, which have the option of implementing as early July 1, 2024...for the Department’s other grants (discretionary, new and continuation awards, and direct formula grants), the effective date is October 1, 2024."</w:t>
            </w:r>
          </w:p>
          <w:p w14:paraId="2124367E" w14:textId="77777777" w:rsidR="00A44256" w:rsidRPr="00A44256" w:rsidRDefault="00A44256" w:rsidP="00A44256">
            <w:pPr>
              <w:jc w:val="both"/>
              <w:rPr>
                <w:rFonts w:ascii="Arial" w:hAnsi="Arial" w:cs="Arial"/>
                <w:sz w:val="24"/>
                <w:szCs w:val="24"/>
              </w:rPr>
            </w:pPr>
          </w:p>
          <w:p w14:paraId="4B7C991A" w14:textId="5BF0D0DB" w:rsidR="00B3756A" w:rsidRDefault="00A44256" w:rsidP="00A44256">
            <w:pPr>
              <w:jc w:val="both"/>
              <w:rPr>
                <w:rFonts w:ascii="Arial" w:hAnsi="Arial" w:cs="Arial"/>
                <w:sz w:val="24"/>
                <w:szCs w:val="24"/>
              </w:rPr>
            </w:pPr>
            <w:r w:rsidRPr="00A44256">
              <w:rPr>
                <w:rFonts w:ascii="Arial" w:hAnsi="Arial" w:cs="Arial"/>
                <w:sz w:val="24"/>
                <w:szCs w:val="24"/>
              </w:rPr>
              <w:t>After reviewing both the pre- and post-2024 Revisions guidance, CFAE determined that student financial assistance funding from the US Department of Education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0306790"/>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FD4ED08"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2"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339A6DD"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3"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lastRenderedPageBreak/>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5C32501" w:rsidR="004717CE" w:rsidRPr="00F00D94" w:rsidRDefault="004717CE" w:rsidP="008827D6">
      <w:pPr>
        <w:pStyle w:val="BodyText"/>
        <w:widowControl w:val="0"/>
        <w:numPr>
          <w:ilvl w:val="0"/>
          <w:numId w:val="34"/>
        </w:numPr>
        <w:autoSpaceDE w:val="0"/>
        <w:autoSpaceDN w:val="0"/>
        <w:spacing w:after="0"/>
        <w:rPr>
          <w:rFonts w:ascii="Arial" w:hAnsi="Arial" w:cs="Arial"/>
          <w:szCs w:val="20"/>
        </w:rPr>
      </w:pPr>
      <w:hyperlink r:id="rId14"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6F8476" w:rsidR="004717CE" w:rsidRPr="00F00D94" w:rsidRDefault="004717CE" w:rsidP="008827D6">
      <w:pPr>
        <w:pStyle w:val="BodyText"/>
        <w:widowControl w:val="0"/>
        <w:numPr>
          <w:ilvl w:val="0"/>
          <w:numId w:val="34"/>
        </w:numPr>
        <w:autoSpaceDE w:val="0"/>
        <w:autoSpaceDN w:val="0"/>
        <w:spacing w:after="0"/>
        <w:rPr>
          <w:rFonts w:ascii="Arial" w:hAnsi="Arial" w:cs="Arial"/>
          <w:szCs w:val="20"/>
        </w:rPr>
      </w:pPr>
      <w:hyperlink r:id="rId15" w:history="1">
        <w:r w:rsidRPr="00F00D94">
          <w:rPr>
            <w:rStyle w:val="Hyperlink"/>
            <w:rFonts w:cs="Arial"/>
            <w:szCs w:val="20"/>
          </w:rPr>
          <w:t>2013 COSO</w:t>
        </w:r>
      </w:hyperlink>
    </w:p>
    <w:p w14:paraId="7786A02D" w14:textId="2FD698E7" w:rsidR="004717CE" w:rsidRPr="00D74A1B" w:rsidRDefault="00D74A1B" w:rsidP="008827D6">
      <w:pPr>
        <w:pStyle w:val="BodyText"/>
        <w:widowControl w:val="0"/>
        <w:numPr>
          <w:ilvl w:val="0"/>
          <w:numId w:val="34"/>
        </w:numPr>
        <w:autoSpaceDE w:val="0"/>
        <w:autoSpaceDN w:val="0"/>
        <w:spacing w:after="0"/>
        <w:rPr>
          <w:rStyle w:val="Hyperlink"/>
          <w:rFonts w:cs="Arial"/>
          <w:color w:val="auto"/>
          <w:szCs w:val="20"/>
          <w:u w:val="none"/>
        </w:rPr>
      </w:pPr>
      <w:hyperlink r:id="rId16" w:history="1">
        <w:r w:rsidRPr="00D74A1B">
          <w:rPr>
            <w:rStyle w:val="Hyperlink"/>
            <w:rFonts w:cs="Arial"/>
            <w:szCs w:val="20"/>
          </w:rPr>
          <w:t>GAO's 2014 Green Book</w:t>
        </w:r>
      </w:hyperlink>
      <w:r w:rsidRPr="00D74A1B">
        <w:rPr>
          <w:rFonts w:ascii="Arial" w:hAnsi="Arial" w:cs="Arial"/>
          <w:szCs w:val="20"/>
        </w:rPr>
        <w:t xml:space="preserve"> and </w:t>
      </w:r>
      <w:hyperlink r:id="rId17" w:history="1">
        <w:r w:rsidR="003D1B0E" w:rsidRPr="00D74A1B">
          <w:rPr>
            <w:rStyle w:val="Hyperlink"/>
            <w:rFonts w:cs="Arial"/>
            <w:szCs w:val="20"/>
          </w:rPr>
          <w:t>GAO’s 2025 Green Book</w:t>
        </w:r>
      </w:hyperlink>
    </w:p>
    <w:p w14:paraId="47FC5089" w14:textId="56B49229" w:rsidR="00DF7D32" w:rsidRPr="00F00D94" w:rsidRDefault="004717CE" w:rsidP="008827D6">
      <w:pPr>
        <w:pStyle w:val="BodyText"/>
        <w:widowControl w:val="0"/>
        <w:numPr>
          <w:ilvl w:val="0"/>
          <w:numId w:val="34"/>
        </w:numPr>
        <w:autoSpaceDE w:val="0"/>
        <w:autoSpaceDN w:val="0"/>
        <w:spacing w:after="0"/>
        <w:rPr>
          <w:rStyle w:val="Hyperlink"/>
          <w:rFonts w:cs="Arial"/>
          <w:color w:val="auto"/>
          <w:szCs w:val="20"/>
          <w:u w:val="none"/>
        </w:rPr>
      </w:pPr>
      <w:hyperlink r:id="rId18"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827D6">
      <w:pPr>
        <w:pStyle w:val="ListParagraph"/>
        <w:numPr>
          <w:ilvl w:val="1"/>
          <w:numId w:val="30"/>
        </w:numPr>
        <w:suppressAutoHyphens w:val="0"/>
        <w:autoSpaceDE/>
        <w:autoSpaceDN/>
        <w:adjustRightInd/>
        <w:spacing w:after="240"/>
        <w:jc w:val="both"/>
        <w:rPr>
          <w:rFonts w:ascii="Arial" w:hAnsi="Arial" w:cs="Arial"/>
          <w:b/>
          <w:color w:val="000000" w:themeColor="text1"/>
        </w:rPr>
        <w:sectPr w:rsidR="00805DDB" w:rsidRPr="00F00D94">
          <w:footerReference w:type="default" r:id="rId19"/>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0306791"/>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5AD28590" w:rsidR="00EF77DC" w:rsidRPr="00D74A1B" w:rsidRDefault="009E6B04" w:rsidP="006672EA">
      <w:pPr>
        <w:spacing w:after="240"/>
        <w:jc w:val="both"/>
        <w:rPr>
          <w:rFonts w:ascii="Arial" w:hAnsi="Arial" w:cs="Arial"/>
        </w:rPr>
      </w:pPr>
      <w:hyperlink r:id="rId20"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D35E17F"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1"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544090C6"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2"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306792"/>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3BA00FDA" w14:textId="05891DBE" w:rsidR="00516910"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306790" w:history="1">
            <w:r w:rsidR="00516910" w:rsidRPr="00820F01">
              <w:rPr>
                <w:rStyle w:val="Hyperlink"/>
                <w:rFonts w:cs="Arial"/>
                <w:noProof/>
              </w:rPr>
              <w:t>Important Information</w:t>
            </w:r>
            <w:r w:rsidR="00516910">
              <w:rPr>
                <w:noProof/>
                <w:webHidden/>
              </w:rPr>
              <w:tab/>
            </w:r>
            <w:r w:rsidR="00516910">
              <w:rPr>
                <w:noProof/>
                <w:webHidden/>
              </w:rPr>
              <w:fldChar w:fldCharType="begin"/>
            </w:r>
            <w:r w:rsidR="00516910">
              <w:rPr>
                <w:noProof/>
                <w:webHidden/>
              </w:rPr>
              <w:instrText xml:space="preserve"> PAGEREF _Toc210306790 \h </w:instrText>
            </w:r>
            <w:r w:rsidR="00516910">
              <w:rPr>
                <w:noProof/>
                <w:webHidden/>
              </w:rPr>
            </w:r>
            <w:r w:rsidR="00516910">
              <w:rPr>
                <w:noProof/>
                <w:webHidden/>
              </w:rPr>
              <w:fldChar w:fldCharType="separate"/>
            </w:r>
            <w:r w:rsidR="00516910">
              <w:rPr>
                <w:noProof/>
                <w:webHidden/>
              </w:rPr>
              <w:t>2</w:t>
            </w:r>
            <w:r w:rsidR="00516910">
              <w:rPr>
                <w:noProof/>
                <w:webHidden/>
              </w:rPr>
              <w:fldChar w:fldCharType="end"/>
            </w:r>
          </w:hyperlink>
        </w:p>
        <w:p w14:paraId="068CE9E0" w14:textId="4DB8E9A2" w:rsidR="00516910" w:rsidRDefault="00516910">
          <w:pPr>
            <w:pStyle w:val="TOC1"/>
            <w:rPr>
              <w:rFonts w:asciiTheme="minorHAnsi" w:eastAsiaTheme="minorEastAsia" w:hAnsiTheme="minorHAnsi" w:cstheme="minorBidi"/>
              <w:noProof/>
              <w:kern w:val="2"/>
              <w:sz w:val="24"/>
              <w:szCs w:val="24"/>
              <w14:ligatures w14:val="standardContextual"/>
            </w:rPr>
          </w:pPr>
          <w:hyperlink w:anchor="_Toc210306791" w:history="1">
            <w:r w:rsidRPr="00820F01">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_Toc210306791 \h </w:instrText>
            </w:r>
            <w:r>
              <w:rPr>
                <w:noProof/>
                <w:webHidden/>
              </w:rPr>
            </w:r>
            <w:r>
              <w:rPr>
                <w:noProof/>
                <w:webHidden/>
              </w:rPr>
              <w:fldChar w:fldCharType="separate"/>
            </w:r>
            <w:r>
              <w:rPr>
                <w:noProof/>
                <w:webHidden/>
              </w:rPr>
              <w:t>4</w:t>
            </w:r>
            <w:r>
              <w:rPr>
                <w:noProof/>
                <w:webHidden/>
              </w:rPr>
              <w:fldChar w:fldCharType="end"/>
            </w:r>
          </w:hyperlink>
        </w:p>
        <w:p w14:paraId="66F4FB62" w14:textId="5E1BCC01" w:rsidR="00516910" w:rsidRDefault="00516910">
          <w:pPr>
            <w:pStyle w:val="TOC1"/>
            <w:rPr>
              <w:rFonts w:asciiTheme="minorHAnsi" w:eastAsiaTheme="minorEastAsia" w:hAnsiTheme="minorHAnsi" w:cstheme="minorBidi"/>
              <w:noProof/>
              <w:kern w:val="2"/>
              <w:sz w:val="24"/>
              <w:szCs w:val="24"/>
              <w14:ligatures w14:val="standardContextual"/>
            </w:rPr>
          </w:pPr>
          <w:hyperlink w:anchor="_Toc210306792" w:history="1">
            <w:r w:rsidRPr="00820F01">
              <w:rPr>
                <w:rStyle w:val="Hyperlink"/>
                <w:rFonts w:cs="Arial"/>
                <w:noProof/>
              </w:rPr>
              <w:t>Table of Contents</w:t>
            </w:r>
            <w:r>
              <w:rPr>
                <w:noProof/>
                <w:webHidden/>
              </w:rPr>
              <w:tab/>
            </w:r>
            <w:r>
              <w:rPr>
                <w:noProof/>
                <w:webHidden/>
              </w:rPr>
              <w:fldChar w:fldCharType="begin"/>
            </w:r>
            <w:r>
              <w:rPr>
                <w:noProof/>
                <w:webHidden/>
              </w:rPr>
              <w:instrText xml:space="preserve"> PAGEREF _Toc210306792 \h </w:instrText>
            </w:r>
            <w:r>
              <w:rPr>
                <w:noProof/>
                <w:webHidden/>
              </w:rPr>
            </w:r>
            <w:r>
              <w:rPr>
                <w:noProof/>
                <w:webHidden/>
              </w:rPr>
              <w:fldChar w:fldCharType="separate"/>
            </w:r>
            <w:r>
              <w:rPr>
                <w:noProof/>
                <w:webHidden/>
              </w:rPr>
              <w:t>5</w:t>
            </w:r>
            <w:r>
              <w:rPr>
                <w:noProof/>
                <w:webHidden/>
              </w:rPr>
              <w:fldChar w:fldCharType="end"/>
            </w:r>
          </w:hyperlink>
        </w:p>
        <w:p w14:paraId="5F5CC39A" w14:textId="79CF8D79" w:rsidR="00516910" w:rsidRDefault="00516910">
          <w:pPr>
            <w:pStyle w:val="TOC1"/>
            <w:rPr>
              <w:rFonts w:asciiTheme="minorHAnsi" w:eastAsiaTheme="minorEastAsia" w:hAnsiTheme="minorHAnsi" w:cstheme="minorBidi"/>
              <w:noProof/>
              <w:kern w:val="2"/>
              <w:sz w:val="24"/>
              <w:szCs w:val="24"/>
              <w14:ligatures w14:val="standardContextual"/>
            </w:rPr>
          </w:pPr>
          <w:hyperlink w:anchor="_Toc210306793" w:history="1">
            <w:r w:rsidRPr="00820F01">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_Toc210306793 \h </w:instrText>
            </w:r>
            <w:r>
              <w:rPr>
                <w:noProof/>
                <w:webHidden/>
              </w:rPr>
            </w:r>
            <w:r>
              <w:rPr>
                <w:noProof/>
                <w:webHidden/>
              </w:rPr>
              <w:fldChar w:fldCharType="separate"/>
            </w:r>
            <w:r>
              <w:rPr>
                <w:noProof/>
                <w:webHidden/>
              </w:rPr>
              <w:t>10</w:t>
            </w:r>
            <w:r>
              <w:rPr>
                <w:noProof/>
                <w:webHidden/>
              </w:rPr>
              <w:fldChar w:fldCharType="end"/>
            </w:r>
          </w:hyperlink>
        </w:p>
        <w:p w14:paraId="04C8E575" w14:textId="26E480FD"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794" w:history="1">
            <w:r w:rsidRPr="00820F01">
              <w:rPr>
                <w:rStyle w:val="Hyperlink"/>
                <w:rFonts w:cs="Arial"/>
                <w:noProof/>
              </w:rPr>
              <w:t>I. Program Objectives</w:t>
            </w:r>
            <w:r>
              <w:rPr>
                <w:noProof/>
                <w:webHidden/>
              </w:rPr>
              <w:tab/>
            </w:r>
            <w:r>
              <w:rPr>
                <w:noProof/>
                <w:webHidden/>
              </w:rPr>
              <w:fldChar w:fldCharType="begin"/>
            </w:r>
            <w:r>
              <w:rPr>
                <w:noProof/>
                <w:webHidden/>
              </w:rPr>
              <w:instrText xml:space="preserve"> PAGEREF _Toc210306794 \h </w:instrText>
            </w:r>
            <w:r>
              <w:rPr>
                <w:noProof/>
                <w:webHidden/>
              </w:rPr>
            </w:r>
            <w:r>
              <w:rPr>
                <w:noProof/>
                <w:webHidden/>
              </w:rPr>
              <w:fldChar w:fldCharType="separate"/>
            </w:r>
            <w:r>
              <w:rPr>
                <w:noProof/>
                <w:webHidden/>
              </w:rPr>
              <w:t>10</w:t>
            </w:r>
            <w:r>
              <w:rPr>
                <w:noProof/>
                <w:webHidden/>
              </w:rPr>
              <w:fldChar w:fldCharType="end"/>
            </w:r>
          </w:hyperlink>
        </w:p>
        <w:p w14:paraId="2A176C4F" w14:textId="3D72BC97"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795" w:history="1">
            <w:r w:rsidRPr="00820F01">
              <w:rPr>
                <w:rStyle w:val="Hyperlink"/>
                <w:rFonts w:cs="Arial"/>
                <w:noProof/>
              </w:rPr>
              <w:t>II. Program Procedures</w:t>
            </w:r>
            <w:r>
              <w:rPr>
                <w:noProof/>
                <w:webHidden/>
              </w:rPr>
              <w:tab/>
            </w:r>
            <w:r>
              <w:rPr>
                <w:noProof/>
                <w:webHidden/>
              </w:rPr>
              <w:fldChar w:fldCharType="begin"/>
            </w:r>
            <w:r>
              <w:rPr>
                <w:noProof/>
                <w:webHidden/>
              </w:rPr>
              <w:instrText xml:space="preserve"> PAGEREF _Toc210306795 \h </w:instrText>
            </w:r>
            <w:r>
              <w:rPr>
                <w:noProof/>
                <w:webHidden/>
              </w:rPr>
            </w:r>
            <w:r>
              <w:rPr>
                <w:noProof/>
                <w:webHidden/>
              </w:rPr>
              <w:fldChar w:fldCharType="separate"/>
            </w:r>
            <w:r>
              <w:rPr>
                <w:noProof/>
                <w:webHidden/>
              </w:rPr>
              <w:t>10</w:t>
            </w:r>
            <w:r>
              <w:rPr>
                <w:noProof/>
                <w:webHidden/>
              </w:rPr>
              <w:fldChar w:fldCharType="end"/>
            </w:r>
          </w:hyperlink>
        </w:p>
        <w:p w14:paraId="5FA2CC05" w14:textId="74F9B5F6"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796" w:history="1">
            <w:r w:rsidRPr="00820F01">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_Toc210306796 \h </w:instrText>
            </w:r>
            <w:r>
              <w:rPr>
                <w:noProof/>
                <w:webHidden/>
              </w:rPr>
            </w:r>
            <w:r>
              <w:rPr>
                <w:noProof/>
                <w:webHidden/>
              </w:rPr>
              <w:fldChar w:fldCharType="separate"/>
            </w:r>
            <w:r>
              <w:rPr>
                <w:noProof/>
                <w:webHidden/>
              </w:rPr>
              <w:t>11</w:t>
            </w:r>
            <w:r>
              <w:rPr>
                <w:noProof/>
                <w:webHidden/>
              </w:rPr>
              <w:fldChar w:fldCharType="end"/>
            </w:r>
          </w:hyperlink>
        </w:p>
        <w:p w14:paraId="0379B3F0" w14:textId="1D54401A"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797" w:history="1">
            <w:r w:rsidRPr="00820F01">
              <w:rPr>
                <w:rStyle w:val="Hyperlink"/>
                <w:rFonts w:cs="Arial"/>
                <w:noProof/>
              </w:rPr>
              <w:t>IV. Other Information</w:t>
            </w:r>
            <w:r>
              <w:rPr>
                <w:noProof/>
                <w:webHidden/>
              </w:rPr>
              <w:tab/>
            </w:r>
            <w:r>
              <w:rPr>
                <w:noProof/>
                <w:webHidden/>
              </w:rPr>
              <w:fldChar w:fldCharType="begin"/>
            </w:r>
            <w:r>
              <w:rPr>
                <w:noProof/>
                <w:webHidden/>
              </w:rPr>
              <w:instrText xml:space="preserve"> PAGEREF _Toc210306797 \h </w:instrText>
            </w:r>
            <w:r>
              <w:rPr>
                <w:noProof/>
                <w:webHidden/>
              </w:rPr>
            </w:r>
            <w:r>
              <w:rPr>
                <w:noProof/>
                <w:webHidden/>
              </w:rPr>
              <w:fldChar w:fldCharType="separate"/>
            </w:r>
            <w:r>
              <w:rPr>
                <w:noProof/>
                <w:webHidden/>
              </w:rPr>
              <w:t>11</w:t>
            </w:r>
            <w:r>
              <w:rPr>
                <w:noProof/>
                <w:webHidden/>
              </w:rPr>
              <w:fldChar w:fldCharType="end"/>
            </w:r>
          </w:hyperlink>
        </w:p>
        <w:p w14:paraId="6EF8A2AD" w14:textId="65ED90B3" w:rsidR="00516910" w:rsidRDefault="00516910">
          <w:pPr>
            <w:pStyle w:val="TOC1"/>
            <w:rPr>
              <w:rFonts w:asciiTheme="minorHAnsi" w:eastAsiaTheme="minorEastAsia" w:hAnsiTheme="minorHAnsi" w:cstheme="minorBidi"/>
              <w:noProof/>
              <w:kern w:val="2"/>
              <w:sz w:val="24"/>
              <w:szCs w:val="24"/>
              <w14:ligatures w14:val="standardContextual"/>
            </w:rPr>
          </w:pPr>
          <w:hyperlink w:anchor="_Toc210306798" w:history="1">
            <w:r w:rsidRPr="00820F01">
              <w:rPr>
                <w:rStyle w:val="Hyperlink"/>
                <w:rFonts w:cs="Arial"/>
                <w:noProof/>
              </w:rPr>
              <w:t>Part II –Grant Specific Information</w:t>
            </w:r>
            <w:r>
              <w:rPr>
                <w:noProof/>
                <w:webHidden/>
              </w:rPr>
              <w:tab/>
            </w:r>
            <w:r>
              <w:rPr>
                <w:noProof/>
                <w:webHidden/>
              </w:rPr>
              <w:fldChar w:fldCharType="begin"/>
            </w:r>
            <w:r>
              <w:rPr>
                <w:noProof/>
                <w:webHidden/>
              </w:rPr>
              <w:instrText xml:space="preserve"> PAGEREF _Toc210306798 \h </w:instrText>
            </w:r>
            <w:r>
              <w:rPr>
                <w:noProof/>
                <w:webHidden/>
              </w:rPr>
            </w:r>
            <w:r>
              <w:rPr>
                <w:noProof/>
                <w:webHidden/>
              </w:rPr>
              <w:fldChar w:fldCharType="separate"/>
            </w:r>
            <w:r>
              <w:rPr>
                <w:noProof/>
                <w:webHidden/>
              </w:rPr>
              <w:t>14</w:t>
            </w:r>
            <w:r>
              <w:rPr>
                <w:noProof/>
                <w:webHidden/>
              </w:rPr>
              <w:fldChar w:fldCharType="end"/>
            </w:r>
          </w:hyperlink>
        </w:p>
        <w:p w14:paraId="5385B24B" w14:textId="3A1D5DFB"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799" w:history="1">
            <w:r w:rsidRPr="00820F01">
              <w:rPr>
                <w:rStyle w:val="Hyperlink"/>
                <w:rFonts w:cs="Arial"/>
                <w:noProof/>
              </w:rPr>
              <w:t>Program Overview</w:t>
            </w:r>
            <w:r>
              <w:rPr>
                <w:noProof/>
                <w:webHidden/>
              </w:rPr>
              <w:tab/>
            </w:r>
            <w:r>
              <w:rPr>
                <w:noProof/>
                <w:webHidden/>
              </w:rPr>
              <w:fldChar w:fldCharType="begin"/>
            </w:r>
            <w:r>
              <w:rPr>
                <w:noProof/>
                <w:webHidden/>
              </w:rPr>
              <w:instrText xml:space="preserve"> PAGEREF _Toc210306799 \h </w:instrText>
            </w:r>
            <w:r>
              <w:rPr>
                <w:noProof/>
                <w:webHidden/>
              </w:rPr>
            </w:r>
            <w:r>
              <w:rPr>
                <w:noProof/>
                <w:webHidden/>
              </w:rPr>
              <w:fldChar w:fldCharType="separate"/>
            </w:r>
            <w:r>
              <w:rPr>
                <w:noProof/>
                <w:webHidden/>
              </w:rPr>
              <w:t>14</w:t>
            </w:r>
            <w:r>
              <w:rPr>
                <w:noProof/>
                <w:webHidden/>
              </w:rPr>
              <w:fldChar w:fldCharType="end"/>
            </w:r>
          </w:hyperlink>
        </w:p>
        <w:p w14:paraId="4B15D35E" w14:textId="2AA1A4EA"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00" w:history="1">
            <w:r w:rsidRPr="00820F01">
              <w:rPr>
                <w:rStyle w:val="Hyperlink"/>
                <w:rFonts w:cs="Arial"/>
                <w:noProof/>
              </w:rPr>
              <w:t>Testing Considerations</w:t>
            </w:r>
            <w:r>
              <w:rPr>
                <w:noProof/>
                <w:webHidden/>
              </w:rPr>
              <w:tab/>
            </w:r>
            <w:r>
              <w:rPr>
                <w:noProof/>
                <w:webHidden/>
              </w:rPr>
              <w:fldChar w:fldCharType="begin"/>
            </w:r>
            <w:r>
              <w:rPr>
                <w:noProof/>
                <w:webHidden/>
              </w:rPr>
              <w:instrText xml:space="preserve"> PAGEREF _Toc210306800 \h </w:instrText>
            </w:r>
            <w:r>
              <w:rPr>
                <w:noProof/>
                <w:webHidden/>
              </w:rPr>
            </w:r>
            <w:r>
              <w:rPr>
                <w:noProof/>
                <w:webHidden/>
              </w:rPr>
              <w:fldChar w:fldCharType="separate"/>
            </w:r>
            <w:r>
              <w:rPr>
                <w:noProof/>
                <w:webHidden/>
              </w:rPr>
              <w:t>14</w:t>
            </w:r>
            <w:r>
              <w:rPr>
                <w:noProof/>
                <w:webHidden/>
              </w:rPr>
              <w:fldChar w:fldCharType="end"/>
            </w:r>
          </w:hyperlink>
        </w:p>
        <w:p w14:paraId="1F5A9B1C" w14:textId="4260873D"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01" w:history="1">
            <w:r w:rsidRPr="00820F01">
              <w:rPr>
                <w:rStyle w:val="Hyperlink"/>
                <w:rFonts w:cs="Arial"/>
                <w:noProof/>
              </w:rPr>
              <w:t>Reporting</w:t>
            </w:r>
            <w:r>
              <w:rPr>
                <w:noProof/>
                <w:webHidden/>
              </w:rPr>
              <w:tab/>
            </w:r>
            <w:r>
              <w:rPr>
                <w:noProof/>
                <w:webHidden/>
              </w:rPr>
              <w:fldChar w:fldCharType="begin"/>
            </w:r>
            <w:r>
              <w:rPr>
                <w:noProof/>
                <w:webHidden/>
              </w:rPr>
              <w:instrText xml:space="preserve"> PAGEREF _Toc210306801 \h </w:instrText>
            </w:r>
            <w:r>
              <w:rPr>
                <w:noProof/>
                <w:webHidden/>
              </w:rPr>
            </w:r>
            <w:r>
              <w:rPr>
                <w:noProof/>
                <w:webHidden/>
              </w:rPr>
              <w:fldChar w:fldCharType="separate"/>
            </w:r>
            <w:r>
              <w:rPr>
                <w:noProof/>
                <w:webHidden/>
              </w:rPr>
              <w:t>14</w:t>
            </w:r>
            <w:r>
              <w:rPr>
                <w:noProof/>
                <w:webHidden/>
              </w:rPr>
              <w:fldChar w:fldCharType="end"/>
            </w:r>
          </w:hyperlink>
        </w:p>
        <w:p w14:paraId="71FD5277" w14:textId="4FA63D02" w:rsidR="00516910" w:rsidRDefault="00516910">
          <w:pPr>
            <w:pStyle w:val="TOC2"/>
            <w:rPr>
              <w:rFonts w:asciiTheme="minorHAnsi" w:eastAsiaTheme="minorEastAsia" w:hAnsiTheme="minorHAnsi" w:cstheme="minorBidi"/>
              <w:bCs w:val="0"/>
              <w:kern w:val="2"/>
              <w:sz w:val="24"/>
              <w14:ligatures w14:val="standardContextual"/>
            </w:rPr>
          </w:pPr>
          <w:hyperlink w:anchor="_Toc210306802" w:history="1">
            <w:r w:rsidRPr="00820F01">
              <w:rPr>
                <w:rStyle w:val="Hyperlink"/>
              </w:rPr>
              <w:t>C. CASH MANAGEMENT</w:t>
            </w:r>
            <w:r>
              <w:rPr>
                <w:webHidden/>
              </w:rPr>
              <w:tab/>
            </w:r>
            <w:r>
              <w:rPr>
                <w:webHidden/>
              </w:rPr>
              <w:fldChar w:fldCharType="begin"/>
            </w:r>
            <w:r>
              <w:rPr>
                <w:webHidden/>
              </w:rPr>
              <w:instrText xml:space="preserve"> PAGEREF _Toc210306802 \h </w:instrText>
            </w:r>
            <w:r>
              <w:rPr>
                <w:webHidden/>
              </w:rPr>
            </w:r>
            <w:r>
              <w:rPr>
                <w:webHidden/>
              </w:rPr>
              <w:fldChar w:fldCharType="separate"/>
            </w:r>
            <w:r>
              <w:rPr>
                <w:webHidden/>
              </w:rPr>
              <w:t>15</w:t>
            </w:r>
            <w:r>
              <w:rPr>
                <w:webHidden/>
              </w:rPr>
              <w:fldChar w:fldCharType="end"/>
            </w:r>
          </w:hyperlink>
        </w:p>
        <w:p w14:paraId="1E51A282" w14:textId="2B8F0EAB"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03" w:history="1">
            <w:r w:rsidRPr="00820F01">
              <w:rPr>
                <w:rStyle w:val="Hyperlink"/>
                <w:rFonts w:cs="Arial"/>
                <w:noProof/>
              </w:rPr>
              <w:t>OMB Compliance Requirements</w:t>
            </w:r>
            <w:r>
              <w:rPr>
                <w:noProof/>
                <w:webHidden/>
              </w:rPr>
              <w:tab/>
            </w:r>
            <w:r>
              <w:rPr>
                <w:noProof/>
                <w:webHidden/>
              </w:rPr>
              <w:fldChar w:fldCharType="begin"/>
            </w:r>
            <w:r>
              <w:rPr>
                <w:noProof/>
                <w:webHidden/>
              </w:rPr>
              <w:instrText xml:space="preserve"> PAGEREF _Toc210306803 \h </w:instrText>
            </w:r>
            <w:r>
              <w:rPr>
                <w:noProof/>
                <w:webHidden/>
              </w:rPr>
            </w:r>
            <w:r>
              <w:rPr>
                <w:noProof/>
                <w:webHidden/>
              </w:rPr>
              <w:fldChar w:fldCharType="separate"/>
            </w:r>
            <w:r>
              <w:rPr>
                <w:noProof/>
                <w:webHidden/>
              </w:rPr>
              <w:t>15</w:t>
            </w:r>
            <w:r>
              <w:rPr>
                <w:noProof/>
                <w:webHidden/>
              </w:rPr>
              <w:fldChar w:fldCharType="end"/>
            </w:r>
          </w:hyperlink>
        </w:p>
        <w:p w14:paraId="3CD411B2" w14:textId="6BCA7B96"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04" w:history="1">
            <w:r w:rsidRPr="00820F0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_Toc210306804 \h </w:instrText>
            </w:r>
            <w:r>
              <w:rPr>
                <w:noProof/>
                <w:webHidden/>
              </w:rPr>
            </w:r>
            <w:r>
              <w:rPr>
                <w:noProof/>
                <w:webHidden/>
              </w:rPr>
              <w:fldChar w:fldCharType="separate"/>
            </w:r>
            <w:r>
              <w:rPr>
                <w:noProof/>
                <w:webHidden/>
              </w:rPr>
              <w:t>18</w:t>
            </w:r>
            <w:r>
              <w:rPr>
                <w:noProof/>
                <w:webHidden/>
              </w:rPr>
              <w:fldChar w:fldCharType="end"/>
            </w:r>
          </w:hyperlink>
        </w:p>
        <w:p w14:paraId="2EB7A38B" w14:textId="1DBCD12D"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05" w:history="1">
            <w:r w:rsidRPr="00820F0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_Toc210306805 \h </w:instrText>
            </w:r>
            <w:r>
              <w:rPr>
                <w:noProof/>
                <w:webHidden/>
              </w:rPr>
            </w:r>
            <w:r>
              <w:rPr>
                <w:noProof/>
                <w:webHidden/>
              </w:rPr>
              <w:fldChar w:fldCharType="separate"/>
            </w:r>
            <w:r>
              <w:rPr>
                <w:noProof/>
                <w:webHidden/>
              </w:rPr>
              <w:t>18</w:t>
            </w:r>
            <w:r>
              <w:rPr>
                <w:noProof/>
                <w:webHidden/>
              </w:rPr>
              <w:fldChar w:fldCharType="end"/>
            </w:r>
          </w:hyperlink>
        </w:p>
        <w:p w14:paraId="5609E915" w14:textId="05559662"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06" w:history="1">
            <w:r w:rsidRPr="00820F0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_Toc210306806 \h </w:instrText>
            </w:r>
            <w:r>
              <w:rPr>
                <w:noProof/>
                <w:webHidden/>
              </w:rPr>
            </w:r>
            <w:r>
              <w:rPr>
                <w:noProof/>
                <w:webHidden/>
              </w:rPr>
              <w:fldChar w:fldCharType="separate"/>
            </w:r>
            <w:r>
              <w:rPr>
                <w:noProof/>
                <w:webHidden/>
              </w:rPr>
              <w:t>20</w:t>
            </w:r>
            <w:r>
              <w:rPr>
                <w:noProof/>
                <w:webHidden/>
              </w:rPr>
              <w:fldChar w:fldCharType="end"/>
            </w:r>
          </w:hyperlink>
        </w:p>
        <w:p w14:paraId="553F9F72" w14:textId="51462FAD"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07" w:history="1">
            <w:r w:rsidRPr="00820F01">
              <w:rPr>
                <w:rStyle w:val="Hyperlink"/>
                <w:rFonts w:cs="Arial"/>
                <w:noProof/>
              </w:rPr>
              <w:t>Audit Implications Summary</w:t>
            </w:r>
            <w:r>
              <w:rPr>
                <w:noProof/>
                <w:webHidden/>
              </w:rPr>
              <w:tab/>
            </w:r>
            <w:r>
              <w:rPr>
                <w:noProof/>
                <w:webHidden/>
              </w:rPr>
              <w:fldChar w:fldCharType="begin"/>
            </w:r>
            <w:r>
              <w:rPr>
                <w:noProof/>
                <w:webHidden/>
              </w:rPr>
              <w:instrText xml:space="preserve"> PAGEREF _Toc210306807 \h </w:instrText>
            </w:r>
            <w:r>
              <w:rPr>
                <w:noProof/>
                <w:webHidden/>
              </w:rPr>
            </w:r>
            <w:r>
              <w:rPr>
                <w:noProof/>
                <w:webHidden/>
              </w:rPr>
              <w:fldChar w:fldCharType="separate"/>
            </w:r>
            <w:r>
              <w:rPr>
                <w:noProof/>
                <w:webHidden/>
              </w:rPr>
              <w:t>21</w:t>
            </w:r>
            <w:r>
              <w:rPr>
                <w:noProof/>
                <w:webHidden/>
              </w:rPr>
              <w:fldChar w:fldCharType="end"/>
            </w:r>
          </w:hyperlink>
        </w:p>
        <w:p w14:paraId="04D4C9EF" w14:textId="6A949070" w:rsidR="00516910" w:rsidRDefault="00516910">
          <w:pPr>
            <w:pStyle w:val="TOC2"/>
            <w:rPr>
              <w:rFonts w:asciiTheme="minorHAnsi" w:eastAsiaTheme="minorEastAsia" w:hAnsiTheme="minorHAnsi" w:cstheme="minorBidi"/>
              <w:bCs w:val="0"/>
              <w:kern w:val="2"/>
              <w:sz w:val="24"/>
              <w14:ligatures w14:val="standardContextual"/>
            </w:rPr>
          </w:pPr>
          <w:hyperlink w:anchor="_Toc210306808" w:history="1">
            <w:r w:rsidRPr="00820F01">
              <w:rPr>
                <w:rStyle w:val="Hyperlink"/>
              </w:rPr>
              <w:t>E.  ELIGIBILITY</w:t>
            </w:r>
            <w:r>
              <w:rPr>
                <w:webHidden/>
              </w:rPr>
              <w:tab/>
            </w:r>
            <w:r>
              <w:rPr>
                <w:webHidden/>
              </w:rPr>
              <w:fldChar w:fldCharType="begin"/>
            </w:r>
            <w:r>
              <w:rPr>
                <w:webHidden/>
              </w:rPr>
              <w:instrText xml:space="preserve"> PAGEREF _Toc210306808 \h </w:instrText>
            </w:r>
            <w:r>
              <w:rPr>
                <w:webHidden/>
              </w:rPr>
            </w:r>
            <w:r>
              <w:rPr>
                <w:webHidden/>
              </w:rPr>
              <w:fldChar w:fldCharType="separate"/>
            </w:r>
            <w:r>
              <w:rPr>
                <w:webHidden/>
              </w:rPr>
              <w:t>23</w:t>
            </w:r>
            <w:r>
              <w:rPr>
                <w:webHidden/>
              </w:rPr>
              <w:fldChar w:fldCharType="end"/>
            </w:r>
          </w:hyperlink>
        </w:p>
        <w:p w14:paraId="7253906A" w14:textId="28C62CA1"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09" w:history="1">
            <w:r w:rsidRPr="00820F01">
              <w:rPr>
                <w:rStyle w:val="Hyperlink"/>
                <w:rFonts w:cs="Arial"/>
                <w:noProof/>
              </w:rPr>
              <w:t>OMB Compliance Requirements</w:t>
            </w:r>
            <w:r>
              <w:rPr>
                <w:noProof/>
                <w:webHidden/>
              </w:rPr>
              <w:tab/>
            </w:r>
            <w:r>
              <w:rPr>
                <w:noProof/>
                <w:webHidden/>
              </w:rPr>
              <w:fldChar w:fldCharType="begin"/>
            </w:r>
            <w:r>
              <w:rPr>
                <w:noProof/>
                <w:webHidden/>
              </w:rPr>
              <w:instrText xml:space="preserve"> PAGEREF _Toc210306809 \h </w:instrText>
            </w:r>
            <w:r>
              <w:rPr>
                <w:noProof/>
                <w:webHidden/>
              </w:rPr>
            </w:r>
            <w:r>
              <w:rPr>
                <w:noProof/>
                <w:webHidden/>
              </w:rPr>
              <w:fldChar w:fldCharType="separate"/>
            </w:r>
            <w:r>
              <w:rPr>
                <w:noProof/>
                <w:webHidden/>
              </w:rPr>
              <w:t>23</w:t>
            </w:r>
            <w:r>
              <w:rPr>
                <w:noProof/>
                <w:webHidden/>
              </w:rPr>
              <w:fldChar w:fldCharType="end"/>
            </w:r>
          </w:hyperlink>
        </w:p>
        <w:p w14:paraId="0AD8345D" w14:textId="1879E00E"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10" w:history="1">
            <w:r w:rsidRPr="00820F0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_Toc210306810 \h </w:instrText>
            </w:r>
            <w:r>
              <w:rPr>
                <w:noProof/>
                <w:webHidden/>
              </w:rPr>
            </w:r>
            <w:r>
              <w:rPr>
                <w:noProof/>
                <w:webHidden/>
              </w:rPr>
              <w:fldChar w:fldCharType="separate"/>
            </w:r>
            <w:r>
              <w:rPr>
                <w:noProof/>
                <w:webHidden/>
              </w:rPr>
              <w:t>31</w:t>
            </w:r>
            <w:r>
              <w:rPr>
                <w:noProof/>
                <w:webHidden/>
              </w:rPr>
              <w:fldChar w:fldCharType="end"/>
            </w:r>
          </w:hyperlink>
        </w:p>
        <w:p w14:paraId="235D7F05" w14:textId="769302AF"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11" w:history="1">
            <w:r w:rsidRPr="00820F0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_Toc210306811 \h </w:instrText>
            </w:r>
            <w:r>
              <w:rPr>
                <w:noProof/>
                <w:webHidden/>
              </w:rPr>
            </w:r>
            <w:r>
              <w:rPr>
                <w:noProof/>
                <w:webHidden/>
              </w:rPr>
              <w:fldChar w:fldCharType="separate"/>
            </w:r>
            <w:r>
              <w:rPr>
                <w:noProof/>
                <w:webHidden/>
              </w:rPr>
              <w:t>31</w:t>
            </w:r>
            <w:r>
              <w:rPr>
                <w:noProof/>
                <w:webHidden/>
              </w:rPr>
              <w:fldChar w:fldCharType="end"/>
            </w:r>
          </w:hyperlink>
        </w:p>
        <w:p w14:paraId="54DEB53D" w14:textId="6ABB6B8E"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12" w:history="1">
            <w:r w:rsidRPr="00820F0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_Toc210306812 \h </w:instrText>
            </w:r>
            <w:r>
              <w:rPr>
                <w:noProof/>
                <w:webHidden/>
              </w:rPr>
            </w:r>
            <w:r>
              <w:rPr>
                <w:noProof/>
                <w:webHidden/>
              </w:rPr>
              <w:fldChar w:fldCharType="separate"/>
            </w:r>
            <w:r>
              <w:rPr>
                <w:noProof/>
                <w:webHidden/>
              </w:rPr>
              <w:t>32</w:t>
            </w:r>
            <w:r>
              <w:rPr>
                <w:noProof/>
                <w:webHidden/>
              </w:rPr>
              <w:fldChar w:fldCharType="end"/>
            </w:r>
          </w:hyperlink>
        </w:p>
        <w:p w14:paraId="7EDBB781" w14:textId="0B01AB09"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13" w:history="1">
            <w:r w:rsidRPr="00820F01">
              <w:rPr>
                <w:rStyle w:val="Hyperlink"/>
                <w:rFonts w:cs="Arial"/>
                <w:noProof/>
              </w:rPr>
              <w:t>Audit Implications Summary</w:t>
            </w:r>
            <w:r>
              <w:rPr>
                <w:noProof/>
                <w:webHidden/>
              </w:rPr>
              <w:tab/>
            </w:r>
            <w:r>
              <w:rPr>
                <w:noProof/>
                <w:webHidden/>
              </w:rPr>
              <w:fldChar w:fldCharType="begin"/>
            </w:r>
            <w:r>
              <w:rPr>
                <w:noProof/>
                <w:webHidden/>
              </w:rPr>
              <w:instrText xml:space="preserve"> PAGEREF _Toc210306813 \h </w:instrText>
            </w:r>
            <w:r>
              <w:rPr>
                <w:noProof/>
                <w:webHidden/>
              </w:rPr>
            </w:r>
            <w:r>
              <w:rPr>
                <w:noProof/>
                <w:webHidden/>
              </w:rPr>
              <w:fldChar w:fldCharType="separate"/>
            </w:r>
            <w:r>
              <w:rPr>
                <w:noProof/>
                <w:webHidden/>
              </w:rPr>
              <w:t>34</w:t>
            </w:r>
            <w:r>
              <w:rPr>
                <w:noProof/>
                <w:webHidden/>
              </w:rPr>
              <w:fldChar w:fldCharType="end"/>
            </w:r>
          </w:hyperlink>
        </w:p>
        <w:p w14:paraId="4E1BC19B" w14:textId="7874DD3F" w:rsidR="00516910" w:rsidRDefault="00516910">
          <w:pPr>
            <w:pStyle w:val="TOC2"/>
            <w:rPr>
              <w:rFonts w:asciiTheme="minorHAnsi" w:eastAsiaTheme="minorEastAsia" w:hAnsiTheme="minorHAnsi" w:cstheme="minorBidi"/>
              <w:bCs w:val="0"/>
              <w:kern w:val="2"/>
              <w:sz w:val="24"/>
              <w14:ligatures w14:val="standardContextual"/>
            </w:rPr>
          </w:pPr>
          <w:hyperlink w:anchor="_Toc210306814" w:history="1">
            <w:r w:rsidRPr="00820F01">
              <w:rPr>
                <w:rStyle w:val="Hyperlink"/>
              </w:rPr>
              <w:t>L.  REPORTING</w:t>
            </w:r>
            <w:r>
              <w:rPr>
                <w:webHidden/>
              </w:rPr>
              <w:tab/>
            </w:r>
            <w:r>
              <w:rPr>
                <w:webHidden/>
              </w:rPr>
              <w:fldChar w:fldCharType="begin"/>
            </w:r>
            <w:r>
              <w:rPr>
                <w:webHidden/>
              </w:rPr>
              <w:instrText xml:space="preserve"> PAGEREF _Toc210306814 \h </w:instrText>
            </w:r>
            <w:r>
              <w:rPr>
                <w:webHidden/>
              </w:rPr>
            </w:r>
            <w:r>
              <w:rPr>
                <w:webHidden/>
              </w:rPr>
              <w:fldChar w:fldCharType="separate"/>
            </w:r>
            <w:r>
              <w:rPr>
                <w:webHidden/>
              </w:rPr>
              <w:t>36</w:t>
            </w:r>
            <w:r>
              <w:rPr>
                <w:webHidden/>
              </w:rPr>
              <w:fldChar w:fldCharType="end"/>
            </w:r>
          </w:hyperlink>
        </w:p>
        <w:p w14:paraId="19DF26F6" w14:textId="049759BA"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15" w:history="1">
            <w:r w:rsidRPr="00820F01">
              <w:rPr>
                <w:rStyle w:val="Hyperlink"/>
                <w:rFonts w:cs="Arial"/>
                <w:noProof/>
              </w:rPr>
              <w:t>OMB Compliance Requirements</w:t>
            </w:r>
            <w:r>
              <w:rPr>
                <w:noProof/>
                <w:webHidden/>
              </w:rPr>
              <w:tab/>
            </w:r>
            <w:r>
              <w:rPr>
                <w:noProof/>
                <w:webHidden/>
              </w:rPr>
              <w:fldChar w:fldCharType="begin"/>
            </w:r>
            <w:r>
              <w:rPr>
                <w:noProof/>
                <w:webHidden/>
              </w:rPr>
              <w:instrText xml:space="preserve"> PAGEREF _Toc210306815 \h </w:instrText>
            </w:r>
            <w:r>
              <w:rPr>
                <w:noProof/>
                <w:webHidden/>
              </w:rPr>
            </w:r>
            <w:r>
              <w:rPr>
                <w:noProof/>
                <w:webHidden/>
              </w:rPr>
              <w:fldChar w:fldCharType="separate"/>
            </w:r>
            <w:r>
              <w:rPr>
                <w:noProof/>
                <w:webHidden/>
              </w:rPr>
              <w:t>36</w:t>
            </w:r>
            <w:r>
              <w:rPr>
                <w:noProof/>
                <w:webHidden/>
              </w:rPr>
              <w:fldChar w:fldCharType="end"/>
            </w:r>
          </w:hyperlink>
        </w:p>
        <w:p w14:paraId="20E66211" w14:textId="3E2D7A43"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16" w:history="1">
            <w:r w:rsidRPr="00820F0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_Toc210306816 \h </w:instrText>
            </w:r>
            <w:r>
              <w:rPr>
                <w:noProof/>
                <w:webHidden/>
              </w:rPr>
            </w:r>
            <w:r>
              <w:rPr>
                <w:noProof/>
                <w:webHidden/>
              </w:rPr>
              <w:fldChar w:fldCharType="separate"/>
            </w:r>
            <w:r>
              <w:rPr>
                <w:noProof/>
                <w:webHidden/>
              </w:rPr>
              <w:t>39</w:t>
            </w:r>
            <w:r>
              <w:rPr>
                <w:noProof/>
                <w:webHidden/>
              </w:rPr>
              <w:fldChar w:fldCharType="end"/>
            </w:r>
          </w:hyperlink>
        </w:p>
        <w:p w14:paraId="414CF094" w14:textId="443CA649"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17" w:history="1">
            <w:r w:rsidRPr="00820F0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_Toc210306817 \h </w:instrText>
            </w:r>
            <w:r>
              <w:rPr>
                <w:noProof/>
                <w:webHidden/>
              </w:rPr>
            </w:r>
            <w:r>
              <w:rPr>
                <w:noProof/>
                <w:webHidden/>
              </w:rPr>
              <w:fldChar w:fldCharType="separate"/>
            </w:r>
            <w:r>
              <w:rPr>
                <w:noProof/>
                <w:webHidden/>
              </w:rPr>
              <w:t>39</w:t>
            </w:r>
            <w:r>
              <w:rPr>
                <w:noProof/>
                <w:webHidden/>
              </w:rPr>
              <w:fldChar w:fldCharType="end"/>
            </w:r>
          </w:hyperlink>
        </w:p>
        <w:p w14:paraId="3FB645C4" w14:textId="30854079"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18" w:history="1">
            <w:r w:rsidRPr="00820F0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_Toc210306818 \h </w:instrText>
            </w:r>
            <w:r>
              <w:rPr>
                <w:noProof/>
                <w:webHidden/>
              </w:rPr>
            </w:r>
            <w:r>
              <w:rPr>
                <w:noProof/>
                <w:webHidden/>
              </w:rPr>
              <w:fldChar w:fldCharType="separate"/>
            </w:r>
            <w:r>
              <w:rPr>
                <w:noProof/>
                <w:webHidden/>
              </w:rPr>
              <w:t>40</w:t>
            </w:r>
            <w:r>
              <w:rPr>
                <w:noProof/>
                <w:webHidden/>
              </w:rPr>
              <w:fldChar w:fldCharType="end"/>
            </w:r>
          </w:hyperlink>
        </w:p>
        <w:p w14:paraId="4E9F4E8A" w14:textId="44CAB298"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19" w:history="1">
            <w:r w:rsidRPr="00820F01">
              <w:rPr>
                <w:rStyle w:val="Hyperlink"/>
                <w:rFonts w:cs="Arial"/>
                <w:noProof/>
              </w:rPr>
              <w:t>Audit Implications Summary</w:t>
            </w:r>
            <w:r>
              <w:rPr>
                <w:noProof/>
                <w:webHidden/>
              </w:rPr>
              <w:tab/>
            </w:r>
            <w:r>
              <w:rPr>
                <w:noProof/>
                <w:webHidden/>
              </w:rPr>
              <w:fldChar w:fldCharType="begin"/>
            </w:r>
            <w:r>
              <w:rPr>
                <w:noProof/>
                <w:webHidden/>
              </w:rPr>
              <w:instrText xml:space="preserve"> PAGEREF _Toc210306819 \h </w:instrText>
            </w:r>
            <w:r>
              <w:rPr>
                <w:noProof/>
                <w:webHidden/>
              </w:rPr>
            </w:r>
            <w:r>
              <w:rPr>
                <w:noProof/>
                <w:webHidden/>
              </w:rPr>
              <w:fldChar w:fldCharType="separate"/>
            </w:r>
            <w:r>
              <w:rPr>
                <w:noProof/>
                <w:webHidden/>
              </w:rPr>
              <w:t>42</w:t>
            </w:r>
            <w:r>
              <w:rPr>
                <w:noProof/>
                <w:webHidden/>
              </w:rPr>
              <w:fldChar w:fldCharType="end"/>
            </w:r>
          </w:hyperlink>
        </w:p>
        <w:p w14:paraId="5094D1E8" w14:textId="39D7CBB5" w:rsidR="00516910" w:rsidRDefault="00516910">
          <w:pPr>
            <w:pStyle w:val="TOC2"/>
            <w:rPr>
              <w:rFonts w:asciiTheme="minorHAnsi" w:eastAsiaTheme="minorEastAsia" w:hAnsiTheme="minorHAnsi" w:cstheme="minorBidi"/>
              <w:bCs w:val="0"/>
              <w:kern w:val="2"/>
              <w:sz w:val="24"/>
              <w14:ligatures w14:val="standardContextual"/>
            </w:rPr>
          </w:pPr>
          <w:hyperlink w:anchor="_Toc210306820" w:history="1">
            <w:r w:rsidRPr="00820F01">
              <w:rPr>
                <w:rStyle w:val="Hyperlink"/>
              </w:rPr>
              <w:t>N1.  SPECIAL TESTS AND PROVISIONS – Institutional Eligibility</w:t>
            </w:r>
            <w:r>
              <w:rPr>
                <w:webHidden/>
              </w:rPr>
              <w:tab/>
            </w:r>
            <w:r>
              <w:rPr>
                <w:webHidden/>
              </w:rPr>
              <w:fldChar w:fldCharType="begin"/>
            </w:r>
            <w:r>
              <w:rPr>
                <w:webHidden/>
              </w:rPr>
              <w:instrText xml:space="preserve"> PAGEREF _Toc210306820 \h </w:instrText>
            </w:r>
            <w:r>
              <w:rPr>
                <w:webHidden/>
              </w:rPr>
            </w:r>
            <w:r>
              <w:rPr>
                <w:webHidden/>
              </w:rPr>
              <w:fldChar w:fldCharType="separate"/>
            </w:r>
            <w:r>
              <w:rPr>
                <w:webHidden/>
              </w:rPr>
              <w:t>43</w:t>
            </w:r>
            <w:r>
              <w:rPr>
                <w:webHidden/>
              </w:rPr>
              <w:fldChar w:fldCharType="end"/>
            </w:r>
          </w:hyperlink>
        </w:p>
        <w:p w14:paraId="78459FF2" w14:textId="17CCD251"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21" w:history="1">
            <w:r w:rsidRPr="00820F01">
              <w:rPr>
                <w:rStyle w:val="Hyperlink"/>
                <w:rFonts w:cs="Arial"/>
                <w:noProof/>
              </w:rPr>
              <w:t>OMB Compliance Requirements</w:t>
            </w:r>
            <w:r>
              <w:rPr>
                <w:noProof/>
                <w:webHidden/>
              </w:rPr>
              <w:tab/>
            </w:r>
            <w:r>
              <w:rPr>
                <w:noProof/>
                <w:webHidden/>
              </w:rPr>
              <w:fldChar w:fldCharType="begin"/>
            </w:r>
            <w:r>
              <w:rPr>
                <w:noProof/>
                <w:webHidden/>
              </w:rPr>
              <w:instrText xml:space="preserve"> PAGEREF _Toc210306821 \h </w:instrText>
            </w:r>
            <w:r>
              <w:rPr>
                <w:noProof/>
                <w:webHidden/>
              </w:rPr>
            </w:r>
            <w:r>
              <w:rPr>
                <w:noProof/>
                <w:webHidden/>
              </w:rPr>
              <w:fldChar w:fldCharType="separate"/>
            </w:r>
            <w:r>
              <w:rPr>
                <w:noProof/>
                <w:webHidden/>
              </w:rPr>
              <w:t>43</w:t>
            </w:r>
            <w:r>
              <w:rPr>
                <w:noProof/>
                <w:webHidden/>
              </w:rPr>
              <w:fldChar w:fldCharType="end"/>
            </w:r>
          </w:hyperlink>
        </w:p>
        <w:p w14:paraId="221611FC" w14:textId="38CE2457"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22" w:history="1">
            <w:r w:rsidRPr="00820F0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_Toc210306822 \h </w:instrText>
            </w:r>
            <w:r>
              <w:rPr>
                <w:noProof/>
                <w:webHidden/>
              </w:rPr>
            </w:r>
            <w:r>
              <w:rPr>
                <w:noProof/>
                <w:webHidden/>
              </w:rPr>
              <w:fldChar w:fldCharType="separate"/>
            </w:r>
            <w:r>
              <w:rPr>
                <w:noProof/>
                <w:webHidden/>
              </w:rPr>
              <w:t>48</w:t>
            </w:r>
            <w:r>
              <w:rPr>
                <w:noProof/>
                <w:webHidden/>
              </w:rPr>
              <w:fldChar w:fldCharType="end"/>
            </w:r>
          </w:hyperlink>
        </w:p>
        <w:p w14:paraId="43BCA8D1" w14:textId="6F9799C0"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23" w:history="1">
            <w:r w:rsidRPr="00820F0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_Toc210306823 \h </w:instrText>
            </w:r>
            <w:r>
              <w:rPr>
                <w:noProof/>
                <w:webHidden/>
              </w:rPr>
            </w:r>
            <w:r>
              <w:rPr>
                <w:noProof/>
                <w:webHidden/>
              </w:rPr>
              <w:fldChar w:fldCharType="separate"/>
            </w:r>
            <w:r>
              <w:rPr>
                <w:noProof/>
                <w:webHidden/>
              </w:rPr>
              <w:t>48</w:t>
            </w:r>
            <w:r>
              <w:rPr>
                <w:noProof/>
                <w:webHidden/>
              </w:rPr>
              <w:fldChar w:fldCharType="end"/>
            </w:r>
          </w:hyperlink>
        </w:p>
        <w:p w14:paraId="37A54393" w14:textId="5B8FCBDE"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24" w:history="1">
            <w:r w:rsidRPr="00820F0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_Toc210306824 \h </w:instrText>
            </w:r>
            <w:r>
              <w:rPr>
                <w:noProof/>
                <w:webHidden/>
              </w:rPr>
            </w:r>
            <w:r>
              <w:rPr>
                <w:noProof/>
                <w:webHidden/>
              </w:rPr>
              <w:fldChar w:fldCharType="separate"/>
            </w:r>
            <w:r>
              <w:rPr>
                <w:noProof/>
                <w:webHidden/>
              </w:rPr>
              <w:t>49</w:t>
            </w:r>
            <w:r>
              <w:rPr>
                <w:noProof/>
                <w:webHidden/>
              </w:rPr>
              <w:fldChar w:fldCharType="end"/>
            </w:r>
          </w:hyperlink>
        </w:p>
        <w:p w14:paraId="5A1E3C96" w14:textId="59ABC172"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25" w:history="1">
            <w:r w:rsidRPr="00820F01">
              <w:rPr>
                <w:rStyle w:val="Hyperlink"/>
                <w:rFonts w:cs="Arial"/>
                <w:noProof/>
              </w:rPr>
              <w:t>Audit Implications Summary</w:t>
            </w:r>
            <w:r>
              <w:rPr>
                <w:noProof/>
                <w:webHidden/>
              </w:rPr>
              <w:tab/>
            </w:r>
            <w:r>
              <w:rPr>
                <w:noProof/>
                <w:webHidden/>
              </w:rPr>
              <w:fldChar w:fldCharType="begin"/>
            </w:r>
            <w:r>
              <w:rPr>
                <w:noProof/>
                <w:webHidden/>
              </w:rPr>
              <w:instrText xml:space="preserve"> PAGEREF _Toc210306825 \h </w:instrText>
            </w:r>
            <w:r>
              <w:rPr>
                <w:noProof/>
                <w:webHidden/>
              </w:rPr>
            </w:r>
            <w:r>
              <w:rPr>
                <w:noProof/>
                <w:webHidden/>
              </w:rPr>
              <w:fldChar w:fldCharType="separate"/>
            </w:r>
            <w:r>
              <w:rPr>
                <w:noProof/>
                <w:webHidden/>
              </w:rPr>
              <w:t>49</w:t>
            </w:r>
            <w:r>
              <w:rPr>
                <w:noProof/>
                <w:webHidden/>
              </w:rPr>
              <w:fldChar w:fldCharType="end"/>
            </w:r>
          </w:hyperlink>
        </w:p>
        <w:p w14:paraId="55072CB2" w14:textId="1C51B992" w:rsidR="00516910" w:rsidRDefault="00516910">
          <w:pPr>
            <w:pStyle w:val="TOC2"/>
            <w:rPr>
              <w:rFonts w:asciiTheme="minorHAnsi" w:eastAsiaTheme="minorEastAsia" w:hAnsiTheme="minorHAnsi" w:cstheme="minorBidi"/>
              <w:bCs w:val="0"/>
              <w:kern w:val="2"/>
              <w:sz w:val="24"/>
              <w14:ligatures w14:val="standardContextual"/>
            </w:rPr>
          </w:pPr>
          <w:hyperlink w:anchor="_Toc210306826" w:history="1">
            <w:r w:rsidRPr="00820F01">
              <w:rPr>
                <w:rStyle w:val="Hyperlink"/>
              </w:rPr>
              <w:t>N2.  SPECIAL TESTS AND PROVISIONS - Verification</w:t>
            </w:r>
            <w:r>
              <w:rPr>
                <w:webHidden/>
              </w:rPr>
              <w:tab/>
            </w:r>
            <w:r>
              <w:rPr>
                <w:webHidden/>
              </w:rPr>
              <w:fldChar w:fldCharType="begin"/>
            </w:r>
            <w:r>
              <w:rPr>
                <w:webHidden/>
              </w:rPr>
              <w:instrText xml:space="preserve"> PAGEREF _Toc210306826 \h </w:instrText>
            </w:r>
            <w:r>
              <w:rPr>
                <w:webHidden/>
              </w:rPr>
            </w:r>
            <w:r>
              <w:rPr>
                <w:webHidden/>
              </w:rPr>
              <w:fldChar w:fldCharType="separate"/>
            </w:r>
            <w:r>
              <w:rPr>
                <w:webHidden/>
              </w:rPr>
              <w:t>51</w:t>
            </w:r>
            <w:r>
              <w:rPr>
                <w:webHidden/>
              </w:rPr>
              <w:fldChar w:fldCharType="end"/>
            </w:r>
          </w:hyperlink>
        </w:p>
        <w:p w14:paraId="0F4A7937" w14:textId="32F72CA6"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27" w:history="1">
            <w:r w:rsidRPr="00820F01">
              <w:rPr>
                <w:rStyle w:val="Hyperlink"/>
                <w:rFonts w:cs="Arial"/>
                <w:noProof/>
              </w:rPr>
              <w:t>OMB Compliance Requirements</w:t>
            </w:r>
            <w:r>
              <w:rPr>
                <w:noProof/>
                <w:webHidden/>
              </w:rPr>
              <w:tab/>
            </w:r>
            <w:r>
              <w:rPr>
                <w:noProof/>
                <w:webHidden/>
              </w:rPr>
              <w:fldChar w:fldCharType="begin"/>
            </w:r>
            <w:r>
              <w:rPr>
                <w:noProof/>
                <w:webHidden/>
              </w:rPr>
              <w:instrText xml:space="preserve"> PAGEREF _Toc210306827 \h </w:instrText>
            </w:r>
            <w:r>
              <w:rPr>
                <w:noProof/>
                <w:webHidden/>
              </w:rPr>
            </w:r>
            <w:r>
              <w:rPr>
                <w:noProof/>
                <w:webHidden/>
              </w:rPr>
              <w:fldChar w:fldCharType="separate"/>
            </w:r>
            <w:r>
              <w:rPr>
                <w:noProof/>
                <w:webHidden/>
              </w:rPr>
              <w:t>51</w:t>
            </w:r>
            <w:r>
              <w:rPr>
                <w:noProof/>
                <w:webHidden/>
              </w:rPr>
              <w:fldChar w:fldCharType="end"/>
            </w:r>
          </w:hyperlink>
        </w:p>
        <w:p w14:paraId="3718F093" w14:textId="6543D75C"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28" w:history="1">
            <w:r w:rsidRPr="00820F0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_Toc210306828 \h </w:instrText>
            </w:r>
            <w:r>
              <w:rPr>
                <w:noProof/>
                <w:webHidden/>
              </w:rPr>
            </w:r>
            <w:r>
              <w:rPr>
                <w:noProof/>
                <w:webHidden/>
              </w:rPr>
              <w:fldChar w:fldCharType="separate"/>
            </w:r>
            <w:r>
              <w:rPr>
                <w:noProof/>
                <w:webHidden/>
              </w:rPr>
              <w:t>51</w:t>
            </w:r>
            <w:r>
              <w:rPr>
                <w:noProof/>
                <w:webHidden/>
              </w:rPr>
              <w:fldChar w:fldCharType="end"/>
            </w:r>
          </w:hyperlink>
        </w:p>
        <w:p w14:paraId="52D1F6B7" w14:textId="6DF9C833"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29" w:history="1">
            <w:r w:rsidRPr="00820F0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_Toc210306829 \h </w:instrText>
            </w:r>
            <w:r>
              <w:rPr>
                <w:noProof/>
                <w:webHidden/>
              </w:rPr>
            </w:r>
            <w:r>
              <w:rPr>
                <w:noProof/>
                <w:webHidden/>
              </w:rPr>
              <w:fldChar w:fldCharType="separate"/>
            </w:r>
            <w:r>
              <w:rPr>
                <w:noProof/>
                <w:webHidden/>
              </w:rPr>
              <w:t>52</w:t>
            </w:r>
            <w:r>
              <w:rPr>
                <w:noProof/>
                <w:webHidden/>
              </w:rPr>
              <w:fldChar w:fldCharType="end"/>
            </w:r>
          </w:hyperlink>
        </w:p>
        <w:p w14:paraId="5BF2B6FA" w14:textId="7B9E357D"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30" w:history="1">
            <w:r w:rsidRPr="00820F0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_Toc210306830 \h </w:instrText>
            </w:r>
            <w:r>
              <w:rPr>
                <w:noProof/>
                <w:webHidden/>
              </w:rPr>
            </w:r>
            <w:r>
              <w:rPr>
                <w:noProof/>
                <w:webHidden/>
              </w:rPr>
              <w:fldChar w:fldCharType="separate"/>
            </w:r>
            <w:r>
              <w:rPr>
                <w:noProof/>
                <w:webHidden/>
              </w:rPr>
              <w:t>53</w:t>
            </w:r>
            <w:r>
              <w:rPr>
                <w:noProof/>
                <w:webHidden/>
              </w:rPr>
              <w:fldChar w:fldCharType="end"/>
            </w:r>
          </w:hyperlink>
        </w:p>
        <w:p w14:paraId="09626F43" w14:textId="10E5DA4F"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31" w:history="1">
            <w:r w:rsidRPr="00820F01">
              <w:rPr>
                <w:rStyle w:val="Hyperlink"/>
                <w:rFonts w:cs="Arial"/>
                <w:noProof/>
              </w:rPr>
              <w:t>Audit Implications Summary</w:t>
            </w:r>
            <w:r>
              <w:rPr>
                <w:noProof/>
                <w:webHidden/>
              </w:rPr>
              <w:tab/>
            </w:r>
            <w:r>
              <w:rPr>
                <w:noProof/>
                <w:webHidden/>
              </w:rPr>
              <w:fldChar w:fldCharType="begin"/>
            </w:r>
            <w:r>
              <w:rPr>
                <w:noProof/>
                <w:webHidden/>
              </w:rPr>
              <w:instrText xml:space="preserve"> PAGEREF _Toc210306831 \h </w:instrText>
            </w:r>
            <w:r>
              <w:rPr>
                <w:noProof/>
                <w:webHidden/>
              </w:rPr>
            </w:r>
            <w:r>
              <w:rPr>
                <w:noProof/>
                <w:webHidden/>
              </w:rPr>
              <w:fldChar w:fldCharType="separate"/>
            </w:r>
            <w:r>
              <w:rPr>
                <w:noProof/>
                <w:webHidden/>
              </w:rPr>
              <w:t>53</w:t>
            </w:r>
            <w:r>
              <w:rPr>
                <w:noProof/>
                <w:webHidden/>
              </w:rPr>
              <w:fldChar w:fldCharType="end"/>
            </w:r>
          </w:hyperlink>
        </w:p>
        <w:p w14:paraId="20531A09" w14:textId="337C60AD" w:rsidR="00516910" w:rsidRDefault="00516910">
          <w:pPr>
            <w:pStyle w:val="TOC2"/>
            <w:rPr>
              <w:rFonts w:asciiTheme="minorHAnsi" w:eastAsiaTheme="minorEastAsia" w:hAnsiTheme="minorHAnsi" w:cstheme="minorBidi"/>
              <w:bCs w:val="0"/>
              <w:kern w:val="2"/>
              <w:sz w:val="24"/>
              <w14:ligatures w14:val="standardContextual"/>
            </w:rPr>
          </w:pPr>
          <w:hyperlink w:anchor="_Toc210306832" w:history="1">
            <w:r w:rsidRPr="00820F01">
              <w:rPr>
                <w:rStyle w:val="Hyperlink"/>
              </w:rPr>
              <w:t>N3.  SPECIAL TESTS AND PROVISIONS – Disbursements to or on Behalf of Students</w:t>
            </w:r>
            <w:r>
              <w:rPr>
                <w:webHidden/>
              </w:rPr>
              <w:tab/>
            </w:r>
            <w:r>
              <w:rPr>
                <w:webHidden/>
              </w:rPr>
              <w:fldChar w:fldCharType="begin"/>
            </w:r>
            <w:r>
              <w:rPr>
                <w:webHidden/>
              </w:rPr>
              <w:instrText xml:space="preserve"> PAGEREF _Toc210306832 \h </w:instrText>
            </w:r>
            <w:r>
              <w:rPr>
                <w:webHidden/>
              </w:rPr>
            </w:r>
            <w:r>
              <w:rPr>
                <w:webHidden/>
              </w:rPr>
              <w:fldChar w:fldCharType="separate"/>
            </w:r>
            <w:r>
              <w:rPr>
                <w:webHidden/>
              </w:rPr>
              <w:t>54</w:t>
            </w:r>
            <w:r>
              <w:rPr>
                <w:webHidden/>
              </w:rPr>
              <w:fldChar w:fldCharType="end"/>
            </w:r>
          </w:hyperlink>
        </w:p>
        <w:p w14:paraId="2F1A83B1" w14:textId="1853C92F"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33" w:history="1">
            <w:r w:rsidRPr="00820F01">
              <w:rPr>
                <w:rStyle w:val="Hyperlink"/>
                <w:rFonts w:cs="Arial"/>
                <w:noProof/>
              </w:rPr>
              <w:t>OMB Compliance Requirements</w:t>
            </w:r>
            <w:r>
              <w:rPr>
                <w:noProof/>
                <w:webHidden/>
              </w:rPr>
              <w:tab/>
            </w:r>
            <w:r>
              <w:rPr>
                <w:noProof/>
                <w:webHidden/>
              </w:rPr>
              <w:fldChar w:fldCharType="begin"/>
            </w:r>
            <w:r>
              <w:rPr>
                <w:noProof/>
                <w:webHidden/>
              </w:rPr>
              <w:instrText xml:space="preserve"> PAGEREF _Toc210306833 \h </w:instrText>
            </w:r>
            <w:r>
              <w:rPr>
                <w:noProof/>
                <w:webHidden/>
              </w:rPr>
            </w:r>
            <w:r>
              <w:rPr>
                <w:noProof/>
                <w:webHidden/>
              </w:rPr>
              <w:fldChar w:fldCharType="separate"/>
            </w:r>
            <w:r>
              <w:rPr>
                <w:noProof/>
                <w:webHidden/>
              </w:rPr>
              <w:t>54</w:t>
            </w:r>
            <w:r>
              <w:rPr>
                <w:noProof/>
                <w:webHidden/>
              </w:rPr>
              <w:fldChar w:fldCharType="end"/>
            </w:r>
          </w:hyperlink>
        </w:p>
        <w:p w14:paraId="273AEE86" w14:textId="4B53CE08"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34" w:history="1">
            <w:r w:rsidRPr="00820F0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_Toc210306834 \h </w:instrText>
            </w:r>
            <w:r>
              <w:rPr>
                <w:noProof/>
                <w:webHidden/>
              </w:rPr>
            </w:r>
            <w:r>
              <w:rPr>
                <w:noProof/>
                <w:webHidden/>
              </w:rPr>
              <w:fldChar w:fldCharType="separate"/>
            </w:r>
            <w:r>
              <w:rPr>
                <w:noProof/>
                <w:webHidden/>
              </w:rPr>
              <w:t>60</w:t>
            </w:r>
            <w:r>
              <w:rPr>
                <w:noProof/>
                <w:webHidden/>
              </w:rPr>
              <w:fldChar w:fldCharType="end"/>
            </w:r>
          </w:hyperlink>
        </w:p>
        <w:p w14:paraId="1ADD60A0" w14:textId="3D612EDE"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35" w:history="1">
            <w:r w:rsidRPr="00820F0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_Toc210306835 \h </w:instrText>
            </w:r>
            <w:r>
              <w:rPr>
                <w:noProof/>
                <w:webHidden/>
              </w:rPr>
            </w:r>
            <w:r>
              <w:rPr>
                <w:noProof/>
                <w:webHidden/>
              </w:rPr>
              <w:fldChar w:fldCharType="separate"/>
            </w:r>
            <w:r>
              <w:rPr>
                <w:noProof/>
                <w:webHidden/>
              </w:rPr>
              <w:t>60</w:t>
            </w:r>
            <w:r>
              <w:rPr>
                <w:noProof/>
                <w:webHidden/>
              </w:rPr>
              <w:fldChar w:fldCharType="end"/>
            </w:r>
          </w:hyperlink>
        </w:p>
        <w:p w14:paraId="39D09AB7" w14:textId="131F2D89"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36" w:history="1">
            <w:r w:rsidRPr="00820F0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_Toc210306836 \h </w:instrText>
            </w:r>
            <w:r>
              <w:rPr>
                <w:noProof/>
                <w:webHidden/>
              </w:rPr>
            </w:r>
            <w:r>
              <w:rPr>
                <w:noProof/>
                <w:webHidden/>
              </w:rPr>
              <w:fldChar w:fldCharType="separate"/>
            </w:r>
            <w:r>
              <w:rPr>
                <w:noProof/>
                <w:webHidden/>
              </w:rPr>
              <w:t>61</w:t>
            </w:r>
            <w:r>
              <w:rPr>
                <w:noProof/>
                <w:webHidden/>
              </w:rPr>
              <w:fldChar w:fldCharType="end"/>
            </w:r>
          </w:hyperlink>
        </w:p>
        <w:p w14:paraId="12CC27FD" w14:textId="03301D70"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37" w:history="1">
            <w:r w:rsidRPr="00820F01">
              <w:rPr>
                <w:rStyle w:val="Hyperlink"/>
                <w:rFonts w:cs="Arial"/>
                <w:noProof/>
              </w:rPr>
              <w:t>Audit Implications Summary</w:t>
            </w:r>
            <w:r>
              <w:rPr>
                <w:noProof/>
                <w:webHidden/>
              </w:rPr>
              <w:tab/>
            </w:r>
            <w:r>
              <w:rPr>
                <w:noProof/>
                <w:webHidden/>
              </w:rPr>
              <w:fldChar w:fldCharType="begin"/>
            </w:r>
            <w:r>
              <w:rPr>
                <w:noProof/>
                <w:webHidden/>
              </w:rPr>
              <w:instrText xml:space="preserve"> PAGEREF _Toc210306837 \h </w:instrText>
            </w:r>
            <w:r>
              <w:rPr>
                <w:noProof/>
                <w:webHidden/>
              </w:rPr>
            </w:r>
            <w:r>
              <w:rPr>
                <w:noProof/>
                <w:webHidden/>
              </w:rPr>
              <w:fldChar w:fldCharType="separate"/>
            </w:r>
            <w:r>
              <w:rPr>
                <w:noProof/>
                <w:webHidden/>
              </w:rPr>
              <w:t>62</w:t>
            </w:r>
            <w:r>
              <w:rPr>
                <w:noProof/>
                <w:webHidden/>
              </w:rPr>
              <w:fldChar w:fldCharType="end"/>
            </w:r>
          </w:hyperlink>
        </w:p>
        <w:p w14:paraId="3D26CFA8" w14:textId="7D63F94F" w:rsidR="00516910" w:rsidRDefault="00516910">
          <w:pPr>
            <w:pStyle w:val="TOC2"/>
            <w:rPr>
              <w:rFonts w:asciiTheme="minorHAnsi" w:eastAsiaTheme="minorEastAsia" w:hAnsiTheme="minorHAnsi" w:cstheme="minorBidi"/>
              <w:bCs w:val="0"/>
              <w:kern w:val="2"/>
              <w:sz w:val="24"/>
              <w14:ligatures w14:val="standardContextual"/>
            </w:rPr>
          </w:pPr>
          <w:hyperlink w:anchor="_Toc210306838" w:history="1">
            <w:r w:rsidRPr="00820F01">
              <w:rPr>
                <w:rStyle w:val="Hyperlink"/>
              </w:rPr>
              <w:t>N4.  SPECIAL TESTS AND PROVISIONS - Using a Servicer or Financial Institution to Deliver Title IV Credit Balances to a Card or Other Access Device</w:t>
            </w:r>
            <w:r>
              <w:rPr>
                <w:webHidden/>
              </w:rPr>
              <w:tab/>
            </w:r>
            <w:r>
              <w:rPr>
                <w:webHidden/>
              </w:rPr>
              <w:fldChar w:fldCharType="begin"/>
            </w:r>
            <w:r>
              <w:rPr>
                <w:webHidden/>
              </w:rPr>
              <w:instrText xml:space="preserve"> PAGEREF _Toc210306838 \h </w:instrText>
            </w:r>
            <w:r>
              <w:rPr>
                <w:webHidden/>
              </w:rPr>
            </w:r>
            <w:r>
              <w:rPr>
                <w:webHidden/>
              </w:rPr>
              <w:fldChar w:fldCharType="separate"/>
            </w:r>
            <w:r>
              <w:rPr>
                <w:webHidden/>
              </w:rPr>
              <w:t>63</w:t>
            </w:r>
            <w:r>
              <w:rPr>
                <w:webHidden/>
              </w:rPr>
              <w:fldChar w:fldCharType="end"/>
            </w:r>
          </w:hyperlink>
        </w:p>
        <w:p w14:paraId="14F92318" w14:textId="2C890BE0"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39" w:history="1">
            <w:r w:rsidRPr="00820F01">
              <w:rPr>
                <w:rStyle w:val="Hyperlink"/>
                <w:rFonts w:cs="Arial"/>
                <w:noProof/>
              </w:rPr>
              <w:t>OMB Compliance Requirements</w:t>
            </w:r>
            <w:r>
              <w:rPr>
                <w:noProof/>
                <w:webHidden/>
              </w:rPr>
              <w:tab/>
            </w:r>
            <w:r>
              <w:rPr>
                <w:noProof/>
                <w:webHidden/>
              </w:rPr>
              <w:fldChar w:fldCharType="begin"/>
            </w:r>
            <w:r>
              <w:rPr>
                <w:noProof/>
                <w:webHidden/>
              </w:rPr>
              <w:instrText xml:space="preserve"> PAGEREF _Toc210306839 \h </w:instrText>
            </w:r>
            <w:r>
              <w:rPr>
                <w:noProof/>
                <w:webHidden/>
              </w:rPr>
            </w:r>
            <w:r>
              <w:rPr>
                <w:noProof/>
                <w:webHidden/>
              </w:rPr>
              <w:fldChar w:fldCharType="separate"/>
            </w:r>
            <w:r>
              <w:rPr>
                <w:noProof/>
                <w:webHidden/>
              </w:rPr>
              <w:t>63</w:t>
            </w:r>
            <w:r>
              <w:rPr>
                <w:noProof/>
                <w:webHidden/>
              </w:rPr>
              <w:fldChar w:fldCharType="end"/>
            </w:r>
          </w:hyperlink>
        </w:p>
        <w:p w14:paraId="34C41900" w14:textId="3705A33E"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40" w:history="1">
            <w:r w:rsidRPr="00820F0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_Toc210306840 \h </w:instrText>
            </w:r>
            <w:r>
              <w:rPr>
                <w:noProof/>
                <w:webHidden/>
              </w:rPr>
            </w:r>
            <w:r>
              <w:rPr>
                <w:noProof/>
                <w:webHidden/>
              </w:rPr>
              <w:fldChar w:fldCharType="separate"/>
            </w:r>
            <w:r>
              <w:rPr>
                <w:noProof/>
                <w:webHidden/>
              </w:rPr>
              <w:t>66</w:t>
            </w:r>
            <w:r>
              <w:rPr>
                <w:noProof/>
                <w:webHidden/>
              </w:rPr>
              <w:fldChar w:fldCharType="end"/>
            </w:r>
          </w:hyperlink>
        </w:p>
        <w:p w14:paraId="61FFE133" w14:textId="32F1AB19"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41" w:history="1">
            <w:r w:rsidRPr="00820F0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_Toc210306841 \h </w:instrText>
            </w:r>
            <w:r>
              <w:rPr>
                <w:noProof/>
                <w:webHidden/>
              </w:rPr>
            </w:r>
            <w:r>
              <w:rPr>
                <w:noProof/>
                <w:webHidden/>
              </w:rPr>
              <w:fldChar w:fldCharType="separate"/>
            </w:r>
            <w:r>
              <w:rPr>
                <w:noProof/>
                <w:webHidden/>
              </w:rPr>
              <w:t>66</w:t>
            </w:r>
            <w:r>
              <w:rPr>
                <w:noProof/>
                <w:webHidden/>
              </w:rPr>
              <w:fldChar w:fldCharType="end"/>
            </w:r>
          </w:hyperlink>
        </w:p>
        <w:p w14:paraId="306F5751" w14:textId="677222A5"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42" w:history="1">
            <w:r w:rsidRPr="00820F0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_Toc210306842 \h </w:instrText>
            </w:r>
            <w:r>
              <w:rPr>
                <w:noProof/>
                <w:webHidden/>
              </w:rPr>
            </w:r>
            <w:r>
              <w:rPr>
                <w:noProof/>
                <w:webHidden/>
              </w:rPr>
              <w:fldChar w:fldCharType="separate"/>
            </w:r>
            <w:r>
              <w:rPr>
                <w:noProof/>
                <w:webHidden/>
              </w:rPr>
              <w:t>67</w:t>
            </w:r>
            <w:r>
              <w:rPr>
                <w:noProof/>
                <w:webHidden/>
              </w:rPr>
              <w:fldChar w:fldCharType="end"/>
            </w:r>
          </w:hyperlink>
        </w:p>
        <w:p w14:paraId="3A758695" w14:textId="687EBF1D"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43" w:history="1">
            <w:r w:rsidRPr="00820F01">
              <w:rPr>
                <w:rStyle w:val="Hyperlink"/>
                <w:rFonts w:cs="Arial"/>
                <w:noProof/>
              </w:rPr>
              <w:t>Audit Implications Summary</w:t>
            </w:r>
            <w:r>
              <w:rPr>
                <w:noProof/>
                <w:webHidden/>
              </w:rPr>
              <w:tab/>
            </w:r>
            <w:r>
              <w:rPr>
                <w:noProof/>
                <w:webHidden/>
              </w:rPr>
              <w:fldChar w:fldCharType="begin"/>
            </w:r>
            <w:r>
              <w:rPr>
                <w:noProof/>
                <w:webHidden/>
              </w:rPr>
              <w:instrText xml:space="preserve"> PAGEREF _Toc210306843 \h </w:instrText>
            </w:r>
            <w:r>
              <w:rPr>
                <w:noProof/>
                <w:webHidden/>
              </w:rPr>
            </w:r>
            <w:r>
              <w:rPr>
                <w:noProof/>
                <w:webHidden/>
              </w:rPr>
              <w:fldChar w:fldCharType="separate"/>
            </w:r>
            <w:r>
              <w:rPr>
                <w:noProof/>
                <w:webHidden/>
              </w:rPr>
              <w:t>69</w:t>
            </w:r>
            <w:r>
              <w:rPr>
                <w:noProof/>
                <w:webHidden/>
              </w:rPr>
              <w:fldChar w:fldCharType="end"/>
            </w:r>
          </w:hyperlink>
        </w:p>
        <w:p w14:paraId="49B8D8E5" w14:textId="2288D948" w:rsidR="00516910" w:rsidRDefault="00516910">
          <w:pPr>
            <w:pStyle w:val="TOC2"/>
            <w:rPr>
              <w:rFonts w:asciiTheme="minorHAnsi" w:eastAsiaTheme="minorEastAsia" w:hAnsiTheme="minorHAnsi" w:cstheme="minorBidi"/>
              <w:bCs w:val="0"/>
              <w:kern w:val="2"/>
              <w:sz w:val="24"/>
              <w14:ligatures w14:val="standardContextual"/>
            </w:rPr>
          </w:pPr>
          <w:hyperlink w:anchor="_Toc210306844" w:history="1">
            <w:r w:rsidRPr="00820F01">
              <w:rPr>
                <w:rStyle w:val="Hyperlink"/>
              </w:rPr>
              <w:t>N5.  SPECIAL TESTS AND PROVISIONS – Return of Title IV Funds</w:t>
            </w:r>
            <w:r>
              <w:rPr>
                <w:webHidden/>
              </w:rPr>
              <w:tab/>
            </w:r>
            <w:r>
              <w:rPr>
                <w:webHidden/>
              </w:rPr>
              <w:fldChar w:fldCharType="begin"/>
            </w:r>
            <w:r>
              <w:rPr>
                <w:webHidden/>
              </w:rPr>
              <w:instrText xml:space="preserve"> PAGEREF _Toc210306844 \h </w:instrText>
            </w:r>
            <w:r>
              <w:rPr>
                <w:webHidden/>
              </w:rPr>
            </w:r>
            <w:r>
              <w:rPr>
                <w:webHidden/>
              </w:rPr>
              <w:fldChar w:fldCharType="separate"/>
            </w:r>
            <w:r>
              <w:rPr>
                <w:webHidden/>
              </w:rPr>
              <w:t>70</w:t>
            </w:r>
            <w:r>
              <w:rPr>
                <w:webHidden/>
              </w:rPr>
              <w:fldChar w:fldCharType="end"/>
            </w:r>
          </w:hyperlink>
        </w:p>
        <w:p w14:paraId="5365B011" w14:textId="013B24F8"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45" w:history="1">
            <w:r w:rsidRPr="00820F01">
              <w:rPr>
                <w:rStyle w:val="Hyperlink"/>
                <w:rFonts w:cs="Arial"/>
                <w:noProof/>
              </w:rPr>
              <w:t>OMB Compliance Requirements</w:t>
            </w:r>
            <w:r>
              <w:rPr>
                <w:noProof/>
                <w:webHidden/>
              </w:rPr>
              <w:tab/>
            </w:r>
            <w:r>
              <w:rPr>
                <w:noProof/>
                <w:webHidden/>
              </w:rPr>
              <w:fldChar w:fldCharType="begin"/>
            </w:r>
            <w:r>
              <w:rPr>
                <w:noProof/>
                <w:webHidden/>
              </w:rPr>
              <w:instrText xml:space="preserve"> PAGEREF _Toc210306845 \h </w:instrText>
            </w:r>
            <w:r>
              <w:rPr>
                <w:noProof/>
                <w:webHidden/>
              </w:rPr>
            </w:r>
            <w:r>
              <w:rPr>
                <w:noProof/>
                <w:webHidden/>
              </w:rPr>
              <w:fldChar w:fldCharType="separate"/>
            </w:r>
            <w:r>
              <w:rPr>
                <w:noProof/>
                <w:webHidden/>
              </w:rPr>
              <w:t>70</w:t>
            </w:r>
            <w:r>
              <w:rPr>
                <w:noProof/>
                <w:webHidden/>
              </w:rPr>
              <w:fldChar w:fldCharType="end"/>
            </w:r>
          </w:hyperlink>
        </w:p>
        <w:p w14:paraId="7F206512" w14:textId="5F424906"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46" w:history="1">
            <w:r w:rsidRPr="00820F0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_Toc210306846 \h </w:instrText>
            </w:r>
            <w:r>
              <w:rPr>
                <w:noProof/>
                <w:webHidden/>
              </w:rPr>
            </w:r>
            <w:r>
              <w:rPr>
                <w:noProof/>
                <w:webHidden/>
              </w:rPr>
              <w:fldChar w:fldCharType="separate"/>
            </w:r>
            <w:r>
              <w:rPr>
                <w:noProof/>
                <w:webHidden/>
              </w:rPr>
              <w:t>78</w:t>
            </w:r>
            <w:r>
              <w:rPr>
                <w:noProof/>
                <w:webHidden/>
              </w:rPr>
              <w:fldChar w:fldCharType="end"/>
            </w:r>
          </w:hyperlink>
        </w:p>
        <w:p w14:paraId="18D26F22" w14:textId="2B9C4111"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47" w:history="1">
            <w:r w:rsidRPr="00820F0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_Toc210306847 \h </w:instrText>
            </w:r>
            <w:r>
              <w:rPr>
                <w:noProof/>
                <w:webHidden/>
              </w:rPr>
            </w:r>
            <w:r>
              <w:rPr>
                <w:noProof/>
                <w:webHidden/>
              </w:rPr>
              <w:fldChar w:fldCharType="separate"/>
            </w:r>
            <w:r>
              <w:rPr>
                <w:noProof/>
                <w:webHidden/>
              </w:rPr>
              <w:t>78</w:t>
            </w:r>
            <w:r>
              <w:rPr>
                <w:noProof/>
                <w:webHidden/>
              </w:rPr>
              <w:fldChar w:fldCharType="end"/>
            </w:r>
          </w:hyperlink>
        </w:p>
        <w:p w14:paraId="5BFE2E1C" w14:textId="5058EEED"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48" w:history="1">
            <w:r w:rsidRPr="00820F0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_Toc210306848 \h </w:instrText>
            </w:r>
            <w:r>
              <w:rPr>
                <w:noProof/>
                <w:webHidden/>
              </w:rPr>
            </w:r>
            <w:r>
              <w:rPr>
                <w:noProof/>
                <w:webHidden/>
              </w:rPr>
              <w:fldChar w:fldCharType="separate"/>
            </w:r>
            <w:r>
              <w:rPr>
                <w:noProof/>
                <w:webHidden/>
              </w:rPr>
              <w:t>79</w:t>
            </w:r>
            <w:r>
              <w:rPr>
                <w:noProof/>
                <w:webHidden/>
              </w:rPr>
              <w:fldChar w:fldCharType="end"/>
            </w:r>
          </w:hyperlink>
        </w:p>
        <w:p w14:paraId="413BE24E" w14:textId="7CAE669A"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49" w:history="1">
            <w:r w:rsidRPr="00820F01">
              <w:rPr>
                <w:rStyle w:val="Hyperlink"/>
                <w:rFonts w:cs="Arial"/>
                <w:noProof/>
              </w:rPr>
              <w:t>Audit Implications Summary</w:t>
            </w:r>
            <w:r>
              <w:rPr>
                <w:noProof/>
                <w:webHidden/>
              </w:rPr>
              <w:tab/>
            </w:r>
            <w:r>
              <w:rPr>
                <w:noProof/>
                <w:webHidden/>
              </w:rPr>
              <w:fldChar w:fldCharType="begin"/>
            </w:r>
            <w:r>
              <w:rPr>
                <w:noProof/>
                <w:webHidden/>
              </w:rPr>
              <w:instrText xml:space="preserve"> PAGEREF _Toc210306849 \h </w:instrText>
            </w:r>
            <w:r>
              <w:rPr>
                <w:noProof/>
                <w:webHidden/>
              </w:rPr>
            </w:r>
            <w:r>
              <w:rPr>
                <w:noProof/>
                <w:webHidden/>
              </w:rPr>
              <w:fldChar w:fldCharType="separate"/>
            </w:r>
            <w:r>
              <w:rPr>
                <w:noProof/>
                <w:webHidden/>
              </w:rPr>
              <w:t>80</w:t>
            </w:r>
            <w:r>
              <w:rPr>
                <w:noProof/>
                <w:webHidden/>
              </w:rPr>
              <w:fldChar w:fldCharType="end"/>
            </w:r>
          </w:hyperlink>
        </w:p>
        <w:p w14:paraId="3165A706" w14:textId="10C9AFEB" w:rsidR="00516910" w:rsidRDefault="00516910">
          <w:pPr>
            <w:pStyle w:val="TOC2"/>
            <w:rPr>
              <w:rFonts w:asciiTheme="minorHAnsi" w:eastAsiaTheme="minorEastAsia" w:hAnsiTheme="minorHAnsi" w:cstheme="minorBidi"/>
              <w:bCs w:val="0"/>
              <w:kern w:val="2"/>
              <w:sz w:val="24"/>
              <w14:ligatures w14:val="standardContextual"/>
            </w:rPr>
          </w:pPr>
          <w:hyperlink w:anchor="_Toc210306850" w:history="1">
            <w:r w:rsidRPr="00820F01">
              <w:rPr>
                <w:rStyle w:val="Hyperlink"/>
              </w:rPr>
              <w:t>N6.  SPECIAL TESTS AND PROVISIONS – NSLDS Reporting</w:t>
            </w:r>
            <w:r>
              <w:rPr>
                <w:webHidden/>
              </w:rPr>
              <w:tab/>
            </w:r>
            <w:r>
              <w:rPr>
                <w:webHidden/>
              </w:rPr>
              <w:fldChar w:fldCharType="begin"/>
            </w:r>
            <w:r>
              <w:rPr>
                <w:webHidden/>
              </w:rPr>
              <w:instrText xml:space="preserve"> PAGEREF _Toc210306850 \h </w:instrText>
            </w:r>
            <w:r>
              <w:rPr>
                <w:webHidden/>
              </w:rPr>
            </w:r>
            <w:r>
              <w:rPr>
                <w:webHidden/>
              </w:rPr>
              <w:fldChar w:fldCharType="separate"/>
            </w:r>
            <w:r>
              <w:rPr>
                <w:webHidden/>
              </w:rPr>
              <w:t>82</w:t>
            </w:r>
            <w:r>
              <w:rPr>
                <w:webHidden/>
              </w:rPr>
              <w:fldChar w:fldCharType="end"/>
            </w:r>
          </w:hyperlink>
        </w:p>
        <w:p w14:paraId="23C55F1B" w14:textId="404E8371"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51" w:history="1">
            <w:r w:rsidRPr="00820F01">
              <w:rPr>
                <w:rStyle w:val="Hyperlink"/>
                <w:rFonts w:cs="Arial"/>
                <w:noProof/>
              </w:rPr>
              <w:t>OMB Compliance Requirements</w:t>
            </w:r>
            <w:r>
              <w:rPr>
                <w:noProof/>
                <w:webHidden/>
              </w:rPr>
              <w:tab/>
            </w:r>
            <w:r>
              <w:rPr>
                <w:noProof/>
                <w:webHidden/>
              </w:rPr>
              <w:fldChar w:fldCharType="begin"/>
            </w:r>
            <w:r>
              <w:rPr>
                <w:noProof/>
                <w:webHidden/>
              </w:rPr>
              <w:instrText xml:space="preserve"> PAGEREF _Toc210306851 \h </w:instrText>
            </w:r>
            <w:r>
              <w:rPr>
                <w:noProof/>
                <w:webHidden/>
              </w:rPr>
            </w:r>
            <w:r>
              <w:rPr>
                <w:noProof/>
                <w:webHidden/>
              </w:rPr>
              <w:fldChar w:fldCharType="separate"/>
            </w:r>
            <w:r>
              <w:rPr>
                <w:noProof/>
                <w:webHidden/>
              </w:rPr>
              <w:t>82</w:t>
            </w:r>
            <w:r>
              <w:rPr>
                <w:noProof/>
                <w:webHidden/>
              </w:rPr>
              <w:fldChar w:fldCharType="end"/>
            </w:r>
          </w:hyperlink>
        </w:p>
        <w:p w14:paraId="65DE650D" w14:textId="103234D8"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52" w:history="1">
            <w:r w:rsidRPr="00820F0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_Toc210306852 \h </w:instrText>
            </w:r>
            <w:r>
              <w:rPr>
                <w:noProof/>
                <w:webHidden/>
              </w:rPr>
            </w:r>
            <w:r>
              <w:rPr>
                <w:noProof/>
                <w:webHidden/>
              </w:rPr>
              <w:fldChar w:fldCharType="separate"/>
            </w:r>
            <w:r>
              <w:rPr>
                <w:noProof/>
                <w:webHidden/>
              </w:rPr>
              <w:t>84</w:t>
            </w:r>
            <w:r>
              <w:rPr>
                <w:noProof/>
                <w:webHidden/>
              </w:rPr>
              <w:fldChar w:fldCharType="end"/>
            </w:r>
          </w:hyperlink>
        </w:p>
        <w:p w14:paraId="1FD78030" w14:textId="3D3E8999"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53" w:history="1">
            <w:r w:rsidRPr="00820F0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_Toc210306853 \h </w:instrText>
            </w:r>
            <w:r>
              <w:rPr>
                <w:noProof/>
                <w:webHidden/>
              </w:rPr>
            </w:r>
            <w:r>
              <w:rPr>
                <w:noProof/>
                <w:webHidden/>
              </w:rPr>
              <w:fldChar w:fldCharType="separate"/>
            </w:r>
            <w:r>
              <w:rPr>
                <w:noProof/>
                <w:webHidden/>
              </w:rPr>
              <w:t>84</w:t>
            </w:r>
            <w:r>
              <w:rPr>
                <w:noProof/>
                <w:webHidden/>
              </w:rPr>
              <w:fldChar w:fldCharType="end"/>
            </w:r>
          </w:hyperlink>
        </w:p>
        <w:p w14:paraId="295D6A76" w14:textId="3DA2EB64"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54" w:history="1">
            <w:r w:rsidRPr="00820F0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_Toc210306854 \h </w:instrText>
            </w:r>
            <w:r>
              <w:rPr>
                <w:noProof/>
                <w:webHidden/>
              </w:rPr>
            </w:r>
            <w:r>
              <w:rPr>
                <w:noProof/>
                <w:webHidden/>
              </w:rPr>
              <w:fldChar w:fldCharType="separate"/>
            </w:r>
            <w:r>
              <w:rPr>
                <w:noProof/>
                <w:webHidden/>
              </w:rPr>
              <w:t>85</w:t>
            </w:r>
            <w:r>
              <w:rPr>
                <w:noProof/>
                <w:webHidden/>
              </w:rPr>
              <w:fldChar w:fldCharType="end"/>
            </w:r>
          </w:hyperlink>
        </w:p>
        <w:p w14:paraId="7FC9ED1B" w14:textId="177A4301"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55" w:history="1">
            <w:r w:rsidRPr="00820F01">
              <w:rPr>
                <w:rStyle w:val="Hyperlink"/>
                <w:rFonts w:cs="Arial"/>
                <w:noProof/>
              </w:rPr>
              <w:t>Audit Implications Summary</w:t>
            </w:r>
            <w:r>
              <w:rPr>
                <w:noProof/>
                <w:webHidden/>
              </w:rPr>
              <w:tab/>
            </w:r>
            <w:r>
              <w:rPr>
                <w:noProof/>
                <w:webHidden/>
              </w:rPr>
              <w:fldChar w:fldCharType="begin"/>
            </w:r>
            <w:r>
              <w:rPr>
                <w:noProof/>
                <w:webHidden/>
              </w:rPr>
              <w:instrText xml:space="preserve"> PAGEREF _Toc210306855 \h </w:instrText>
            </w:r>
            <w:r>
              <w:rPr>
                <w:noProof/>
                <w:webHidden/>
              </w:rPr>
            </w:r>
            <w:r>
              <w:rPr>
                <w:noProof/>
                <w:webHidden/>
              </w:rPr>
              <w:fldChar w:fldCharType="separate"/>
            </w:r>
            <w:r>
              <w:rPr>
                <w:noProof/>
                <w:webHidden/>
              </w:rPr>
              <w:t>85</w:t>
            </w:r>
            <w:r>
              <w:rPr>
                <w:noProof/>
                <w:webHidden/>
              </w:rPr>
              <w:fldChar w:fldCharType="end"/>
            </w:r>
          </w:hyperlink>
        </w:p>
        <w:p w14:paraId="009A2683" w14:textId="0604FF79" w:rsidR="00516910" w:rsidRDefault="00516910">
          <w:pPr>
            <w:pStyle w:val="TOC2"/>
            <w:rPr>
              <w:rFonts w:asciiTheme="minorHAnsi" w:eastAsiaTheme="minorEastAsia" w:hAnsiTheme="minorHAnsi" w:cstheme="minorBidi"/>
              <w:bCs w:val="0"/>
              <w:kern w:val="2"/>
              <w:sz w:val="24"/>
              <w14:ligatures w14:val="standardContextual"/>
            </w:rPr>
          </w:pPr>
          <w:hyperlink w:anchor="_Toc210306856" w:history="1">
            <w:r w:rsidRPr="00820F01">
              <w:rPr>
                <w:rStyle w:val="Hyperlink"/>
              </w:rPr>
              <w:t>N8.  SPECIAL TESTS AND PROVISIONS – Incentive Compensation</w:t>
            </w:r>
            <w:r>
              <w:rPr>
                <w:webHidden/>
              </w:rPr>
              <w:tab/>
            </w:r>
            <w:r>
              <w:rPr>
                <w:webHidden/>
              </w:rPr>
              <w:fldChar w:fldCharType="begin"/>
            </w:r>
            <w:r>
              <w:rPr>
                <w:webHidden/>
              </w:rPr>
              <w:instrText xml:space="preserve"> PAGEREF _Toc210306856 \h </w:instrText>
            </w:r>
            <w:r>
              <w:rPr>
                <w:webHidden/>
              </w:rPr>
            </w:r>
            <w:r>
              <w:rPr>
                <w:webHidden/>
              </w:rPr>
              <w:fldChar w:fldCharType="separate"/>
            </w:r>
            <w:r>
              <w:rPr>
                <w:webHidden/>
              </w:rPr>
              <w:t>87</w:t>
            </w:r>
            <w:r>
              <w:rPr>
                <w:webHidden/>
              </w:rPr>
              <w:fldChar w:fldCharType="end"/>
            </w:r>
          </w:hyperlink>
        </w:p>
        <w:p w14:paraId="34C43340" w14:textId="327A5EE1"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57" w:history="1">
            <w:r w:rsidRPr="00820F01">
              <w:rPr>
                <w:rStyle w:val="Hyperlink"/>
                <w:rFonts w:cs="Arial"/>
                <w:noProof/>
              </w:rPr>
              <w:t>OMB Compliance Requirements</w:t>
            </w:r>
            <w:r>
              <w:rPr>
                <w:noProof/>
                <w:webHidden/>
              </w:rPr>
              <w:tab/>
            </w:r>
            <w:r>
              <w:rPr>
                <w:noProof/>
                <w:webHidden/>
              </w:rPr>
              <w:fldChar w:fldCharType="begin"/>
            </w:r>
            <w:r>
              <w:rPr>
                <w:noProof/>
                <w:webHidden/>
              </w:rPr>
              <w:instrText xml:space="preserve"> PAGEREF _Toc210306857 \h </w:instrText>
            </w:r>
            <w:r>
              <w:rPr>
                <w:noProof/>
                <w:webHidden/>
              </w:rPr>
            </w:r>
            <w:r>
              <w:rPr>
                <w:noProof/>
                <w:webHidden/>
              </w:rPr>
              <w:fldChar w:fldCharType="separate"/>
            </w:r>
            <w:r>
              <w:rPr>
                <w:noProof/>
                <w:webHidden/>
              </w:rPr>
              <w:t>87</w:t>
            </w:r>
            <w:r>
              <w:rPr>
                <w:noProof/>
                <w:webHidden/>
              </w:rPr>
              <w:fldChar w:fldCharType="end"/>
            </w:r>
          </w:hyperlink>
        </w:p>
        <w:p w14:paraId="65EEF8EA" w14:textId="7E2A9029"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58" w:history="1">
            <w:r w:rsidRPr="00820F0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_Toc210306858 \h </w:instrText>
            </w:r>
            <w:r>
              <w:rPr>
                <w:noProof/>
                <w:webHidden/>
              </w:rPr>
            </w:r>
            <w:r>
              <w:rPr>
                <w:noProof/>
                <w:webHidden/>
              </w:rPr>
              <w:fldChar w:fldCharType="separate"/>
            </w:r>
            <w:r>
              <w:rPr>
                <w:noProof/>
                <w:webHidden/>
              </w:rPr>
              <w:t>89</w:t>
            </w:r>
            <w:r>
              <w:rPr>
                <w:noProof/>
                <w:webHidden/>
              </w:rPr>
              <w:fldChar w:fldCharType="end"/>
            </w:r>
          </w:hyperlink>
        </w:p>
        <w:p w14:paraId="1BD0061C" w14:textId="3471CF81"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59" w:history="1">
            <w:r w:rsidRPr="00820F0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_Toc210306859 \h </w:instrText>
            </w:r>
            <w:r>
              <w:rPr>
                <w:noProof/>
                <w:webHidden/>
              </w:rPr>
            </w:r>
            <w:r>
              <w:rPr>
                <w:noProof/>
                <w:webHidden/>
              </w:rPr>
              <w:fldChar w:fldCharType="separate"/>
            </w:r>
            <w:r>
              <w:rPr>
                <w:noProof/>
                <w:webHidden/>
              </w:rPr>
              <w:t>89</w:t>
            </w:r>
            <w:r>
              <w:rPr>
                <w:noProof/>
                <w:webHidden/>
              </w:rPr>
              <w:fldChar w:fldCharType="end"/>
            </w:r>
          </w:hyperlink>
        </w:p>
        <w:p w14:paraId="16871AEB" w14:textId="5C771AA1"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60" w:history="1">
            <w:r w:rsidRPr="00820F0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_Toc210306860 \h </w:instrText>
            </w:r>
            <w:r>
              <w:rPr>
                <w:noProof/>
                <w:webHidden/>
              </w:rPr>
            </w:r>
            <w:r>
              <w:rPr>
                <w:noProof/>
                <w:webHidden/>
              </w:rPr>
              <w:fldChar w:fldCharType="separate"/>
            </w:r>
            <w:r>
              <w:rPr>
                <w:noProof/>
                <w:webHidden/>
              </w:rPr>
              <w:t>90</w:t>
            </w:r>
            <w:r>
              <w:rPr>
                <w:noProof/>
                <w:webHidden/>
              </w:rPr>
              <w:fldChar w:fldCharType="end"/>
            </w:r>
          </w:hyperlink>
        </w:p>
        <w:p w14:paraId="58206C6E" w14:textId="624B44D5"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61" w:history="1">
            <w:r w:rsidRPr="00820F01">
              <w:rPr>
                <w:rStyle w:val="Hyperlink"/>
                <w:rFonts w:cs="Arial"/>
                <w:noProof/>
              </w:rPr>
              <w:t>Audit Implications Summary</w:t>
            </w:r>
            <w:r>
              <w:rPr>
                <w:noProof/>
                <w:webHidden/>
              </w:rPr>
              <w:tab/>
            </w:r>
            <w:r>
              <w:rPr>
                <w:noProof/>
                <w:webHidden/>
              </w:rPr>
              <w:fldChar w:fldCharType="begin"/>
            </w:r>
            <w:r>
              <w:rPr>
                <w:noProof/>
                <w:webHidden/>
              </w:rPr>
              <w:instrText xml:space="preserve"> PAGEREF _Toc210306861 \h </w:instrText>
            </w:r>
            <w:r>
              <w:rPr>
                <w:noProof/>
                <w:webHidden/>
              </w:rPr>
            </w:r>
            <w:r>
              <w:rPr>
                <w:noProof/>
                <w:webHidden/>
              </w:rPr>
              <w:fldChar w:fldCharType="separate"/>
            </w:r>
            <w:r>
              <w:rPr>
                <w:noProof/>
                <w:webHidden/>
              </w:rPr>
              <w:t>90</w:t>
            </w:r>
            <w:r>
              <w:rPr>
                <w:noProof/>
                <w:webHidden/>
              </w:rPr>
              <w:fldChar w:fldCharType="end"/>
            </w:r>
          </w:hyperlink>
        </w:p>
        <w:p w14:paraId="6EECA79A" w14:textId="1CE8683B" w:rsidR="00516910" w:rsidRDefault="00516910">
          <w:pPr>
            <w:pStyle w:val="TOC2"/>
            <w:rPr>
              <w:rFonts w:asciiTheme="minorHAnsi" w:eastAsiaTheme="minorEastAsia" w:hAnsiTheme="minorHAnsi" w:cstheme="minorBidi"/>
              <w:bCs w:val="0"/>
              <w:kern w:val="2"/>
              <w:sz w:val="24"/>
              <w14:ligatures w14:val="standardContextual"/>
            </w:rPr>
          </w:pPr>
          <w:hyperlink w:anchor="_Toc210306862" w:history="1">
            <w:r w:rsidRPr="00820F01">
              <w:rPr>
                <w:rStyle w:val="Hyperlink"/>
              </w:rPr>
              <w:t>N9.  SPECIAL TESTS AND PROVISIONS – Program Eligibility</w:t>
            </w:r>
            <w:r>
              <w:rPr>
                <w:webHidden/>
              </w:rPr>
              <w:tab/>
            </w:r>
            <w:r>
              <w:rPr>
                <w:webHidden/>
              </w:rPr>
              <w:fldChar w:fldCharType="begin"/>
            </w:r>
            <w:r>
              <w:rPr>
                <w:webHidden/>
              </w:rPr>
              <w:instrText xml:space="preserve"> PAGEREF _Toc210306862 \h </w:instrText>
            </w:r>
            <w:r>
              <w:rPr>
                <w:webHidden/>
              </w:rPr>
            </w:r>
            <w:r>
              <w:rPr>
                <w:webHidden/>
              </w:rPr>
              <w:fldChar w:fldCharType="separate"/>
            </w:r>
            <w:r>
              <w:rPr>
                <w:webHidden/>
              </w:rPr>
              <w:t>92</w:t>
            </w:r>
            <w:r>
              <w:rPr>
                <w:webHidden/>
              </w:rPr>
              <w:fldChar w:fldCharType="end"/>
            </w:r>
          </w:hyperlink>
        </w:p>
        <w:p w14:paraId="07E6B184" w14:textId="044A801D"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63" w:history="1">
            <w:r w:rsidRPr="00820F01">
              <w:rPr>
                <w:rStyle w:val="Hyperlink"/>
                <w:rFonts w:cs="Arial"/>
                <w:noProof/>
              </w:rPr>
              <w:t>OMB Compliance Requirements</w:t>
            </w:r>
            <w:r>
              <w:rPr>
                <w:noProof/>
                <w:webHidden/>
              </w:rPr>
              <w:tab/>
            </w:r>
            <w:r>
              <w:rPr>
                <w:noProof/>
                <w:webHidden/>
              </w:rPr>
              <w:fldChar w:fldCharType="begin"/>
            </w:r>
            <w:r>
              <w:rPr>
                <w:noProof/>
                <w:webHidden/>
              </w:rPr>
              <w:instrText xml:space="preserve"> PAGEREF _Toc210306863 \h </w:instrText>
            </w:r>
            <w:r>
              <w:rPr>
                <w:noProof/>
                <w:webHidden/>
              </w:rPr>
            </w:r>
            <w:r>
              <w:rPr>
                <w:noProof/>
                <w:webHidden/>
              </w:rPr>
              <w:fldChar w:fldCharType="separate"/>
            </w:r>
            <w:r>
              <w:rPr>
                <w:noProof/>
                <w:webHidden/>
              </w:rPr>
              <w:t>92</w:t>
            </w:r>
            <w:r>
              <w:rPr>
                <w:noProof/>
                <w:webHidden/>
              </w:rPr>
              <w:fldChar w:fldCharType="end"/>
            </w:r>
          </w:hyperlink>
        </w:p>
        <w:p w14:paraId="3834BE17" w14:textId="560DEBE2"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64" w:history="1">
            <w:r w:rsidRPr="00820F0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_Toc210306864 \h </w:instrText>
            </w:r>
            <w:r>
              <w:rPr>
                <w:noProof/>
                <w:webHidden/>
              </w:rPr>
            </w:r>
            <w:r>
              <w:rPr>
                <w:noProof/>
                <w:webHidden/>
              </w:rPr>
              <w:fldChar w:fldCharType="separate"/>
            </w:r>
            <w:r>
              <w:rPr>
                <w:noProof/>
                <w:webHidden/>
              </w:rPr>
              <w:t>96</w:t>
            </w:r>
            <w:r>
              <w:rPr>
                <w:noProof/>
                <w:webHidden/>
              </w:rPr>
              <w:fldChar w:fldCharType="end"/>
            </w:r>
          </w:hyperlink>
        </w:p>
        <w:p w14:paraId="5A6D477A" w14:textId="180D5E39"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65" w:history="1">
            <w:r w:rsidRPr="00820F0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_Toc210306865 \h </w:instrText>
            </w:r>
            <w:r>
              <w:rPr>
                <w:noProof/>
                <w:webHidden/>
              </w:rPr>
            </w:r>
            <w:r>
              <w:rPr>
                <w:noProof/>
                <w:webHidden/>
              </w:rPr>
              <w:fldChar w:fldCharType="separate"/>
            </w:r>
            <w:r>
              <w:rPr>
                <w:noProof/>
                <w:webHidden/>
              </w:rPr>
              <w:t>96</w:t>
            </w:r>
            <w:r>
              <w:rPr>
                <w:noProof/>
                <w:webHidden/>
              </w:rPr>
              <w:fldChar w:fldCharType="end"/>
            </w:r>
          </w:hyperlink>
        </w:p>
        <w:p w14:paraId="2D5C0C55" w14:textId="7EF20D91"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66" w:history="1">
            <w:r w:rsidRPr="00820F0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_Toc210306866 \h </w:instrText>
            </w:r>
            <w:r>
              <w:rPr>
                <w:noProof/>
                <w:webHidden/>
              </w:rPr>
            </w:r>
            <w:r>
              <w:rPr>
                <w:noProof/>
                <w:webHidden/>
              </w:rPr>
              <w:fldChar w:fldCharType="separate"/>
            </w:r>
            <w:r>
              <w:rPr>
                <w:noProof/>
                <w:webHidden/>
              </w:rPr>
              <w:t>97</w:t>
            </w:r>
            <w:r>
              <w:rPr>
                <w:noProof/>
                <w:webHidden/>
              </w:rPr>
              <w:fldChar w:fldCharType="end"/>
            </w:r>
          </w:hyperlink>
        </w:p>
        <w:p w14:paraId="3F51D9C4" w14:textId="2FBA1FBF"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67" w:history="1">
            <w:r w:rsidRPr="00820F01">
              <w:rPr>
                <w:rStyle w:val="Hyperlink"/>
                <w:rFonts w:cs="Arial"/>
                <w:noProof/>
              </w:rPr>
              <w:t>Audit Implications Summary</w:t>
            </w:r>
            <w:r>
              <w:rPr>
                <w:noProof/>
                <w:webHidden/>
              </w:rPr>
              <w:tab/>
            </w:r>
            <w:r>
              <w:rPr>
                <w:noProof/>
                <w:webHidden/>
              </w:rPr>
              <w:fldChar w:fldCharType="begin"/>
            </w:r>
            <w:r>
              <w:rPr>
                <w:noProof/>
                <w:webHidden/>
              </w:rPr>
              <w:instrText xml:space="preserve"> PAGEREF _Toc210306867 \h </w:instrText>
            </w:r>
            <w:r>
              <w:rPr>
                <w:noProof/>
                <w:webHidden/>
              </w:rPr>
            </w:r>
            <w:r>
              <w:rPr>
                <w:noProof/>
                <w:webHidden/>
              </w:rPr>
              <w:fldChar w:fldCharType="separate"/>
            </w:r>
            <w:r>
              <w:rPr>
                <w:noProof/>
                <w:webHidden/>
              </w:rPr>
              <w:t>98</w:t>
            </w:r>
            <w:r>
              <w:rPr>
                <w:noProof/>
                <w:webHidden/>
              </w:rPr>
              <w:fldChar w:fldCharType="end"/>
            </w:r>
          </w:hyperlink>
        </w:p>
        <w:p w14:paraId="421C1995" w14:textId="233EB8F6" w:rsidR="00516910" w:rsidRDefault="00516910">
          <w:pPr>
            <w:pStyle w:val="TOC2"/>
            <w:rPr>
              <w:rFonts w:asciiTheme="minorHAnsi" w:eastAsiaTheme="minorEastAsia" w:hAnsiTheme="minorHAnsi" w:cstheme="minorBidi"/>
              <w:bCs w:val="0"/>
              <w:kern w:val="2"/>
              <w:sz w:val="24"/>
              <w14:ligatures w14:val="standardContextual"/>
            </w:rPr>
          </w:pPr>
          <w:hyperlink w:anchor="_Toc210306868" w:history="1">
            <w:r w:rsidRPr="00820F01">
              <w:rPr>
                <w:rStyle w:val="Hyperlink"/>
              </w:rPr>
              <w:t>N10.  SPECIAL TESTS AND PROVISIONS – Gramm-Leach-Bliley Act – Student Information Security</w:t>
            </w:r>
            <w:r>
              <w:rPr>
                <w:webHidden/>
              </w:rPr>
              <w:tab/>
            </w:r>
            <w:r>
              <w:rPr>
                <w:webHidden/>
              </w:rPr>
              <w:fldChar w:fldCharType="begin"/>
            </w:r>
            <w:r>
              <w:rPr>
                <w:webHidden/>
              </w:rPr>
              <w:instrText xml:space="preserve"> PAGEREF _Toc210306868 \h </w:instrText>
            </w:r>
            <w:r>
              <w:rPr>
                <w:webHidden/>
              </w:rPr>
            </w:r>
            <w:r>
              <w:rPr>
                <w:webHidden/>
              </w:rPr>
              <w:fldChar w:fldCharType="separate"/>
            </w:r>
            <w:r>
              <w:rPr>
                <w:webHidden/>
              </w:rPr>
              <w:t>99</w:t>
            </w:r>
            <w:r>
              <w:rPr>
                <w:webHidden/>
              </w:rPr>
              <w:fldChar w:fldCharType="end"/>
            </w:r>
          </w:hyperlink>
        </w:p>
        <w:p w14:paraId="4B0E39C0" w14:textId="1C5F78B8"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69" w:history="1">
            <w:r w:rsidRPr="00820F01">
              <w:rPr>
                <w:rStyle w:val="Hyperlink"/>
                <w:rFonts w:cs="Arial"/>
                <w:noProof/>
              </w:rPr>
              <w:t>OMB Compliance Requirements</w:t>
            </w:r>
            <w:r>
              <w:rPr>
                <w:noProof/>
                <w:webHidden/>
              </w:rPr>
              <w:tab/>
            </w:r>
            <w:r>
              <w:rPr>
                <w:noProof/>
                <w:webHidden/>
              </w:rPr>
              <w:fldChar w:fldCharType="begin"/>
            </w:r>
            <w:r>
              <w:rPr>
                <w:noProof/>
                <w:webHidden/>
              </w:rPr>
              <w:instrText xml:space="preserve"> PAGEREF _Toc210306869 \h </w:instrText>
            </w:r>
            <w:r>
              <w:rPr>
                <w:noProof/>
                <w:webHidden/>
              </w:rPr>
            </w:r>
            <w:r>
              <w:rPr>
                <w:noProof/>
                <w:webHidden/>
              </w:rPr>
              <w:fldChar w:fldCharType="separate"/>
            </w:r>
            <w:r>
              <w:rPr>
                <w:noProof/>
                <w:webHidden/>
              </w:rPr>
              <w:t>99</w:t>
            </w:r>
            <w:r>
              <w:rPr>
                <w:noProof/>
                <w:webHidden/>
              </w:rPr>
              <w:fldChar w:fldCharType="end"/>
            </w:r>
          </w:hyperlink>
        </w:p>
        <w:p w14:paraId="7BCA65AB" w14:textId="3D022917"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70" w:history="1">
            <w:r w:rsidRPr="00820F01">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_Toc210306870 \h </w:instrText>
            </w:r>
            <w:r>
              <w:rPr>
                <w:noProof/>
                <w:webHidden/>
              </w:rPr>
            </w:r>
            <w:r>
              <w:rPr>
                <w:noProof/>
                <w:webHidden/>
              </w:rPr>
              <w:fldChar w:fldCharType="separate"/>
            </w:r>
            <w:r>
              <w:rPr>
                <w:noProof/>
                <w:webHidden/>
              </w:rPr>
              <w:t>101</w:t>
            </w:r>
            <w:r>
              <w:rPr>
                <w:noProof/>
                <w:webHidden/>
              </w:rPr>
              <w:fldChar w:fldCharType="end"/>
            </w:r>
          </w:hyperlink>
        </w:p>
        <w:p w14:paraId="1EAB590B" w14:textId="731F273C"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71" w:history="1">
            <w:r w:rsidRPr="00820F01">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_Toc210306871 \h </w:instrText>
            </w:r>
            <w:r>
              <w:rPr>
                <w:noProof/>
                <w:webHidden/>
              </w:rPr>
            </w:r>
            <w:r>
              <w:rPr>
                <w:noProof/>
                <w:webHidden/>
              </w:rPr>
              <w:fldChar w:fldCharType="separate"/>
            </w:r>
            <w:r>
              <w:rPr>
                <w:noProof/>
                <w:webHidden/>
              </w:rPr>
              <w:t>101</w:t>
            </w:r>
            <w:r>
              <w:rPr>
                <w:noProof/>
                <w:webHidden/>
              </w:rPr>
              <w:fldChar w:fldCharType="end"/>
            </w:r>
          </w:hyperlink>
        </w:p>
        <w:p w14:paraId="2E83C1A8" w14:textId="32469371"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72" w:history="1">
            <w:r w:rsidRPr="00820F01">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_Toc210306872 \h </w:instrText>
            </w:r>
            <w:r>
              <w:rPr>
                <w:noProof/>
                <w:webHidden/>
              </w:rPr>
            </w:r>
            <w:r>
              <w:rPr>
                <w:noProof/>
                <w:webHidden/>
              </w:rPr>
              <w:fldChar w:fldCharType="separate"/>
            </w:r>
            <w:r>
              <w:rPr>
                <w:noProof/>
                <w:webHidden/>
              </w:rPr>
              <w:t>102</w:t>
            </w:r>
            <w:r>
              <w:rPr>
                <w:noProof/>
                <w:webHidden/>
              </w:rPr>
              <w:fldChar w:fldCharType="end"/>
            </w:r>
          </w:hyperlink>
        </w:p>
        <w:p w14:paraId="0FA90886" w14:textId="1D9EDDAC" w:rsidR="00516910" w:rsidRDefault="00516910">
          <w:pPr>
            <w:pStyle w:val="TOC3"/>
            <w:rPr>
              <w:rFonts w:asciiTheme="minorHAnsi" w:eastAsiaTheme="minorEastAsia" w:hAnsiTheme="minorHAnsi" w:cstheme="minorBidi"/>
              <w:b w:val="0"/>
              <w:noProof/>
              <w:kern w:val="2"/>
              <w:sz w:val="24"/>
              <w:szCs w:val="24"/>
              <w14:ligatures w14:val="standardContextual"/>
            </w:rPr>
          </w:pPr>
          <w:hyperlink w:anchor="_Toc210306873" w:history="1">
            <w:r w:rsidRPr="00820F01">
              <w:rPr>
                <w:rStyle w:val="Hyperlink"/>
                <w:rFonts w:cs="Arial"/>
                <w:noProof/>
              </w:rPr>
              <w:t>Audit Implications Summary</w:t>
            </w:r>
            <w:r>
              <w:rPr>
                <w:noProof/>
                <w:webHidden/>
              </w:rPr>
              <w:tab/>
            </w:r>
            <w:r>
              <w:rPr>
                <w:noProof/>
                <w:webHidden/>
              </w:rPr>
              <w:fldChar w:fldCharType="begin"/>
            </w:r>
            <w:r>
              <w:rPr>
                <w:noProof/>
                <w:webHidden/>
              </w:rPr>
              <w:instrText xml:space="preserve"> PAGEREF _Toc210306873 \h </w:instrText>
            </w:r>
            <w:r>
              <w:rPr>
                <w:noProof/>
                <w:webHidden/>
              </w:rPr>
            </w:r>
            <w:r>
              <w:rPr>
                <w:noProof/>
                <w:webHidden/>
              </w:rPr>
              <w:fldChar w:fldCharType="separate"/>
            </w:r>
            <w:r>
              <w:rPr>
                <w:noProof/>
                <w:webHidden/>
              </w:rPr>
              <w:t>102</w:t>
            </w:r>
            <w:r>
              <w:rPr>
                <w:noProof/>
                <w:webHidden/>
              </w:rPr>
              <w:fldChar w:fldCharType="end"/>
            </w:r>
          </w:hyperlink>
        </w:p>
        <w:p w14:paraId="62B8C2E3" w14:textId="1DF772AB" w:rsidR="00516910" w:rsidRDefault="00516910">
          <w:pPr>
            <w:pStyle w:val="TOC2"/>
            <w:rPr>
              <w:rFonts w:asciiTheme="minorHAnsi" w:eastAsiaTheme="minorEastAsia" w:hAnsiTheme="minorHAnsi" w:cstheme="minorBidi"/>
              <w:bCs w:val="0"/>
              <w:kern w:val="2"/>
              <w:sz w:val="24"/>
              <w14:ligatures w14:val="standardContextual"/>
            </w:rPr>
          </w:pPr>
          <w:hyperlink w:anchor="_Toc210306874" w:history="1">
            <w:r w:rsidRPr="00820F01">
              <w:rPr>
                <w:rStyle w:val="Hyperlink"/>
              </w:rPr>
              <w:t>Program Testing Conclusion</w:t>
            </w:r>
            <w:r>
              <w:rPr>
                <w:webHidden/>
              </w:rPr>
              <w:tab/>
            </w:r>
            <w:r>
              <w:rPr>
                <w:webHidden/>
              </w:rPr>
              <w:fldChar w:fldCharType="begin"/>
            </w:r>
            <w:r>
              <w:rPr>
                <w:webHidden/>
              </w:rPr>
              <w:instrText xml:space="preserve"> PAGEREF _Toc210306874 \h </w:instrText>
            </w:r>
            <w:r>
              <w:rPr>
                <w:webHidden/>
              </w:rPr>
            </w:r>
            <w:r>
              <w:rPr>
                <w:webHidden/>
              </w:rPr>
              <w:fldChar w:fldCharType="separate"/>
            </w:r>
            <w:r>
              <w:rPr>
                <w:webHidden/>
              </w:rPr>
              <w:t>104</w:t>
            </w:r>
            <w:r>
              <w:rPr>
                <w:webHidden/>
              </w:rPr>
              <w:fldChar w:fldCharType="end"/>
            </w:r>
          </w:hyperlink>
        </w:p>
        <w:p w14:paraId="03C2BB18" w14:textId="65195FDF"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7870FB41" w14:textId="77777777" w:rsidR="00084EE0" w:rsidRDefault="00084EE0" w:rsidP="006672EA">
      <w:pPr>
        <w:spacing w:after="240"/>
        <w:jc w:val="both"/>
        <w:rPr>
          <w:rFonts w:ascii="Arial" w:hAnsi="Arial" w:cs="Arial"/>
          <w:b/>
          <w:bCs/>
          <w:szCs w:val="24"/>
        </w:rPr>
      </w:pPr>
    </w:p>
    <w:p w14:paraId="60902DEE" w14:textId="547DDDC9" w:rsidR="0090238A" w:rsidRPr="0090238A" w:rsidRDefault="0090238A" w:rsidP="006672EA">
      <w:pPr>
        <w:spacing w:after="240"/>
        <w:jc w:val="both"/>
        <w:rPr>
          <w:rFonts w:ascii="Arial" w:hAnsi="Arial" w:cs="Arial"/>
          <w:b/>
          <w:bCs/>
          <w:i/>
          <w:iCs/>
          <w:color w:val="002060"/>
          <w:szCs w:val="24"/>
        </w:rPr>
        <w:sectPr w:rsidR="0090238A" w:rsidRPr="0090238A" w:rsidSect="00EB75E1">
          <w:headerReference w:type="even" r:id="rId23"/>
          <w:headerReference w:type="default" r:id="rId24"/>
          <w:footerReference w:type="even" r:id="rId25"/>
          <w:headerReference w:type="first" r:id="rId26"/>
          <w:footerReference w:type="first" r:id="rId27"/>
          <w:pgSz w:w="12240" w:h="15840" w:code="1"/>
          <w:pgMar w:top="1440" w:right="1440" w:bottom="1440" w:left="1440" w:header="720" w:footer="720" w:gutter="0"/>
          <w:cols w:space="720"/>
          <w:noEndnote/>
        </w:sectPr>
      </w:pPr>
      <w:r w:rsidRPr="0090238A">
        <w:rPr>
          <w:rFonts w:ascii="Arial" w:hAnsi="Arial" w:cs="Arial"/>
          <w:b/>
          <w:bCs/>
          <w:i/>
          <w:iCs/>
          <w:color w:val="002060"/>
          <w:szCs w:val="24"/>
        </w:rPr>
        <w:t>Two additional Special Tests and Provisions are applicable per the 2025 OMB Compliance Supplement (N7. Student Loan Repayments (HPSL/PCL/LDS and NSL, and NFLP</w:t>
      </w:r>
      <w:r>
        <w:rPr>
          <w:rFonts w:ascii="Arial" w:hAnsi="Arial" w:cs="Arial"/>
          <w:b/>
          <w:bCs/>
          <w:i/>
          <w:iCs/>
          <w:color w:val="002060"/>
          <w:szCs w:val="24"/>
        </w:rPr>
        <w:t>)</w:t>
      </w:r>
      <w:r w:rsidRPr="0090238A">
        <w:rPr>
          <w:rFonts w:ascii="Arial" w:hAnsi="Arial" w:cs="Arial"/>
          <w:b/>
          <w:bCs/>
          <w:i/>
          <w:iCs/>
          <w:color w:val="002060"/>
          <w:szCs w:val="24"/>
        </w:rPr>
        <w:t xml:space="preserve"> and N11.</w:t>
      </w:r>
      <w:r w:rsidRPr="0090238A">
        <w:rPr>
          <w:b/>
          <w:bCs/>
          <w:color w:val="002060"/>
        </w:rPr>
        <w:t xml:space="preserve"> </w:t>
      </w:r>
      <w:r w:rsidRPr="0090238A">
        <w:rPr>
          <w:rFonts w:ascii="Arial" w:hAnsi="Arial" w:cs="Arial"/>
          <w:b/>
          <w:bCs/>
          <w:i/>
          <w:iCs/>
          <w:color w:val="002060"/>
          <w:szCs w:val="24"/>
        </w:rPr>
        <w:t xml:space="preserve">Federal Perkins Loan Liquidation); however, they are not included in </w:t>
      </w:r>
      <w:r>
        <w:rPr>
          <w:rFonts w:ascii="Arial" w:hAnsi="Arial" w:cs="Arial"/>
          <w:b/>
          <w:bCs/>
          <w:i/>
          <w:iCs/>
          <w:color w:val="002060"/>
          <w:szCs w:val="24"/>
        </w:rPr>
        <w:t>the</w:t>
      </w:r>
      <w:r w:rsidRPr="0090238A">
        <w:rPr>
          <w:rFonts w:ascii="Arial" w:hAnsi="Arial" w:cs="Arial"/>
          <w:b/>
          <w:bCs/>
          <w:i/>
          <w:iCs/>
          <w:color w:val="002060"/>
          <w:szCs w:val="24"/>
        </w:rPr>
        <w:t xml:space="preserve"> FACCR as they relate to programs other than the three programs the FACCR were written for as noted on </w:t>
      </w:r>
      <w:r>
        <w:rPr>
          <w:rFonts w:ascii="Arial" w:hAnsi="Arial" w:cs="Arial"/>
          <w:b/>
          <w:bCs/>
          <w:i/>
          <w:iCs/>
          <w:color w:val="002060"/>
          <w:szCs w:val="24"/>
        </w:rPr>
        <w:t>page 1</w:t>
      </w:r>
      <w:r w:rsidRPr="0090238A">
        <w:rPr>
          <w:rFonts w:ascii="Arial" w:hAnsi="Arial" w:cs="Arial"/>
          <w:b/>
          <w:bCs/>
          <w:i/>
          <w:iCs/>
          <w:color w:val="002060"/>
          <w:szCs w:val="24"/>
        </w:rPr>
        <w:t xml:space="preserve"> (AL #84.007, AL #84.063, and AL #84.268).</w:t>
      </w: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827D6">
      <w:pPr>
        <w:pStyle w:val="ListParagraph"/>
        <w:numPr>
          <w:ilvl w:val="0"/>
          <w:numId w:val="3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827D6">
      <w:pPr>
        <w:pStyle w:val="ListParagraph"/>
        <w:numPr>
          <w:ilvl w:val="0"/>
          <w:numId w:val="3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827D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827D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827D6">
      <w:pPr>
        <w:pStyle w:val="BodyText"/>
        <w:numPr>
          <w:ilvl w:val="0"/>
          <w:numId w:val="3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827D6">
      <w:pPr>
        <w:pStyle w:val="BodyText"/>
        <w:numPr>
          <w:ilvl w:val="0"/>
          <w:numId w:val="3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EE60304" w:rsidR="000104D2" w:rsidRPr="00F00D94" w:rsidRDefault="000104D2" w:rsidP="000104D2">
      <w:pPr>
        <w:pStyle w:val="BodyText"/>
        <w:ind w:right="115"/>
        <w:jc w:val="both"/>
        <w:rPr>
          <w:rFonts w:ascii="Arial" w:hAnsi="Arial" w:cs="Arial"/>
          <w:szCs w:val="20"/>
        </w:rPr>
      </w:pPr>
      <w:hyperlink r:id="rId28"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827D6">
      <w:pPr>
        <w:pStyle w:val="ListParagraph"/>
        <w:numPr>
          <w:ilvl w:val="0"/>
          <w:numId w:val="5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827D6">
      <w:pPr>
        <w:pStyle w:val="ListParagraph"/>
        <w:numPr>
          <w:ilvl w:val="0"/>
          <w:numId w:val="5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9"/>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306793"/>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0306794"/>
      <w:r w:rsidRPr="00A0464C">
        <w:rPr>
          <w:rFonts w:cs="Arial"/>
          <w:sz w:val="24"/>
          <w:szCs w:val="24"/>
        </w:rPr>
        <w:t>I. Program Objectives</w:t>
      </w:r>
      <w:bookmarkEnd w:id="11"/>
    </w:p>
    <w:p w14:paraId="47FBF2E8" w14:textId="402C5291" w:rsidR="009656BB" w:rsidRPr="00F00D94" w:rsidRDefault="00A011E1" w:rsidP="006672EA">
      <w:pPr>
        <w:spacing w:after="240"/>
        <w:jc w:val="both"/>
        <w:rPr>
          <w:rFonts w:ascii="Arial" w:hAnsi="Arial" w:cs="Arial"/>
          <w:bCs/>
        </w:rPr>
      </w:pPr>
      <w:r w:rsidRPr="00A011E1">
        <w:rPr>
          <w:rFonts w:ascii="Arial" w:hAnsi="Arial" w:cs="Arial"/>
          <w:bCs/>
        </w:rPr>
        <w:t>The objective of the student financial assistance (SFA) programs is to provide financial assistance to eligible students attending eligible institutions of postsecondary education.</w:t>
      </w:r>
    </w:p>
    <w:p w14:paraId="27A28DF7" w14:textId="5C931B0F" w:rsidR="009656BB" w:rsidRPr="00F00D94" w:rsidRDefault="00A011E1" w:rsidP="006672EA">
      <w:pPr>
        <w:spacing w:after="240"/>
        <w:jc w:val="both"/>
        <w:rPr>
          <w:rFonts w:ascii="Arial" w:hAnsi="Arial" w:cs="Arial"/>
          <w:bCs/>
        </w:rPr>
      </w:pPr>
      <w:r>
        <w:rPr>
          <w:rFonts w:ascii="Arial" w:hAnsi="Arial" w:cs="Arial"/>
          <w:bCs/>
          <w:i/>
        </w:rPr>
        <w:t>(Source: 2025</w:t>
      </w:r>
      <w:r w:rsidRPr="005802DF">
        <w:rPr>
          <w:rFonts w:ascii="Arial" w:hAnsi="Arial" w:cs="Arial"/>
          <w:bCs/>
          <w:i/>
        </w:rPr>
        <w:t xml:space="preserve"> OMB Compliance Supplement, Part 5, Student Financial Assistance Cluster)</w:t>
      </w:r>
    </w:p>
    <w:p w14:paraId="222D14D9" w14:textId="77777777" w:rsidR="009656BB" w:rsidRPr="00A0464C" w:rsidRDefault="009656BB" w:rsidP="006672EA">
      <w:pPr>
        <w:pStyle w:val="Heading3"/>
        <w:jc w:val="both"/>
        <w:rPr>
          <w:rFonts w:cs="Arial"/>
          <w:sz w:val="24"/>
          <w:szCs w:val="24"/>
        </w:rPr>
      </w:pPr>
      <w:bookmarkStart w:id="12" w:name="_Toc210306795"/>
      <w:r w:rsidRPr="00A0464C">
        <w:rPr>
          <w:rFonts w:cs="Arial"/>
          <w:sz w:val="24"/>
          <w:szCs w:val="24"/>
        </w:rPr>
        <w:t>II. Program Procedures</w:t>
      </w:r>
      <w:bookmarkEnd w:id="12"/>
    </w:p>
    <w:p w14:paraId="266FDB8A" w14:textId="77777777" w:rsidR="00A011E1" w:rsidRPr="000E63F5" w:rsidRDefault="00A011E1" w:rsidP="00A011E1">
      <w:pPr>
        <w:spacing w:after="240"/>
        <w:jc w:val="both"/>
        <w:rPr>
          <w:rFonts w:ascii="Arial" w:hAnsi="Arial" w:cs="Arial"/>
          <w:b/>
        </w:rPr>
      </w:pPr>
      <w:r w:rsidRPr="000E63F5">
        <w:rPr>
          <w:rFonts w:ascii="Arial" w:hAnsi="Arial" w:cs="Arial"/>
          <w:b/>
        </w:rPr>
        <w:t>A.</w:t>
      </w:r>
      <w:r w:rsidRPr="000E63F5">
        <w:rPr>
          <w:rFonts w:ascii="Arial" w:hAnsi="Arial" w:cs="Arial"/>
          <w:b/>
        </w:rPr>
        <w:tab/>
        <w:t>Overview</w:t>
      </w:r>
    </w:p>
    <w:p w14:paraId="2C460CDC" w14:textId="7765E85D" w:rsidR="00A011E1" w:rsidRPr="000E63F5" w:rsidRDefault="00A011E1" w:rsidP="00A011E1">
      <w:pPr>
        <w:spacing w:after="240"/>
        <w:ind w:left="720"/>
        <w:jc w:val="both"/>
        <w:rPr>
          <w:rFonts w:ascii="Arial" w:hAnsi="Arial" w:cs="Arial"/>
          <w:bCs/>
        </w:rPr>
      </w:pPr>
      <w:r w:rsidRPr="000E63F5">
        <w:rPr>
          <w:rFonts w:ascii="Arial" w:hAnsi="Arial" w:cs="Arial"/>
          <w:bCs/>
        </w:rPr>
        <w:t xml:space="preserve">Institutions must apply to either the Secretary of Education (ED) or Secretary of Health </w:t>
      </w:r>
      <w:r w:rsidRPr="00A011E1">
        <w:rPr>
          <w:rFonts w:ascii="Arial" w:hAnsi="Arial" w:cs="Arial"/>
          <w:bCs/>
        </w:rPr>
        <w:t>and Human Services (HHS) to participate in their particular SFA programs. Some applications must be filed annually, others upon initial entry and once approved, periodically thereafter. Institutions may be approved to participate in only one program or a combination of programs. Institutions are responsible for: (1) determining student eligibility; (2) verifying student data (when required); (3) calculating, as required, the amount of financial aid a student can receive;(4) drawing funds from the federal government and disbursing SFA funds to students directly or by crediting students’ accounts; (5) making borrowers aware of loan repayment responsibilities; (6) submitting, as requested, data on borrowers listed on National Student Loan Data System (NSLDS®) roster; (7) returning funds to students and Title IV programs, as appropriate, if students withdraw, drop out, or are expelled from their program of study; (8) collecting SFA overpayments; (9) establishing, maintaining, and managing (including collecting loan repayments) a revolving loan fund for applicable programs; and (10) reporting the use of funds. Institutions may contract with third-party servicers to perform many of these functions.</w:t>
      </w:r>
    </w:p>
    <w:p w14:paraId="16681197" w14:textId="77777777" w:rsidR="00A011E1" w:rsidRPr="000E63F5" w:rsidRDefault="00A011E1" w:rsidP="00A011E1">
      <w:pPr>
        <w:spacing w:after="240"/>
        <w:jc w:val="both"/>
        <w:rPr>
          <w:rFonts w:ascii="Arial" w:hAnsi="Arial" w:cs="Arial"/>
          <w:b/>
        </w:rPr>
      </w:pPr>
      <w:r w:rsidRPr="000E63F5">
        <w:rPr>
          <w:rFonts w:ascii="Arial" w:hAnsi="Arial" w:cs="Arial"/>
          <w:b/>
        </w:rPr>
        <w:t>B.</w:t>
      </w:r>
      <w:r w:rsidRPr="000E63F5">
        <w:rPr>
          <w:rFonts w:ascii="Arial" w:hAnsi="Arial" w:cs="Arial"/>
          <w:b/>
        </w:rPr>
        <w:tab/>
        <w:t>Title IV Programs - General</w:t>
      </w:r>
    </w:p>
    <w:p w14:paraId="31779424" w14:textId="27448DA2" w:rsidR="00A011E1" w:rsidRPr="00A011E1" w:rsidRDefault="00A011E1" w:rsidP="00A011E1">
      <w:pPr>
        <w:spacing w:after="240"/>
        <w:ind w:left="720"/>
        <w:jc w:val="both"/>
        <w:rPr>
          <w:rFonts w:ascii="Arial" w:hAnsi="Arial" w:cs="Arial"/>
          <w:bCs/>
        </w:rPr>
      </w:pPr>
      <w:r w:rsidRPr="00A011E1">
        <w:rPr>
          <w:rFonts w:ascii="Arial" w:hAnsi="Arial" w:cs="Arial"/>
          <w:bCs/>
        </w:rPr>
        <w:t>The Title IV programs cited in this cluster that are administered by the Department of Education (ED) (those with Assistance Listings beginning with 84) are authorized by Title IV of the Higher Education Act of 1965, as amended (HEA), and collectively are referred to as the “Title IV programs.” Because they are administered at the institutional level, the Federal Perkins Loan Program, the Federal Work-Study Program, and Federal Supplemental Educational Opportunity Grant Program are referred to collectively as the “campus-based programs.”</w:t>
      </w:r>
    </w:p>
    <w:p w14:paraId="537AEB17" w14:textId="1C51091D" w:rsidR="00A011E1" w:rsidRPr="00A011E1" w:rsidRDefault="00A011E1" w:rsidP="00A011E1">
      <w:pPr>
        <w:spacing w:after="240"/>
        <w:ind w:left="720"/>
        <w:jc w:val="both"/>
        <w:rPr>
          <w:rFonts w:ascii="Arial" w:hAnsi="Arial" w:cs="Arial"/>
          <w:bCs/>
        </w:rPr>
      </w:pPr>
      <w:r w:rsidRPr="00A011E1">
        <w:rPr>
          <w:rFonts w:ascii="Arial" w:hAnsi="Arial" w:cs="Arial"/>
          <w:bCs/>
        </w:rPr>
        <w:t>To participate in the Title IV programs, an institution must be an eligible institution. Public and non-profit institutions can qualify as an eligible institution of higher education (34 CFR 600.4) and/or an eligible postsecondary vocational institution (34 CFR 600.6). Depending on the programs offered by an institution, it can be considered both an institution of higher education and a postsecondary vocational institution and must meet the program eligibility requirements for the programs offered by a postsecondary vocational institution.</w:t>
      </w:r>
    </w:p>
    <w:p w14:paraId="2D99AC2C" w14:textId="662009C5" w:rsidR="00A011E1" w:rsidRPr="00A011E1" w:rsidRDefault="00A011E1" w:rsidP="00A011E1">
      <w:pPr>
        <w:spacing w:after="240"/>
        <w:ind w:left="720"/>
        <w:jc w:val="both"/>
        <w:rPr>
          <w:rFonts w:ascii="Arial" w:hAnsi="Arial" w:cs="Arial"/>
          <w:bCs/>
        </w:rPr>
      </w:pPr>
      <w:r w:rsidRPr="00A011E1">
        <w:rPr>
          <w:rFonts w:ascii="Arial" w:hAnsi="Arial" w:cs="Arial"/>
        </w:rPr>
        <w:t>For Title IV programs, students complete a paper or electronic application (Free Application for Federal Student Aid (FAFSA</w:t>
      </w:r>
      <w:r w:rsidRPr="00A011E1">
        <w:rPr>
          <w:rFonts w:ascii="Arial" w:hAnsi="Arial" w:cs="Arial"/>
          <w:position w:val="6"/>
        </w:rPr>
        <w:t>®</w:t>
      </w:r>
      <w:r w:rsidRPr="00A011E1">
        <w:rPr>
          <w:rFonts w:ascii="Arial" w:hAnsi="Arial" w:cs="Arial"/>
        </w:rPr>
        <w:t xml:space="preserve">) and send it to the FAFSA Processing System - FPS. FPS provides FAFSA Submission Summaries to applicants and provides Institutional Student Information Records (ISIRs) to institutions. Among other things, the FAFSA Submission Summary contains the applicant’s Student Aid Index (SAI). The institution uses the ISIR or the FAFSA Submission Summary provided by the student to help determine student eligibility, award amounts, and disbursements. (Note: FPS is a service organization of ED, not of the institution. Therefore, AU-C Section 402, </w:t>
      </w:r>
      <w:r w:rsidRPr="00A011E1">
        <w:rPr>
          <w:rFonts w:ascii="Arial" w:hAnsi="Arial" w:cs="Arial"/>
          <w:i/>
        </w:rPr>
        <w:t xml:space="preserve">Audit Considerations Relating to an Entity Using a Service Organization, </w:t>
      </w:r>
      <w:r w:rsidRPr="00A011E1">
        <w:rPr>
          <w:rFonts w:ascii="Arial" w:hAnsi="Arial" w:cs="Arial"/>
        </w:rPr>
        <w:t>does not apply when auditing the institution.)</w:t>
      </w:r>
    </w:p>
    <w:p w14:paraId="7B6ECD27" w14:textId="77777777" w:rsidR="00A011E1" w:rsidRPr="000E63F5" w:rsidRDefault="00A011E1" w:rsidP="00A011E1">
      <w:pPr>
        <w:spacing w:after="240"/>
        <w:jc w:val="both"/>
        <w:rPr>
          <w:rFonts w:ascii="Arial" w:hAnsi="Arial" w:cs="Arial"/>
          <w:b/>
        </w:rPr>
      </w:pPr>
      <w:r w:rsidRPr="000E63F5">
        <w:rPr>
          <w:rFonts w:ascii="Arial" w:hAnsi="Arial" w:cs="Arial"/>
          <w:b/>
        </w:rPr>
        <w:t>C.</w:t>
      </w:r>
      <w:r w:rsidRPr="000E63F5">
        <w:rPr>
          <w:rFonts w:ascii="Arial" w:hAnsi="Arial" w:cs="Arial"/>
          <w:b/>
        </w:rPr>
        <w:tab/>
        <w:t>Federal Supplemental Educational Opportunity Grants (FSEOG) (Assistance Listing 84.007)</w:t>
      </w:r>
    </w:p>
    <w:p w14:paraId="6502B65C" w14:textId="5FF36AF4" w:rsidR="00A011E1" w:rsidRPr="000E63F5" w:rsidRDefault="00A011E1" w:rsidP="00A011E1">
      <w:pPr>
        <w:spacing w:after="240"/>
        <w:ind w:left="720"/>
        <w:jc w:val="both"/>
        <w:rPr>
          <w:rFonts w:ascii="Arial" w:hAnsi="Arial" w:cs="Arial"/>
          <w:bCs/>
        </w:rPr>
      </w:pPr>
      <w:r w:rsidRPr="00A011E1">
        <w:rPr>
          <w:rFonts w:ascii="Arial" w:hAnsi="Arial" w:cs="Arial"/>
          <w:bCs/>
        </w:rPr>
        <w:lastRenderedPageBreak/>
        <w:t>The FSEOG program provides grants to eligible undergraduate students. Priority is given to Pell recipients who have the lowest SAI. Federal funds are matched with institutional funds (34 CFR 676.21(a) and (c). Title III and Title V institutions may obtain a waiver of the matching requirement under 34 CFR 676.21(b) of the FSEOG regulations.</w:t>
      </w:r>
    </w:p>
    <w:p w14:paraId="341AE00F" w14:textId="77777777" w:rsidR="00A011E1" w:rsidRPr="000E63F5" w:rsidRDefault="00A011E1" w:rsidP="00A011E1">
      <w:pPr>
        <w:spacing w:after="240"/>
        <w:jc w:val="both"/>
        <w:rPr>
          <w:rFonts w:ascii="Arial" w:hAnsi="Arial" w:cs="Arial"/>
          <w:bCs/>
          <w:i/>
          <w:iCs/>
          <w:color w:val="002060"/>
        </w:rPr>
      </w:pPr>
      <w:r w:rsidRPr="000E63F5">
        <w:rPr>
          <w:rFonts w:ascii="Arial" w:hAnsi="Arial" w:cs="Arial"/>
          <w:bCs/>
          <w:i/>
          <w:iCs/>
          <w:color w:val="002060"/>
        </w:rPr>
        <w:t xml:space="preserve">D and E </w:t>
      </w:r>
      <w:r>
        <w:rPr>
          <w:rFonts w:ascii="Arial" w:hAnsi="Arial" w:cs="Arial"/>
          <w:bCs/>
          <w:i/>
          <w:iCs/>
          <w:color w:val="002060"/>
        </w:rPr>
        <w:t xml:space="preserve">Relate to </w:t>
      </w:r>
      <w:r w:rsidRPr="000E63F5">
        <w:rPr>
          <w:rFonts w:ascii="Arial" w:hAnsi="Arial" w:cs="Arial"/>
          <w:bCs/>
          <w:i/>
          <w:iCs/>
          <w:color w:val="002060"/>
        </w:rPr>
        <w:t>Programs Not Included in this FACCR</w:t>
      </w:r>
    </w:p>
    <w:p w14:paraId="061263DD" w14:textId="77777777" w:rsidR="00A011E1" w:rsidRPr="000E63F5" w:rsidRDefault="00A011E1" w:rsidP="00A011E1">
      <w:pPr>
        <w:spacing w:after="240"/>
        <w:jc w:val="both"/>
        <w:rPr>
          <w:rFonts w:ascii="Arial" w:hAnsi="Arial" w:cs="Arial"/>
          <w:b/>
        </w:rPr>
      </w:pPr>
      <w:r w:rsidRPr="000E63F5">
        <w:rPr>
          <w:rFonts w:ascii="Arial" w:hAnsi="Arial" w:cs="Arial"/>
          <w:b/>
        </w:rPr>
        <w:t>F.</w:t>
      </w:r>
      <w:r w:rsidRPr="000E63F5">
        <w:rPr>
          <w:rFonts w:ascii="Arial" w:hAnsi="Arial" w:cs="Arial"/>
          <w:b/>
        </w:rPr>
        <w:tab/>
        <w:t>Federal Pell Grant (Pell) (Assistance Listing 84.063)</w:t>
      </w:r>
    </w:p>
    <w:p w14:paraId="0A8DC28C" w14:textId="7E793840" w:rsidR="00A011E1" w:rsidRPr="000E63F5" w:rsidRDefault="00A011E1" w:rsidP="00A011E1">
      <w:pPr>
        <w:spacing w:after="240"/>
        <w:ind w:left="720"/>
        <w:jc w:val="both"/>
        <w:rPr>
          <w:rFonts w:ascii="Arial" w:hAnsi="Arial" w:cs="Arial"/>
          <w:bCs/>
        </w:rPr>
      </w:pPr>
      <w:r w:rsidRPr="00A011E1">
        <w:rPr>
          <w:rFonts w:ascii="Arial" w:hAnsi="Arial" w:cs="Arial"/>
          <w:bCs/>
        </w:rPr>
        <w:t>The Federal Pell Grant program provides grants to eligible students enrolled in eligible undergraduate programs and certain eligible post-baccalaureate teacher certificate programs and is intended to provide a foundation of financial aid. The program is administered by ED and postsecondary educational institutions. Maximum and minimum Pell Grant awards are established by statute, but the amount for which each student is eligible is based on Maximum or Minimum Pell Grant eligibility criteria or the student’s SAI. ED provides funds to the institution based on actual and estimated Pell expenditures.</w:t>
      </w:r>
    </w:p>
    <w:p w14:paraId="7B6D1D3E" w14:textId="77777777" w:rsidR="00A011E1" w:rsidRPr="000E63F5" w:rsidRDefault="00A011E1" w:rsidP="00A011E1">
      <w:pPr>
        <w:spacing w:after="240"/>
        <w:ind w:left="720" w:hanging="720"/>
        <w:jc w:val="both"/>
        <w:rPr>
          <w:rFonts w:ascii="Arial" w:hAnsi="Arial" w:cs="Arial"/>
          <w:b/>
        </w:rPr>
      </w:pPr>
      <w:r w:rsidRPr="000E63F5">
        <w:rPr>
          <w:rFonts w:ascii="Arial" w:hAnsi="Arial" w:cs="Arial"/>
          <w:b/>
        </w:rPr>
        <w:t>G.</w:t>
      </w:r>
      <w:r w:rsidRPr="000E63F5">
        <w:rPr>
          <w:rFonts w:ascii="Arial" w:hAnsi="Arial" w:cs="Arial"/>
          <w:b/>
        </w:rPr>
        <w:tab/>
        <w:t>William D. Ford Federal Direct Loans (Direct Loan) (Assistance Listing 84.268) (Includes Direct Subsidized, Direct Unsubsidized, and Direct PLUS loans)</w:t>
      </w:r>
    </w:p>
    <w:p w14:paraId="2407D00E" w14:textId="12E64A47" w:rsidR="00A011E1" w:rsidRPr="000E63F5" w:rsidRDefault="00A011E1" w:rsidP="00A011E1">
      <w:pPr>
        <w:spacing w:after="240"/>
        <w:ind w:left="720"/>
        <w:jc w:val="both"/>
        <w:rPr>
          <w:rFonts w:ascii="Arial" w:hAnsi="Arial" w:cs="Arial"/>
          <w:bCs/>
        </w:rPr>
      </w:pPr>
      <w:r w:rsidRPr="00A011E1">
        <w:rPr>
          <w:rFonts w:ascii="Arial" w:hAnsi="Arial" w:cs="Arial"/>
          <w:bCs/>
        </w:rPr>
        <w:t>The Direct Loan Program makes Direct Subsidized Loans for eligible undergraduate students and Direct Unsubsidized Loans to all eligible students, and Direct PLUS Loans to eligible graduate or professional students or to eligible parents of dependent undergraduate students, to pay for the cost of attending postsecondary educational institutions. Direct Loans are made by the Secretary of Education. The student’s FAFSA Submission Summary or ISIR, along with other information, is used by the institution to originate a student’s Direct Loan. The financial aid administrator is also required to provide and confirm certain information.</w:t>
      </w:r>
    </w:p>
    <w:p w14:paraId="368593B0" w14:textId="5AC57EBA" w:rsidR="001A2761" w:rsidRPr="00F00D94" w:rsidRDefault="00A011E1" w:rsidP="00A011E1">
      <w:pPr>
        <w:spacing w:after="240"/>
        <w:jc w:val="both"/>
        <w:rPr>
          <w:rFonts w:ascii="Arial" w:hAnsi="Arial" w:cs="Arial"/>
          <w:bCs/>
        </w:rPr>
      </w:pPr>
      <w:r w:rsidRPr="000E63F5">
        <w:rPr>
          <w:rFonts w:ascii="Arial" w:hAnsi="Arial" w:cs="Arial"/>
          <w:bCs/>
          <w:i/>
          <w:iCs/>
          <w:color w:val="002060"/>
        </w:rPr>
        <w:t xml:space="preserve">H-L </w:t>
      </w:r>
      <w:r>
        <w:rPr>
          <w:rFonts w:ascii="Arial" w:hAnsi="Arial" w:cs="Arial"/>
          <w:bCs/>
          <w:i/>
          <w:iCs/>
          <w:color w:val="002060"/>
        </w:rPr>
        <w:t xml:space="preserve">Relate to </w:t>
      </w:r>
      <w:r w:rsidRPr="000E63F5">
        <w:rPr>
          <w:rFonts w:ascii="Arial" w:hAnsi="Arial" w:cs="Arial"/>
          <w:bCs/>
          <w:i/>
          <w:iCs/>
          <w:color w:val="002060"/>
        </w:rPr>
        <w:t>Programs Not Included in this FACCR</w:t>
      </w:r>
    </w:p>
    <w:p w14:paraId="0D6D1FD8" w14:textId="469A7678" w:rsidR="00A011E1" w:rsidRDefault="00A011E1" w:rsidP="00A011E1">
      <w:pPr>
        <w:spacing w:after="240"/>
        <w:jc w:val="both"/>
        <w:rPr>
          <w:rFonts w:ascii="Arial" w:hAnsi="Arial" w:cs="Arial"/>
          <w:bCs/>
          <w:i/>
        </w:rPr>
      </w:pPr>
      <w:r>
        <w:rPr>
          <w:rFonts w:ascii="Arial" w:hAnsi="Arial" w:cs="Arial"/>
          <w:bCs/>
          <w:i/>
        </w:rPr>
        <w:t>(Source: 2025</w:t>
      </w:r>
      <w:r w:rsidRPr="005802DF">
        <w:rPr>
          <w:rFonts w:ascii="Arial" w:hAnsi="Arial" w:cs="Arial"/>
          <w:bCs/>
          <w:i/>
        </w:rPr>
        <w:t xml:space="preserve"> OMB Compliance Supplement, Part 5, Student Financial Assistance Cluster)</w:t>
      </w:r>
    </w:p>
    <w:p w14:paraId="3D7F8C06" w14:textId="2E6B564B" w:rsidR="009656BB" w:rsidRPr="00F00D94" w:rsidRDefault="00A011E1" w:rsidP="00A011E1">
      <w:pPr>
        <w:spacing w:after="240"/>
        <w:jc w:val="both"/>
        <w:rPr>
          <w:rFonts w:ascii="Arial" w:hAnsi="Arial" w:cs="Arial"/>
          <w:bCs/>
        </w:rPr>
      </w:pPr>
      <w:r w:rsidRPr="00DB4FCC">
        <w:rPr>
          <w:rFonts w:ascii="Arial" w:hAnsi="Arial" w:cs="Arial"/>
          <w:bCs/>
          <w:i/>
          <w:iCs/>
          <w:color w:val="002060"/>
        </w:rPr>
        <w:t>The central processor is a service organization of the Department of Education, not of the schools. Therefore, SSAE 16 does not apply to this system when auditing the schools.</w:t>
      </w:r>
    </w:p>
    <w:p w14:paraId="612B87C9" w14:textId="77777777" w:rsidR="009656BB" w:rsidRPr="00A0464C" w:rsidRDefault="009656BB" w:rsidP="006672EA">
      <w:pPr>
        <w:pStyle w:val="Heading3"/>
        <w:jc w:val="both"/>
        <w:rPr>
          <w:rFonts w:cs="Arial"/>
          <w:sz w:val="24"/>
          <w:szCs w:val="24"/>
        </w:rPr>
      </w:pPr>
      <w:bookmarkStart w:id="13" w:name="_Toc210306796"/>
      <w:r w:rsidRPr="00A0464C">
        <w:rPr>
          <w:rFonts w:cs="Arial"/>
          <w:sz w:val="24"/>
          <w:szCs w:val="24"/>
        </w:rPr>
        <w:t>III. Source of Governing Requirements</w:t>
      </w:r>
      <w:bookmarkEnd w:id="13"/>
    </w:p>
    <w:p w14:paraId="5E052068" w14:textId="330560B5" w:rsidR="006F570B" w:rsidRDefault="00A011E1" w:rsidP="006672EA">
      <w:pPr>
        <w:spacing w:after="240"/>
        <w:jc w:val="both"/>
        <w:rPr>
          <w:rFonts w:ascii="Arial" w:hAnsi="Arial" w:cs="Arial"/>
          <w:color w:val="2D74B5"/>
          <w:u w:val="single" w:color="2D74B5"/>
        </w:rPr>
      </w:pPr>
      <w:r w:rsidRPr="00A011E1">
        <w:rPr>
          <w:rFonts w:ascii="Arial" w:hAnsi="Arial" w:cs="Arial"/>
        </w:rPr>
        <w:t>The ED programs are authorized by Title IV of the Higher Education Act (HEA) of 1965, as amended (20 USC 1001 et seq.). The regulations are found in 34 CFR 600 and 668-690.</w:t>
      </w:r>
    </w:p>
    <w:p w14:paraId="1ADFAABF" w14:textId="61894BAB" w:rsidR="00A011E1" w:rsidRPr="00A011E1" w:rsidRDefault="00A011E1" w:rsidP="006672EA">
      <w:pPr>
        <w:spacing w:after="240"/>
        <w:jc w:val="both"/>
        <w:rPr>
          <w:rFonts w:ascii="Arial" w:hAnsi="Arial" w:cs="Arial"/>
          <w:bCs/>
        </w:rPr>
      </w:pPr>
      <w:r>
        <w:rPr>
          <w:rFonts w:ascii="Arial" w:hAnsi="Arial" w:cs="Arial"/>
          <w:bCs/>
          <w:i/>
          <w:iCs/>
          <w:color w:val="002060"/>
        </w:rPr>
        <w:t>The remaining guidance in this section</w:t>
      </w:r>
      <w:r w:rsidRPr="000E63F5">
        <w:rPr>
          <w:rFonts w:ascii="Arial" w:hAnsi="Arial" w:cs="Arial"/>
          <w:bCs/>
          <w:i/>
          <w:iCs/>
          <w:color w:val="002060"/>
        </w:rPr>
        <w:t xml:space="preserve"> </w:t>
      </w:r>
      <w:r>
        <w:rPr>
          <w:rFonts w:ascii="Arial" w:hAnsi="Arial" w:cs="Arial"/>
          <w:bCs/>
          <w:i/>
          <w:iCs/>
          <w:color w:val="002060"/>
        </w:rPr>
        <w:t>relates to p</w:t>
      </w:r>
      <w:r w:rsidRPr="000E63F5">
        <w:rPr>
          <w:rFonts w:ascii="Arial" w:hAnsi="Arial" w:cs="Arial"/>
          <w:bCs/>
          <w:i/>
          <w:iCs/>
          <w:color w:val="002060"/>
        </w:rPr>
        <w:t xml:space="preserve">rograms </w:t>
      </w:r>
      <w:r w:rsidR="00C53DB0">
        <w:rPr>
          <w:rFonts w:ascii="Arial" w:hAnsi="Arial" w:cs="Arial"/>
          <w:bCs/>
          <w:i/>
          <w:iCs/>
          <w:color w:val="002060"/>
        </w:rPr>
        <w:t>n</w:t>
      </w:r>
      <w:r w:rsidRPr="000E63F5">
        <w:rPr>
          <w:rFonts w:ascii="Arial" w:hAnsi="Arial" w:cs="Arial"/>
          <w:bCs/>
          <w:i/>
          <w:iCs/>
          <w:color w:val="002060"/>
        </w:rPr>
        <w:t xml:space="preserve">ot </w:t>
      </w:r>
      <w:r w:rsidR="00C53DB0">
        <w:rPr>
          <w:rFonts w:ascii="Arial" w:hAnsi="Arial" w:cs="Arial"/>
          <w:bCs/>
          <w:i/>
          <w:iCs/>
          <w:color w:val="002060"/>
        </w:rPr>
        <w:t>i</w:t>
      </w:r>
      <w:r w:rsidRPr="000E63F5">
        <w:rPr>
          <w:rFonts w:ascii="Arial" w:hAnsi="Arial" w:cs="Arial"/>
          <w:bCs/>
          <w:i/>
          <w:iCs/>
          <w:color w:val="002060"/>
        </w:rPr>
        <w:t>ncluded in this FACCR</w:t>
      </w:r>
    </w:p>
    <w:p w14:paraId="05B90F53" w14:textId="727428A7" w:rsidR="006F570B" w:rsidRPr="00F00D94" w:rsidRDefault="00A011E1" w:rsidP="006672EA">
      <w:pPr>
        <w:spacing w:after="240"/>
        <w:jc w:val="both"/>
        <w:rPr>
          <w:rFonts w:ascii="Arial" w:hAnsi="Arial" w:cs="Arial"/>
          <w:bCs/>
        </w:rPr>
      </w:pPr>
      <w:r>
        <w:rPr>
          <w:rFonts w:ascii="Arial" w:hAnsi="Arial" w:cs="Arial"/>
          <w:bCs/>
          <w:i/>
        </w:rPr>
        <w:t>(Source: 2025</w:t>
      </w:r>
      <w:r w:rsidRPr="005802DF">
        <w:rPr>
          <w:rFonts w:ascii="Arial" w:hAnsi="Arial" w:cs="Arial"/>
          <w:bCs/>
          <w:i/>
        </w:rPr>
        <w:t xml:space="preserve"> OMB Compliance Supplement, Part 5, Student Financial Assistance Cluster)</w:t>
      </w:r>
    </w:p>
    <w:p w14:paraId="278D98F4" w14:textId="77777777" w:rsidR="006F570B" w:rsidRPr="00A0464C" w:rsidRDefault="00386445" w:rsidP="006672EA">
      <w:pPr>
        <w:pStyle w:val="Heading3"/>
        <w:jc w:val="both"/>
        <w:rPr>
          <w:rFonts w:cs="Arial"/>
          <w:sz w:val="24"/>
          <w:szCs w:val="24"/>
        </w:rPr>
      </w:pPr>
      <w:bookmarkStart w:id="14" w:name="_Toc210306797"/>
      <w:r w:rsidRPr="00A0464C">
        <w:rPr>
          <w:rFonts w:cs="Arial"/>
          <w:sz w:val="24"/>
          <w:szCs w:val="24"/>
        </w:rPr>
        <w:t xml:space="preserve">IV. </w:t>
      </w:r>
      <w:r w:rsidR="009C1FCD" w:rsidRPr="00A0464C">
        <w:rPr>
          <w:rFonts w:cs="Arial"/>
          <w:sz w:val="24"/>
          <w:szCs w:val="24"/>
        </w:rPr>
        <w:t>Other Information</w:t>
      </w:r>
      <w:bookmarkEnd w:id="14"/>
    </w:p>
    <w:p w14:paraId="0D5A8255" w14:textId="5EEEA622" w:rsidR="00A011E1" w:rsidRPr="000E56D1" w:rsidRDefault="00A011E1" w:rsidP="00A011E1">
      <w:pPr>
        <w:spacing w:after="240"/>
        <w:jc w:val="both"/>
        <w:rPr>
          <w:rFonts w:ascii="Arial" w:hAnsi="Arial" w:cs="Arial"/>
          <w:bCs/>
        </w:rPr>
      </w:pPr>
      <w:r w:rsidRPr="00A011E1">
        <w:rPr>
          <w:rFonts w:ascii="Arial" w:hAnsi="Arial" w:cs="Arial"/>
          <w:bCs/>
        </w:rPr>
        <w:t>While the programs included in this cluster are generally similar in their intent, administration, documentation, etc., there are differences among them. Because of space considerations, this cluster supplement does not list all of the differences, exceptions to general rules or nuances pertaining to specific programs. Auditors should use regulations and guidance applicable to the year(s) being audited when auditing the SFA programs.</w:t>
      </w:r>
    </w:p>
    <w:p w14:paraId="6446C1A8" w14:textId="77777777" w:rsidR="00A011E1" w:rsidRPr="000E56D1" w:rsidRDefault="00A011E1" w:rsidP="00A011E1">
      <w:pPr>
        <w:spacing w:after="240"/>
        <w:jc w:val="both"/>
        <w:rPr>
          <w:rFonts w:ascii="Arial" w:hAnsi="Arial" w:cs="Arial"/>
          <w:bCs/>
          <w:i/>
          <w:iCs/>
        </w:rPr>
      </w:pPr>
      <w:r w:rsidRPr="000E56D1">
        <w:rPr>
          <w:rFonts w:ascii="Arial" w:hAnsi="Arial" w:cs="Arial"/>
          <w:bCs/>
          <w:i/>
          <w:iCs/>
        </w:rPr>
        <w:t>SFA - Title IV Programs</w:t>
      </w:r>
    </w:p>
    <w:p w14:paraId="09802E84" w14:textId="1660C1A2" w:rsidR="00A011E1" w:rsidRPr="000E56D1" w:rsidRDefault="00A011E1" w:rsidP="00A011E1">
      <w:pPr>
        <w:spacing w:after="240"/>
        <w:jc w:val="both"/>
        <w:rPr>
          <w:rFonts w:ascii="Arial" w:hAnsi="Arial" w:cs="Arial"/>
          <w:bCs/>
        </w:rPr>
      </w:pPr>
      <w:r w:rsidRPr="00A011E1">
        <w:rPr>
          <w:rFonts w:ascii="Arial" w:hAnsi="Arial" w:cs="Arial"/>
          <w:bCs/>
        </w:rPr>
        <w:lastRenderedPageBreak/>
        <w:t>All Pell Payment Data for an award year must be submitted by September 30 after the award year. Adjustments for Pell Grants not claimed by September 30 can be made if the first audit report for the period in which the unclaimed Pell Grants were made contains a finding that the institution made proper Pell awards for which it has not received either reimbursement or credit.</w:t>
      </w:r>
    </w:p>
    <w:p w14:paraId="15852152" w14:textId="6585C785" w:rsidR="00A011E1" w:rsidRPr="000E56D1" w:rsidRDefault="00A011E1" w:rsidP="00A011E1">
      <w:pPr>
        <w:spacing w:after="240"/>
        <w:jc w:val="both"/>
        <w:rPr>
          <w:rFonts w:ascii="Arial" w:hAnsi="Arial" w:cs="Arial"/>
          <w:bCs/>
          <w:i/>
          <w:iCs/>
        </w:rPr>
      </w:pPr>
      <w:r w:rsidRPr="000E56D1">
        <w:rPr>
          <w:rFonts w:ascii="Arial" w:hAnsi="Arial" w:cs="Arial"/>
          <w:bCs/>
          <w:i/>
          <w:iCs/>
        </w:rPr>
        <w:t>Upcoming 202</w:t>
      </w:r>
      <w:r>
        <w:rPr>
          <w:rFonts w:ascii="Arial" w:hAnsi="Arial" w:cs="Arial"/>
          <w:bCs/>
          <w:i/>
          <w:iCs/>
        </w:rPr>
        <w:t>5</w:t>
      </w:r>
      <w:r w:rsidRPr="000E56D1">
        <w:rPr>
          <w:rFonts w:ascii="Arial" w:hAnsi="Arial" w:cs="Arial"/>
          <w:bCs/>
          <w:i/>
          <w:iCs/>
        </w:rPr>
        <w:t>-2</w:t>
      </w:r>
      <w:r>
        <w:rPr>
          <w:rFonts w:ascii="Arial" w:hAnsi="Arial" w:cs="Arial"/>
          <w:bCs/>
          <w:i/>
          <w:iCs/>
        </w:rPr>
        <w:t>6</w:t>
      </w:r>
      <w:r w:rsidRPr="000E56D1">
        <w:rPr>
          <w:rFonts w:ascii="Arial" w:hAnsi="Arial" w:cs="Arial"/>
          <w:bCs/>
          <w:i/>
          <w:iCs/>
        </w:rPr>
        <w:t xml:space="preserve"> changes </w:t>
      </w:r>
      <w:r>
        <w:rPr>
          <w:rFonts w:ascii="Arial" w:hAnsi="Arial" w:cs="Arial"/>
          <w:bCs/>
          <w:i/>
          <w:iCs/>
        </w:rPr>
        <w:t>and information on current injunctions</w:t>
      </w:r>
    </w:p>
    <w:p w14:paraId="2F5C1670" w14:textId="73060BD3" w:rsidR="00A011E1" w:rsidRPr="000E56D1" w:rsidRDefault="00A011E1" w:rsidP="00A011E1">
      <w:pPr>
        <w:spacing w:after="240"/>
        <w:jc w:val="both"/>
        <w:rPr>
          <w:rFonts w:ascii="Arial" w:hAnsi="Arial" w:cs="Arial"/>
          <w:bCs/>
        </w:rPr>
      </w:pPr>
      <w:r w:rsidRPr="00A011E1">
        <w:rPr>
          <w:rFonts w:ascii="Arial" w:hAnsi="Arial" w:cs="Arial"/>
          <w:bCs/>
        </w:rPr>
        <w:t>There were changes to institutional eligibility requirements that were effective for the 2024-25 award year that will be addressed in the 2025-26 Compliance supplement. Some of these changes are impacted by an injunction and guidance related to the updates cannot be made until that process is completed. The areas that will be addressed in the future are provided below:</w:t>
      </w:r>
    </w:p>
    <w:p w14:paraId="161CA90E" w14:textId="77777777" w:rsidR="00A011E1" w:rsidRPr="00A011E1" w:rsidRDefault="00A011E1" w:rsidP="008827D6">
      <w:pPr>
        <w:pStyle w:val="ListParagraph"/>
        <w:widowControl w:val="0"/>
        <w:numPr>
          <w:ilvl w:val="0"/>
          <w:numId w:val="54"/>
        </w:numPr>
        <w:tabs>
          <w:tab w:val="left" w:pos="839"/>
          <w:tab w:val="left" w:pos="840"/>
        </w:tabs>
        <w:suppressAutoHyphens w:val="0"/>
        <w:adjustRightInd/>
        <w:spacing w:after="240"/>
        <w:ind w:right="126"/>
        <w:jc w:val="both"/>
        <w:rPr>
          <w:rFonts w:ascii="Arial" w:hAnsi="Arial" w:cs="Arial"/>
          <w:color w:val="16222D"/>
        </w:rPr>
      </w:pPr>
      <w:r w:rsidRPr="00A011E1">
        <w:rPr>
          <w:rFonts w:ascii="Arial" w:hAnsi="Arial" w:cs="Arial"/>
          <w:i/>
        </w:rPr>
        <w:t xml:space="preserve">Distance Education requirements. </w:t>
      </w:r>
      <w:r w:rsidRPr="00A011E1">
        <w:rPr>
          <w:rFonts w:ascii="Arial" w:hAnsi="Arial" w:cs="Arial"/>
          <w:color w:val="16222D"/>
        </w:rPr>
        <w:t xml:space="preserve">In each state in which the institution is located; students enrolled by the institution in distance education or correspondence courses are located, as determined </w:t>
      </w:r>
      <w:r w:rsidRPr="00A011E1">
        <w:rPr>
          <w:rFonts w:ascii="Arial" w:hAnsi="Arial" w:cs="Arial"/>
          <w:i/>
          <w:color w:val="16222D"/>
        </w:rPr>
        <w:t xml:space="preserve">at the time of initial enrollment </w:t>
      </w:r>
      <w:r w:rsidRPr="00A011E1">
        <w:rPr>
          <w:rFonts w:ascii="Arial" w:hAnsi="Arial" w:cs="Arial"/>
          <w:color w:val="16222D"/>
        </w:rPr>
        <w:t>in accordance with</w:t>
      </w:r>
      <w:r w:rsidRPr="00A011E1">
        <w:rPr>
          <w:rFonts w:ascii="Arial" w:hAnsi="Arial" w:cs="Arial"/>
          <w:color w:val="2179A7"/>
        </w:rPr>
        <w:t xml:space="preserve"> </w:t>
      </w:r>
      <w:hyperlink r:id="rId30" w:anchor="p-600.9(c)(2)">
        <w:r w:rsidRPr="00A011E1">
          <w:rPr>
            <w:rFonts w:ascii="Arial" w:hAnsi="Arial" w:cs="Arial"/>
            <w:color w:val="2179A7"/>
            <w:u w:val="single" w:color="2179A7"/>
          </w:rPr>
          <w:t>34 CFR</w:t>
        </w:r>
      </w:hyperlink>
      <w:hyperlink r:id="rId31" w:anchor="p-600.9(c)(2)">
        <w:r w:rsidRPr="00A011E1">
          <w:rPr>
            <w:rFonts w:ascii="Arial" w:hAnsi="Arial" w:cs="Arial"/>
            <w:color w:val="2179A7"/>
            <w:u w:val="single" w:color="2179A7"/>
          </w:rPr>
          <w:t xml:space="preserve"> 600.9(c)(2)</w:t>
        </w:r>
      </w:hyperlink>
      <w:r w:rsidRPr="00A011E1">
        <w:rPr>
          <w:rFonts w:ascii="Arial" w:hAnsi="Arial" w:cs="Arial"/>
          <w:color w:val="16222D"/>
        </w:rPr>
        <w:t>; or for the purposes of</w:t>
      </w:r>
      <w:hyperlink r:id="rId32" w:anchor="p-668.14(b)(32)">
        <w:r w:rsidRPr="00A011E1">
          <w:rPr>
            <w:rFonts w:ascii="Arial" w:hAnsi="Arial" w:cs="Arial"/>
            <w:color w:val="2179A7"/>
          </w:rPr>
          <w:t xml:space="preserve"> </w:t>
        </w:r>
        <w:r w:rsidRPr="00A011E1">
          <w:rPr>
            <w:rFonts w:ascii="Arial" w:hAnsi="Arial" w:cs="Arial"/>
            <w:color w:val="2179A7"/>
            <w:u w:val="single" w:color="2179A7"/>
          </w:rPr>
          <w:t>34 CFR 668.14(b)(32)(i) and (ii)</w:t>
        </w:r>
      </w:hyperlink>
      <w:r w:rsidRPr="00A011E1">
        <w:rPr>
          <w:rFonts w:ascii="Arial" w:hAnsi="Arial" w:cs="Arial"/>
          <w:color w:val="16222D"/>
        </w:rPr>
        <w:t xml:space="preserve">, each student who enrolls in a program on or after July 1, 2024, </w:t>
      </w:r>
      <w:r w:rsidRPr="00A011E1">
        <w:rPr>
          <w:rFonts w:ascii="Arial" w:hAnsi="Arial" w:cs="Arial"/>
          <w:b/>
          <w:color w:val="16222D"/>
        </w:rPr>
        <w:t>and attests that they intend to seek employment</w:t>
      </w:r>
      <w:r w:rsidRPr="00A011E1">
        <w:rPr>
          <w:rFonts w:ascii="Arial" w:hAnsi="Arial" w:cs="Arial"/>
          <w:color w:val="16222D"/>
        </w:rPr>
        <w:t xml:space="preserve">, the institution must determine that each program eligible for </w:t>
      </w:r>
      <w:r w:rsidRPr="00A011E1">
        <w:rPr>
          <w:rFonts w:ascii="Arial" w:hAnsi="Arial" w:cs="Arial"/>
          <w:i/>
          <w:color w:val="16222D"/>
        </w:rPr>
        <w:t xml:space="preserve">Title IV </w:t>
      </w:r>
      <w:r w:rsidRPr="00A011E1">
        <w:rPr>
          <w:rFonts w:ascii="Arial" w:hAnsi="Arial" w:cs="Arial"/>
          <w:color w:val="16222D"/>
        </w:rPr>
        <w:t>funds satisfies the applicable educational requirements for professional licensure or certification requirements in the state where the student is located at the time of initial</w:t>
      </w:r>
      <w:r w:rsidRPr="00A011E1">
        <w:rPr>
          <w:rFonts w:ascii="Arial" w:hAnsi="Arial" w:cs="Arial"/>
          <w:color w:val="16222D"/>
          <w:spacing w:val="-16"/>
        </w:rPr>
        <w:t xml:space="preserve"> </w:t>
      </w:r>
      <w:r w:rsidRPr="00A011E1">
        <w:rPr>
          <w:rFonts w:ascii="Arial" w:hAnsi="Arial" w:cs="Arial"/>
          <w:color w:val="16222D"/>
        </w:rPr>
        <w:t>enrollment. The Department will develop audit procedures for this new requirement and will include additional information in the 2025-26 compliance supplement.</w:t>
      </w:r>
    </w:p>
    <w:p w14:paraId="74898CEC" w14:textId="19804AAE" w:rsidR="00A011E1" w:rsidRPr="00A011E1" w:rsidRDefault="00A011E1" w:rsidP="008827D6">
      <w:pPr>
        <w:pStyle w:val="ListParagraph"/>
        <w:widowControl w:val="0"/>
        <w:numPr>
          <w:ilvl w:val="0"/>
          <w:numId w:val="54"/>
        </w:numPr>
        <w:tabs>
          <w:tab w:val="left" w:pos="839"/>
          <w:tab w:val="left" w:pos="840"/>
        </w:tabs>
        <w:suppressAutoHyphens w:val="0"/>
        <w:adjustRightInd/>
        <w:spacing w:after="240"/>
        <w:ind w:right="126"/>
        <w:jc w:val="both"/>
        <w:rPr>
          <w:rFonts w:ascii="Arial" w:hAnsi="Arial" w:cs="Arial"/>
          <w:color w:val="16222D"/>
        </w:rPr>
      </w:pPr>
      <w:r w:rsidRPr="00A011E1">
        <w:rPr>
          <w:rFonts w:ascii="Arial" w:hAnsi="Arial" w:cs="Arial"/>
          <w:i/>
          <w:color w:val="16222D"/>
        </w:rPr>
        <w:t xml:space="preserve">State requirements and program length. </w:t>
      </w:r>
      <w:r w:rsidRPr="00A011E1">
        <w:rPr>
          <w:rFonts w:ascii="Arial" w:hAnsi="Arial" w:cs="Arial"/>
          <w:color w:val="16222D"/>
        </w:rPr>
        <w:t>The</w:t>
      </w:r>
      <w:r w:rsidRPr="00A011E1">
        <w:rPr>
          <w:rFonts w:ascii="Arial" w:hAnsi="Arial" w:cs="Arial"/>
          <w:color w:val="2D74B5"/>
        </w:rPr>
        <w:t xml:space="preserve"> </w:t>
      </w:r>
      <w:hyperlink r:id="rId33">
        <w:r w:rsidRPr="00A011E1">
          <w:rPr>
            <w:rFonts w:ascii="Arial" w:hAnsi="Arial" w:cs="Arial"/>
            <w:color w:val="2D74B5"/>
            <w:u w:val="single" w:color="2D74B5"/>
          </w:rPr>
          <w:t>Financial Responsibility, Administrative</w:t>
        </w:r>
      </w:hyperlink>
      <w:hyperlink r:id="rId34">
        <w:r w:rsidRPr="00A011E1">
          <w:rPr>
            <w:rFonts w:ascii="Arial" w:hAnsi="Arial" w:cs="Arial"/>
            <w:color w:val="2D74B5"/>
            <w:u w:val="single" w:color="2D74B5"/>
          </w:rPr>
          <w:t xml:space="preserve"> Capability, Certification Procedures, and Ability to Benefit Final Rule</w:t>
        </w:r>
        <w:r w:rsidRPr="00A011E1">
          <w:rPr>
            <w:rFonts w:ascii="Arial" w:hAnsi="Arial" w:cs="Arial"/>
            <w:color w:val="2D74B5"/>
          </w:rPr>
          <w:t xml:space="preserve"> </w:t>
        </w:r>
      </w:hyperlink>
      <w:r w:rsidRPr="00A011E1">
        <w:rPr>
          <w:rFonts w:ascii="Arial" w:hAnsi="Arial" w:cs="Arial"/>
          <w:color w:val="16222D"/>
        </w:rPr>
        <w:t xml:space="preserve">published by the Department on October 31, 2023, amends the program length restrictions at 34 CFR 668.14(b)(26) effective July 1, 2024. The revised regulations rescind the 150 percent rule that existed prior to this date, further limiting the length of GE programs. </w:t>
      </w:r>
      <w:r w:rsidRPr="00A011E1">
        <w:rPr>
          <w:rFonts w:ascii="Arial" w:hAnsi="Arial" w:cs="Arial"/>
        </w:rPr>
        <w:t>On June 21, 2024, the United States District Court for the Northern District of Texas, in 360 Degrees Education, LLC, et al. v. U.S. Department of Education, et al., granted the plaintiff’s motion for a preliminary injunction preventing the Department from enforcing the changes to 34 CFR 668.14(b)(26), pending a decision by the Court. Therefore, until further notice, institutions must continue to comply with the maximum program length regulations that were in effect prior to July 1, 2024. The existing regulations limit the maximum program length of GE programs to 150 percent of a state’s</w:t>
      </w:r>
      <w:r w:rsidRPr="00A011E1">
        <w:rPr>
          <w:rFonts w:ascii="Arial" w:hAnsi="Arial" w:cs="Arial"/>
          <w:spacing w:val="-12"/>
        </w:rPr>
        <w:t xml:space="preserve"> </w:t>
      </w:r>
      <w:r w:rsidRPr="00A011E1">
        <w:rPr>
          <w:rFonts w:ascii="Arial" w:hAnsi="Arial" w:cs="Arial"/>
        </w:rPr>
        <w:t>minimum educational requirements for licensure, or 100 percent of the requirements of an adjacent state, whichever is greater</w:t>
      </w:r>
    </w:p>
    <w:p w14:paraId="5DD396B9" w14:textId="77777777" w:rsidR="00A011E1" w:rsidRPr="00A011E1" w:rsidRDefault="00A011E1" w:rsidP="00A011E1">
      <w:pPr>
        <w:pStyle w:val="BodyText"/>
        <w:ind w:left="120"/>
        <w:jc w:val="both"/>
        <w:rPr>
          <w:rFonts w:ascii="Arial" w:hAnsi="Arial" w:cs="Arial"/>
          <w:szCs w:val="20"/>
        </w:rPr>
      </w:pPr>
      <w:r w:rsidRPr="00A011E1">
        <w:rPr>
          <w:rFonts w:ascii="Arial" w:hAnsi="Arial" w:cs="Arial"/>
          <w:szCs w:val="20"/>
        </w:rPr>
        <w:t>Important resources to consider for these 2025-26 potential future updates include:</w:t>
      </w:r>
    </w:p>
    <w:p w14:paraId="194A2A13" w14:textId="77777777" w:rsidR="00A011E1" w:rsidRPr="00A011E1" w:rsidRDefault="00A011E1" w:rsidP="008827D6">
      <w:pPr>
        <w:pStyle w:val="ListParagraph"/>
        <w:widowControl w:val="0"/>
        <w:numPr>
          <w:ilvl w:val="0"/>
          <w:numId w:val="54"/>
        </w:numPr>
        <w:tabs>
          <w:tab w:val="left" w:pos="839"/>
          <w:tab w:val="left" w:pos="840"/>
        </w:tabs>
        <w:suppressAutoHyphens w:val="0"/>
        <w:adjustRightInd/>
        <w:spacing w:after="240"/>
        <w:jc w:val="both"/>
        <w:rPr>
          <w:rFonts w:ascii="Arial" w:hAnsi="Arial" w:cs="Arial"/>
        </w:rPr>
      </w:pPr>
      <w:hyperlink r:id="rId35">
        <w:r w:rsidRPr="00A011E1">
          <w:rPr>
            <w:rFonts w:ascii="Arial" w:hAnsi="Arial" w:cs="Arial"/>
            <w:color w:val="2D74B5"/>
            <w:u w:val="single" w:color="2D74B5"/>
          </w:rPr>
          <w:t>FSA Knowledge</w:t>
        </w:r>
        <w:r w:rsidRPr="00A011E1">
          <w:rPr>
            <w:rFonts w:ascii="Arial" w:hAnsi="Arial" w:cs="Arial"/>
            <w:color w:val="2D74B5"/>
            <w:spacing w:val="-2"/>
            <w:u w:val="single" w:color="2D74B5"/>
          </w:rPr>
          <w:t xml:space="preserve"> </w:t>
        </w:r>
        <w:r w:rsidRPr="00A011E1">
          <w:rPr>
            <w:rFonts w:ascii="Arial" w:hAnsi="Arial" w:cs="Arial"/>
            <w:color w:val="2D74B5"/>
            <w:u w:val="single" w:color="2D74B5"/>
          </w:rPr>
          <w:t>Center</w:t>
        </w:r>
      </w:hyperlink>
    </w:p>
    <w:p w14:paraId="10554392" w14:textId="77777777" w:rsidR="00A011E1" w:rsidRPr="00A011E1" w:rsidRDefault="00A011E1" w:rsidP="008827D6">
      <w:pPr>
        <w:pStyle w:val="ListParagraph"/>
        <w:widowControl w:val="0"/>
        <w:numPr>
          <w:ilvl w:val="0"/>
          <w:numId w:val="54"/>
        </w:numPr>
        <w:tabs>
          <w:tab w:val="left" w:pos="839"/>
          <w:tab w:val="left" w:pos="840"/>
        </w:tabs>
        <w:suppressAutoHyphens w:val="0"/>
        <w:adjustRightInd/>
        <w:spacing w:after="240"/>
        <w:ind w:right="200"/>
        <w:jc w:val="both"/>
        <w:rPr>
          <w:rFonts w:ascii="Arial" w:hAnsi="Arial" w:cs="Arial"/>
        </w:rPr>
      </w:pPr>
      <w:r w:rsidRPr="00C53DB0">
        <w:rPr>
          <w:rFonts w:ascii="Arial" w:hAnsi="Arial" w:cs="Arial"/>
          <w:u w:color="2D74B5"/>
        </w:rPr>
        <w:t>Electronic</w:t>
      </w:r>
      <w:r w:rsidRPr="00C53DB0">
        <w:rPr>
          <w:rFonts w:ascii="Arial" w:hAnsi="Arial" w:cs="Arial"/>
        </w:rPr>
        <w:t xml:space="preserve"> </w:t>
      </w:r>
      <w:r w:rsidRPr="00A011E1">
        <w:rPr>
          <w:rFonts w:ascii="Arial" w:hAnsi="Arial" w:cs="Arial"/>
        </w:rPr>
        <w:t>Announcement regarding injunction impacting the implementation of changes to 34 CFR 668.14(b)(26) (</w:t>
      </w:r>
      <w:hyperlink r:id="rId36">
        <w:r w:rsidRPr="00A011E1">
          <w:rPr>
            <w:rFonts w:ascii="Arial" w:hAnsi="Arial" w:cs="Arial"/>
            <w:color w:val="2D74B5"/>
            <w:u w:val="single" w:color="2D74B5"/>
          </w:rPr>
          <w:t>GENERAL</w:t>
        </w:r>
        <w:r w:rsidRPr="00A011E1">
          <w:rPr>
            <w:rFonts w:ascii="Arial" w:hAnsi="Arial" w:cs="Arial"/>
            <w:color w:val="2D74B5"/>
            <w:spacing w:val="-4"/>
            <w:u w:val="single" w:color="2D74B5"/>
          </w:rPr>
          <w:t xml:space="preserve"> </w:t>
        </w:r>
        <w:r w:rsidRPr="00A011E1">
          <w:rPr>
            <w:rFonts w:ascii="Arial" w:hAnsi="Arial" w:cs="Arial"/>
            <w:color w:val="2D74B5"/>
            <w:u w:val="single" w:color="2D74B5"/>
          </w:rPr>
          <w:t>24-83</w:t>
        </w:r>
      </w:hyperlink>
      <w:r w:rsidRPr="00A011E1">
        <w:rPr>
          <w:rFonts w:ascii="Arial" w:hAnsi="Arial" w:cs="Arial"/>
        </w:rPr>
        <w:t>)</w:t>
      </w:r>
    </w:p>
    <w:p w14:paraId="5BF03D88" w14:textId="5741BF50" w:rsidR="00A011E1" w:rsidRPr="00A011E1" w:rsidRDefault="00A011E1" w:rsidP="008827D6">
      <w:pPr>
        <w:pStyle w:val="ListParagraph"/>
        <w:widowControl w:val="0"/>
        <w:numPr>
          <w:ilvl w:val="0"/>
          <w:numId w:val="54"/>
        </w:numPr>
        <w:tabs>
          <w:tab w:val="left" w:pos="839"/>
          <w:tab w:val="left" w:pos="840"/>
        </w:tabs>
        <w:suppressAutoHyphens w:val="0"/>
        <w:adjustRightInd/>
        <w:spacing w:after="240"/>
        <w:ind w:right="200"/>
        <w:jc w:val="both"/>
        <w:rPr>
          <w:rFonts w:ascii="Arial" w:hAnsi="Arial" w:cs="Arial"/>
        </w:rPr>
      </w:pPr>
      <w:r w:rsidRPr="00A011E1">
        <w:rPr>
          <w:rFonts w:ascii="Arial" w:hAnsi="Arial" w:cs="Arial"/>
        </w:rPr>
        <w:t>The</w:t>
      </w:r>
      <w:r w:rsidRPr="00A011E1">
        <w:rPr>
          <w:rFonts w:ascii="Arial" w:hAnsi="Arial" w:cs="Arial"/>
          <w:color w:val="2D74B5"/>
        </w:rPr>
        <w:t xml:space="preserve"> </w:t>
      </w:r>
      <w:hyperlink r:id="rId37">
        <w:r w:rsidRPr="00A011E1">
          <w:rPr>
            <w:rFonts w:ascii="Arial" w:hAnsi="Arial" w:cs="Arial"/>
            <w:color w:val="2D74B5"/>
            <w:u w:val="single" w:color="2D74B5"/>
          </w:rPr>
          <w:t>Financial Responsibility, Administrative Capability, Certification Procedures, and</w:t>
        </w:r>
      </w:hyperlink>
      <w:hyperlink r:id="rId38">
        <w:r w:rsidRPr="00A011E1">
          <w:rPr>
            <w:rFonts w:ascii="Arial" w:hAnsi="Arial" w:cs="Arial"/>
            <w:color w:val="2D74B5"/>
            <w:u w:val="single" w:color="2D74B5"/>
          </w:rPr>
          <w:t xml:space="preserve"> Ability to Benefit Final Rule</w:t>
        </w:r>
        <w:r w:rsidRPr="00A011E1">
          <w:rPr>
            <w:rFonts w:ascii="Arial" w:hAnsi="Arial" w:cs="Arial"/>
            <w:color w:val="2D74B5"/>
          </w:rPr>
          <w:t xml:space="preserve"> </w:t>
        </w:r>
      </w:hyperlink>
      <w:r w:rsidRPr="00A011E1">
        <w:rPr>
          <w:rFonts w:ascii="Arial" w:hAnsi="Arial" w:cs="Arial"/>
          <w:color w:val="16222D"/>
        </w:rPr>
        <w:t>published by the Department on October 31,</w:t>
      </w:r>
      <w:r w:rsidRPr="00A011E1">
        <w:rPr>
          <w:rFonts w:ascii="Arial" w:hAnsi="Arial" w:cs="Arial"/>
          <w:color w:val="16222D"/>
          <w:spacing w:val="-14"/>
        </w:rPr>
        <w:t xml:space="preserve"> </w:t>
      </w:r>
      <w:r w:rsidRPr="00A011E1">
        <w:rPr>
          <w:rFonts w:ascii="Arial" w:hAnsi="Arial" w:cs="Arial"/>
          <w:color w:val="16222D"/>
        </w:rPr>
        <w:t>2023</w:t>
      </w:r>
    </w:p>
    <w:p w14:paraId="3B6690E0" w14:textId="77777777" w:rsidR="00A011E1" w:rsidRPr="000E63F5" w:rsidRDefault="00A011E1" w:rsidP="00A011E1">
      <w:pPr>
        <w:spacing w:after="240"/>
        <w:jc w:val="both"/>
        <w:rPr>
          <w:rFonts w:ascii="Arial" w:hAnsi="Arial" w:cs="Arial"/>
          <w:b/>
        </w:rPr>
      </w:pPr>
      <w:r>
        <w:rPr>
          <w:rFonts w:ascii="Arial" w:hAnsi="Arial" w:cs="Arial"/>
          <w:b/>
        </w:rPr>
        <w:t>Availability of Other Program Information</w:t>
      </w:r>
    </w:p>
    <w:p w14:paraId="68D0C4CD" w14:textId="71450C4B" w:rsidR="00A011E1" w:rsidRDefault="00A011E1" w:rsidP="00A011E1">
      <w:pPr>
        <w:spacing w:after="240"/>
        <w:jc w:val="both"/>
        <w:rPr>
          <w:rFonts w:ascii="Arial" w:hAnsi="Arial" w:cs="Arial"/>
          <w:color w:val="2D74B5"/>
          <w:u w:val="single" w:color="2D74B5"/>
        </w:rPr>
      </w:pPr>
      <w:r w:rsidRPr="00A011E1">
        <w:rPr>
          <w:rFonts w:ascii="Arial" w:hAnsi="Arial" w:cs="Arial"/>
        </w:rPr>
        <w:t>ED annually publishes the Federal Student Aid Handbook (</w:t>
      </w:r>
      <w:r w:rsidRPr="00A011E1">
        <w:rPr>
          <w:rFonts w:ascii="Arial" w:hAnsi="Arial" w:cs="Arial"/>
          <w:i/>
        </w:rPr>
        <w:t>FSA Handbook)</w:t>
      </w:r>
      <w:r w:rsidRPr="00A011E1">
        <w:rPr>
          <w:rFonts w:ascii="Arial" w:hAnsi="Arial" w:cs="Arial"/>
        </w:rPr>
        <w:t xml:space="preserve">, which provides detailed guidance on administering the Title IV programs. This handbook and other guidance material are available at </w:t>
      </w:r>
      <w:hyperlink r:id="rId39" w:history="1">
        <w:r w:rsidR="00C53DB0">
          <w:rPr>
            <w:rStyle w:val="Hyperlink"/>
            <w:rFonts w:cs="Arial"/>
          </w:rPr>
          <w:t>https://fsapartners.ed.gov/knowledge-center/fsa-handbook</w:t>
        </w:r>
      </w:hyperlink>
      <w:r w:rsidR="00C53DB0" w:rsidRPr="00C53DB0">
        <w:rPr>
          <w:rFonts w:ascii="Arial" w:hAnsi="Arial" w:cs="Arial"/>
          <w:u w:color="2D74B5"/>
        </w:rPr>
        <w:t>.</w:t>
      </w:r>
    </w:p>
    <w:p w14:paraId="4629B4A6" w14:textId="6740B737" w:rsidR="00A011E1" w:rsidRPr="000E63F5" w:rsidRDefault="00A011E1" w:rsidP="00A011E1">
      <w:pPr>
        <w:spacing w:after="240"/>
        <w:jc w:val="both"/>
        <w:rPr>
          <w:rFonts w:ascii="Arial" w:hAnsi="Arial" w:cs="Arial"/>
          <w:bCs/>
        </w:rPr>
      </w:pPr>
      <w:r>
        <w:rPr>
          <w:rFonts w:ascii="Arial" w:hAnsi="Arial" w:cs="Arial"/>
          <w:bCs/>
          <w:i/>
          <w:iCs/>
          <w:color w:val="002060"/>
        </w:rPr>
        <w:t>The remaining guidance in this section</w:t>
      </w:r>
      <w:r w:rsidRPr="000E63F5">
        <w:rPr>
          <w:rFonts w:ascii="Arial" w:hAnsi="Arial" w:cs="Arial"/>
          <w:bCs/>
          <w:i/>
          <w:iCs/>
          <w:color w:val="002060"/>
        </w:rPr>
        <w:t xml:space="preserve"> </w:t>
      </w:r>
      <w:r>
        <w:rPr>
          <w:rFonts w:ascii="Arial" w:hAnsi="Arial" w:cs="Arial"/>
          <w:bCs/>
          <w:i/>
          <w:iCs/>
          <w:color w:val="002060"/>
        </w:rPr>
        <w:t>relates to p</w:t>
      </w:r>
      <w:r w:rsidRPr="000E63F5">
        <w:rPr>
          <w:rFonts w:ascii="Arial" w:hAnsi="Arial" w:cs="Arial"/>
          <w:bCs/>
          <w:i/>
          <w:iCs/>
          <w:color w:val="002060"/>
        </w:rPr>
        <w:t xml:space="preserve">rograms </w:t>
      </w:r>
      <w:r w:rsidR="00C53DB0">
        <w:rPr>
          <w:rFonts w:ascii="Arial" w:hAnsi="Arial" w:cs="Arial"/>
          <w:bCs/>
          <w:i/>
          <w:iCs/>
          <w:color w:val="002060"/>
        </w:rPr>
        <w:t>n</w:t>
      </w:r>
      <w:r w:rsidRPr="000E63F5">
        <w:rPr>
          <w:rFonts w:ascii="Arial" w:hAnsi="Arial" w:cs="Arial"/>
          <w:bCs/>
          <w:i/>
          <w:iCs/>
          <w:color w:val="002060"/>
        </w:rPr>
        <w:t xml:space="preserve">ot </w:t>
      </w:r>
      <w:r w:rsidR="00C53DB0">
        <w:rPr>
          <w:rFonts w:ascii="Arial" w:hAnsi="Arial" w:cs="Arial"/>
          <w:bCs/>
          <w:i/>
          <w:iCs/>
          <w:color w:val="002060"/>
        </w:rPr>
        <w:t>i</w:t>
      </w:r>
      <w:r w:rsidRPr="000E63F5">
        <w:rPr>
          <w:rFonts w:ascii="Arial" w:hAnsi="Arial" w:cs="Arial"/>
          <w:bCs/>
          <w:i/>
          <w:iCs/>
          <w:color w:val="002060"/>
        </w:rPr>
        <w:t>ncluded in this FACCR</w:t>
      </w:r>
    </w:p>
    <w:p w14:paraId="4DDA80E5" w14:textId="38C1A089" w:rsidR="00432292" w:rsidRPr="00F00D94" w:rsidRDefault="00A011E1" w:rsidP="006672EA">
      <w:pPr>
        <w:spacing w:after="240"/>
        <w:jc w:val="both"/>
        <w:rPr>
          <w:rFonts w:ascii="Arial" w:hAnsi="Arial" w:cs="Arial"/>
          <w:b/>
          <w:bCs/>
          <w:szCs w:val="24"/>
        </w:rPr>
      </w:pPr>
      <w:r>
        <w:rPr>
          <w:rFonts w:ascii="Arial" w:hAnsi="Arial" w:cs="Arial"/>
          <w:bCs/>
          <w:i/>
        </w:rPr>
        <w:t>(Source: 2025</w:t>
      </w:r>
      <w:r w:rsidRPr="005802DF">
        <w:rPr>
          <w:rFonts w:ascii="Arial" w:hAnsi="Arial" w:cs="Arial"/>
          <w:bCs/>
          <w:i/>
        </w:rPr>
        <w:t xml:space="preserve"> OMB Compliance Supplement, Part 5, Student Financial Assistance Cluster)</w:t>
      </w:r>
    </w:p>
    <w:p w14:paraId="6495CEDE" w14:textId="77777777" w:rsidR="00C53DB0" w:rsidRPr="0047663C" w:rsidRDefault="00C53DB0" w:rsidP="00C53DB0">
      <w:pPr>
        <w:spacing w:after="240"/>
        <w:jc w:val="both"/>
        <w:rPr>
          <w:rFonts w:ascii="Arial" w:hAnsi="Arial" w:cs="Arial"/>
          <w:i/>
          <w:iCs/>
          <w:color w:val="002060"/>
          <w:szCs w:val="24"/>
        </w:rPr>
      </w:pPr>
      <w:r w:rsidRPr="0047663C">
        <w:rPr>
          <w:rFonts w:ascii="Arial" w:hAnsi="Arial" w:cs="Arial"/>
          <w:i/>
          <w:iCs/>
          <w:color w:val="002060"/>
          <w:szCs w:val="24"/>
        </w:rPr>
        <w:lastRenderedPageBreak/>
        <w:t>The US Department of Education issued a final regulation</w:t>
      </w:r>
      <w:r>
        <w:rPr>
          <w:rFonts w:ascii="Arial" w:hAnsi="Arial" w:cs="Arial"/>
          <w:i/>
          <w:iCs/>
          <w:color w:val="002060"/>
          <w:szCs w:val="24"/>
        </w:rPr>
        <w:t xml:space="preserve"> in May 2024</w:t>
      </w:r>
      <w:r w:rsidRPr="0047663C">
        <w:rPr>
          <w:rFonts w:ascii="Arial" w:hAnsi="Arial" w:cs="Arial"/>
          <w:i/>
          <w:iCs/>
          <w:color w:val="002060"/>
          <w:szCs w:val="24"/>
        </w:rPr>
        <w:t xml:space="preserve"> which is effective for audits of SFA recipients issued on or after July 1, 2024. The final regulation updates 34 CFR § 668.23(d)(1) to include heightened requirements for related party disclosures in the financial statements. For audits of career tech centers, vocational schools, and other SFA recipients issued on or after July 1, 2024, auditors must ensure the required related party disclosure is included in the Notes to the Financial Statements and meets the updated requirements noted below.  </w:t>
      </w:r>
    </w:p>
    <w:p w14:paraId="622E1382" w14:textId="441720E5" w:rsidR="00C53DB0" w:rsidRDefault="00C53DB0" w:rsidP="00C53DB0">
      <w:pPr>
        <w:tabs>
          <w:tab w:val="left" w:pos="270"/>
        </w:tabs>
        <w:spacing w:after="240"/>
        <w:ind w:left="720"/>
        <w:jc w:val="both"/>
        <w:rPr>
          <w:rFonts w:ascii="Arial" w:hAnsi="Arial" w:cs="Arial"/>
          <w:i/>
          <w:iCs/>
          <w:color w:val="002060"/>
          <w:szCs w:val="24"/>
        </w:rPr>
      </w:pPr>
      <w:r w:rsidRPr="0047663C">
        <w:rPr>
          <w:rFonts w:ascii="Arial" w:hAnsi="Arial" w:cs="Arial"/>
          <w:i/>
          <w:iCs/>
          <w:color w:val="002060"/>
          <w:szCs w:val="24"/>
        </w:rPr>
        <w:t xml:space="preserve">34 CFR § 668.23(d)(1), as updated, requires SFA recipients, in part, to include in their financial statements a detailed description of related </w:t>
      </w:r>
      <w:r>
        <w:rPr>
          <w:rFonts w:ascii="Arial" w:hAnsi="Arial" w:cs="Arial"/>
          <w:i/>
          <w:iCs/>
          <w:color w:val="002060"/>
          <w:szCs w:val="24"/>
        </w:rPr>
        <w:t>entities</w:t>
      </w:r>
      <w:r w:rsidRPr="00C53DB0">
        <w:t xml:space="preserve"> </w:t>
      </w:r>
      <w:r w:rsidRPr="00C53DB0">
        <w:rPr>
          <w:rFonts w:ascii="Arial" w:hAnsi="Arial" w:cs="Arial"/>
          <w:i/>
          <w:iCs/>
          <w:color w:val="002060"/>
          <w:szCs w:val="24"/>
        </w:rPr>
        <w:t>based on the definition of a related entity as set forth in Accounting Standards Codification (ASC) 850</w:t>
      </w:r>
      <w:r>
        <w:rPr>
          <w:rFonts w:ascii="Arial" w:hAnsi="Arial" w:cs="Arial"/>
          <w:i/>
          <w:iCs/>
          <w:color w:val="002060"/>
          <w:szCs w:val="24"/>
        </w:rPr>
        <w:t>.</w:t>
      </w:r>
      <w:r w:rsidRPr="0047663C">
        <w:rPr>
          <w:rFonts w:ascii="Arial" w:hAnsi="Arial" w:cs="Arial"/>
          <w:i/>
          <w:iCs/>
          <w:color w:val="002060"/>
          <w:szCs w:val="24"/>
        </w:rPr>
        <w:t xml:space="preserve"> The disclosure requirements under this </w:t>
      </w:r>
      <w:r>
        <w:rPr>
          <w:rFonts w:ascii="Arial" w:hAnsi="Arial" w:cs="Arial"/>
          <w:i/>
          <w:iCs/>
          <w:color w:val="002060"/>
          <w:szCs w:val="24"/>
        </w:rPr>
        <w:t>paragraph (d)(1) extend beyond those of ASC 850 to</w:t>
      </w:r>
      <w:r w:rsidRPr="0047663C">
        <w:rPr>
          <w:rFonts w:ascii="Arial" w:hAnsi="Arial" w:cs="Arial"/>
          <w:i/>
          <w:iCs/>
          <w:color w:val="002060"/>
          <w:szCs w:val="24"/>
        </w:rPr>
        <w:t xml:space="preserve"> include all related parties and a level of detail that would enable t</w:t>
      </w:r>
      <w:r>
        <w:rPr>
          <w:rFonts w:ascii="Arial" w:hAnsi="Arial" w:cs="Arial"/>
          <w:i/>
          <w:iCs/>
          <w:color w:val="002060"/>
          <w:szCs w:val="24"/>
        </w:rPr>
        <w:t>he</w:t>
      </w:r>
      <w:r w:rsidRPr="0047663C">
        <w:rPr>
          <w:rFonts w:ascii="Arial" w:hAnsi="Arial" w:cs="Arial"/>
          <w:i/>
          <w:iCs/>
          <w:color w:val="002060"/>
          <w:szCs w:val="24"/>
        </w:rPr>
        <w:t xml:space="preserve"> </w:t>
      </w:r>
      <w:r>
        <w:rPr>
          <w:rFonts w:ascii="Arial" w:hAnsi="Arial" w:cs="Arial"/>
          <w:i/>
          <w:iCs/>
          <w:color w:val="002060"/>
          <w:szCs w:val="24"/>
        </w:rPr>
        <w:t>Department</w:t>
      </w:r>
      <w:r w:rsidRPr="0047663C">
        <w:rPr>
          <w:rFonts w:ascii="Arial" w:hAnsi="Arial" w:cs="Arial"/>
          <w:i/>
          <w:iCs/>
          <w:color w:val="002060"/>
          <w:szCs w:val="24"/>
        </w:rPr>
        <w:t xml:space="preserve"> to readily identify the related party. Such information must include, but is not limited to, the name, location and a description of the related entity including the nature and amount of any transactions between the related party and the institution, financial or otherwise, regardless of when they occurred. If there are no related party transactions during the audited fiscal year or related party outstanding balances reported in the financial statements, then management must add a note to the financial statements to disclose this fact.</w:t>
      </w:r>
    </w:p>
    <w:p w14:paraId="528FAB08" w14:textId="77777777" w:rsidR="00C53DB0" w:rsidRPr="00F00D94" w:rsidRDefault="00C53DB0" w:rsidP="006672EA">
      <w:pPr>
        <w:spacing w:after="240"/>
        <w:jc w:val="both"/>
        <w:rPr>
          <w:rFonts w:ascii="Arial" w:hAnsi="Arial" w:cs="Arial"/>
          <w:b/>
          <w:bCs/>
          <w:szCs w:val="24"/>
        </w:rPr>
        <w:sectPr w:rsidR="00C53DB0" w:rsidRPr="00F00D94" w:rsidSect="00FE4777">
          <w:headerReference w:type="default" r:id="rId40"/>
          <w:pgSz w:w="12240" w:h="15840" w:code="1"/>
          <w:pgMar w:top="1440" w:right="1440" w:bottom="1440" w:left="1440" w:header="720" w:footer="720" w:gutter="0"/>
          <w:cols w:space="720"/>
          <w:noEndnote/>
        </w:sectPr>
      </w:pPr>
    </w:p>
    <w:p w14:paraId="6CA12393" w14:textId="773867C1" w:rsidR="006F570B" w:rsidRPr="00A0464C" w:rsidRDefault="006F570B" w:rsidP="006672EA">
      <w:pPr>
        <w:pStyle w:val="Heading1"/>
        <w:jc w:val="both"/>
        <w:rPr>
          <w:rFonts w:cs="Arial"/>
          <w:sz w:val="24"/>
        </w:rPr>
      </w:pPr>
      <w:bookmarkStart w:id="15" w:name="_Toc442267684"/>
      <w:bookmarkStart w:id="16" w:name="_Toc210306798"/>
      <w:r w:rsidRPr="00A0464C">
        <w:rPr>
          <w:rFonts w:cs="Arial"/>
          <w:sz w:val="24"/>
        </w:rPr>
        <w:lastRenderedPageBreak/>
        <w:t>Part II</w:t>
      </w:r>
      <w:bookmarkEnd w:id="15"/>
      <w:r w:rsidR="003644ED" w:rsidRPr="00A0464C">
        <w:rPr>
          <w:rFonts w:cs="Arial"/>
          <w:sz w:val="24"/>
        </w:rPr>
        <w:t xml:space="preserve"> –Grant Specific Information</w:t>
      </w:r>
      <w:bookmarkEnd w:id="16"/>
    </w:p>
    <w:p w14:paraId="7CDEBE27" w14:textId="64D349C7"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w:t>
      </w:r>
      <w:r w:rsidR="00302311">
        <w:rPr>
          <w:rFonts w:ascii="Arial" w:hAnsi="Arial" w:cs="Arial"/>
          <w:b/>
          <w:highlight w:val="yellow"/>
        </w:rPr>
        <w:t xml:space="preserve">the Federal agency </w:t>
      </w:r>
      <w:r w:rsidRPr="00DF10CF">
        <w:rPr>
          <w:rFonts w:ascii="Arial" w:hAnsi="Arial" w:cs="Arial"/>
          <w:b/>
          <w:highlight w:val="yellow"/>
        </w:rPr>
        <w:t>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0306799"/>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0306800"/>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0306801"/>
      <w:r w:rsidRPr="00A0464C">
        <w:rPr>
          <w:rFonts w:cs="Arial"/>
          <w:sz w:val="24"/>
          <w:szCs w:val="24"/>
        </w:rPr>
        <w:t>Reporting</w:t>
      </w:r>
      <w:bookmarkEnd w:id="19"/>
    </w:p>
    <w:p w14:paraId="098F526F" w14:textId="3B9BE2CF" w:rsidR="002A4184" w:rsidRPr="0019565C" w:rsidRDefault="0047409E" w:rsidP="006672EA">
      <w:pPr>
        <w:spacing w:after="240"/>
        <w:jc w:val="both"/>
        <w:rPr>
          <w:rFonts w:ascii="Arial" w:hAnsi="Arial" w:cs="Arial"/>
          <w:b/>
        </w:rPr>
        <w:sectPr w:rsidR="002A4184" w:rsidRPr="0019565C" w:rsidSect="00FE4777">
          <w:headerReference w:type="default" r:id="rId4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2" w:history="1">
        <w:r w:rsidR="000C192B" w:rsidRPr="007E1821">
          <w:rPr>
            <w:rStyle w:val="Hyperlink"/>
            <w:rFonts w:cs="Arial"/>
            <w:i/>
            <w:iCs/>
          </w:rPr>
          <w:t>IPA Resource Internet Page</w:t>
        </w:r>
      </w:hyperlink>
      <w:r w:rsidRPr="007E1821">
        <w:rPr>
          <w:rFonts w:ascii="Arial" w:hAnsi="Arial" w:cs="Arial"/>
          <w:i/>
          <w:iCs/>
          <w:color w:val="002060"/>
        </w:rPr>
        <w:t>.</w:t>
      </w:r>
    </w:p>
    <w:p w14:paraId="4F2732B3" w14:textId="77777777" w:rsidR="00341FBE" w:rsidRPr="00C95501" w:rsidRDefault="00921E9F" w:rsidP="006672EA">
      <w:pPr>
        <w:pStyle w:val="Heading2"/>
        <w:jc w:val="both"/>
        <w:rPr>
          <w:rFonts w:cs="Arial"/>
          <w:sz w:val="24"/>
        </w:rPr>
      </w:pPr>
      <w:bookmarkStart w:id="20" w:name="B___ALLOWABLE_COSTS_COST_PRINCIPLES"/>
      <w:bookmarkStart w:id="21" w:name="B__LIST_OF_SELECTED_ITEMS"/>
      <w:bookmarkStart w:id="22" w:name="C___CASH_MANAGEMENT"/>
      <w:bookmarkStart w:id="23" w:name="_Toc442267690"/>
      <w:bookmarkStart w:id="24" w:name="_Toc210306802"/>
      <w:bookmarkEnd w:id="20"/>
      <w:bookmarkEnd w:id="21"/>
      <w:bookmarkEnd w:id="22"/>
      <w:r w:rsidRPr="00C95501">
        <w:rPr>
          <w:rFonts w:cs="Arial"/>
          <w:sz w:val="24"/>
        </w:rPr>
        <w:lastRenderedPageBreak/>
        <w:t xml:space="preserve">C. </w:t>
      </w:r>
      <w:r w:rsidR="00341FBE" w:rsidRPr="00C95501">
        <w:rPr>
          <w:rFonts w:cs="Arial"/>
          <w:sz w:val="24"/>
        </w:rPr>
        <w:t>CASH MANAGEMENT</w:t>
      </w:r>
      <w:bookmarkEnd w:id="23"/>
      <w:bookmarkEnd w:id="24"/>
    </w:p>
    <w:p w14:paraId="2DD0D478" w14:textId="77777777" w:rsidR="00341FBE" w:rsidRPr="00C95501" w:rsidRDefault="006A15E5" w:rsidP="006672EA">
      <w:pPr>
        <w:pStyle w:val="Heading3"/>
        <w:jc w:val="both"/>
        <w:rPr>
          <w:rFonts w:cs="Arial"/>
          <w:sz w:val="24"/>
          <w:szCs w:val="24"/>
        </w:rPr>
      </w:pPr>
      <w:bookmarkStart w:id="25" w:name="_Toc442267691"/>
      <w:bookmarkStart w:id="26" w:name="_Toc210306803"/>
      <w:r w:rsidRPr="00C95501">
        <w:rPr>
          <w:rFonts w:cs="Arial"/>
          <w:sz w:val="24"/>
          <w:szCs w:val="24"/>
        </w:rPr>
        <w:t xml:space="preserve">OMB </w:t>
      </w:r>
      <w:r w:rsidR="00341FBE" w:rsidRPr="00C95501">
        <w:rPr>
          <w:rFonts w:cs="Arial"/>
          <w:sz w:val="24"/>
          <w:szCs w:val="24"/>
        </w:rPr>
        <w:t>Compliance Requirements</w:t>
      </w:r>
      <w:bookmarkEnd w:id="25"/>
      <w:bookmarkEnd w:id="26"/>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8827D6">
      <w:pPr>
        <w:pStyle w:val="ListParagraph"/>
        <w:numPr>
          <w:ilvl w:val="0"/>
          <w:numId w:val="49"/>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8827D6">
      <w:pPr>
        <w:pStyle w:val="ListParagraph"/>
        <w:numPr>
          <w:ilvl w:val="0"/>
          <w:numId w:val="49"/>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5A1159A"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3" w:history="1">
        <w:r w:rsidR="003C0E2D" w:rsidRPr="00F00D94">
          <w:rPr>
            <w:rStyle w:val="Hyperlink"/>
            <w:rFonts w:cs="Arial"/>
          </w:rPr>
          <w:t>31 CFR Part 205</w:t>
        </w:r>
      </w:hyperlink>
      <w:r w:rsidRPr="00F00D94">
        <w:rPr>
          <w:rFonts w:ascii="Arial" w:hAnsi="Arial" w:cs="Arial"/>
        </w:rPr>
        <w:t xml:space="preserve">, </w:t>
      </w:r>
      <w:hyperlink r:id="rId44" w:history="1">
        <w:r w:rsidR="00203D3E" w:rsidRPr="00F00D94">
          <w:rPr>
            <w:rStyle w:val="Hyperlink"/>
            <w:rFonts w:cs="Arial"/>
          </w:rPr>
          <w:t>48 CFR 52.216-7(b)</w:t>
        </w:r>
      </w:hyperlink>
      <w:r w:rsidRPr="00F00D94">
        <w:rPr>
          <w:rFonts w:ascii="Arial" w:hAnsi="Arial" w:cs="Arial"/>
        </w:rPr>
        <w:t xml:space="preserve"> and </w:t>
      </w:r>
      <w:hyperlink r:id="rId45"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567367DC"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46"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47"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48"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D9B9038"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 xml:space="preserve">Part </w:t>
      </w:r>
      <w:r w:rsidR="00D90B40">
        <w:rPr>
          <w:rFonts w:ascii="Arial" w:hAnsi="Arial" w:cs="Arial"/>
          <w:b/>
          <w:sz w:val="24"/>
          <w:szCs w:val="24"/>
        </w:rPr>
        <w:t>5</w:t>
      </w:r>
      <w:r w:rsidR="00D90B40" w:rsidRPr="00C95501">
        <w:rPr>
          <w:rFonts w:ascii="Arial" w:hAnsi="Arial" w:cs="Arial"/>
          <w:b/>
          <w:sz w:val="24"/>
          <w:szCs w:val="24"/>
        </w:rPr>
        <w:t xml:space="preserve"> </w:t>
      </w:r>
      <w:r w:rsidRPr="00C95501">
        <w:rPr>
          <w:rFonts w:ascii="Arial" w:hAnsi="Arial" w:cs="Arial"/>
          <w:b/>
          <w:sz w:val="24"/>
          <w:szCs w:val="24"/>
        </w:rPr>
        <w:t>OMB Program Specific Requirements</w:t>
      </w:r>
    </w:p>
    <w:p w14:paraId="39FF5D50" w14:textId="02F359B0" w:rsidR="00D90B40" w:rsidRPr="00D90B40" w:rsidRDefault="00D90B40" w:rsidP="00D90B40">
      <w:pPr>
        <w:spacing w:after="240"/>
        <w:jc w:val="both"/>
        <w:rPr>
          <w:rFonts w:ascii="Arial" w:hAnsi="Arial" w:cs="Arial"/>
          <w:bCs/>
        </w:rPr>
      </w:pPr>
      <w:r w:rsidRPr="00D90B40">
        <w:rPr>
          <w:rFonts w:ascii="Arial" w:hAnsi="Arial" w:cs="Arial"/>
          <w:bCs/>
          <w:i/>
          <w:iCs/>
        </w:rPr>
        <w:t>SFA Title IV Programs</w:t>
      </w:r>
      <w:r w:rsidRPr="00D90B40">
        <w:rPr>
          <w:rFonts w:ascii="Arial" w:hAnsi="Arial" w:cs="Arial"/>
          <w:bCs/>
        </w:rPr>
        <w:t xml:space="preserve">: </w:t>
      </w:r>
      <w:r w:rsidRPr="00D90B40">
        <w:rPr>
          <w:rFonts w:ascii="Arial" w:hAnsi="Arial" w:cs="Arial"/>
        </w:rPr>
        <w:t>An institution requests funds from ED under the advance, reimbursement, or heightened cash monitoring payment methods. An institution’s Program Participation Agreement will indicate whether the institution has been placed on the reimbursement or heightened cash monitoring payment method. An institution could have had more than one Program Participation Agreement during a given payment</w:t>
      </w:r>
      <w:r w:rsidRPr="00D90B40">
        <w:rPr>
          <w:rFonts w:ascii="Arial" w:hAnsi="Arial" w:cs="Arial"/>
          <w:spacing w:val="-22"/>
        </w:rPr>
        <w:t xml:space="preserve"> </w:t>
      </w:r>
      <w:r w:rsidRPr="00D90B40">
        <w:rPr>
          <w:rFonts w:ascii="Arial" w:hAnsi="Arial" w:cs="Arial"/>
        </w:rPr>
        <w:t xml:space="preserve">period in that it could have been placed on or taken off of the reimbursement or heightened </w:t>
      </w:r>
      <w:r w:rsidRPr="00D90B40">
        <w:rPr>
          <w:rFonts w:ascii="Arial" w:hAnsi="Arial" w:cs="Arial"/>
        </w:rPr>
        <w:lastRenderedPageBreak/>
        <w:t xml:space="preserve">cash monitoring payment method at any point during the fiscal year. Many institutions on the Advance method of payment elect to post Title IV disbursements prior to drawing funds from the G5 system. This is an acceptable practice and does not constitute the institution being on the Heightened Cash Monitoring (HCM) or Reimbursement. ED publishes a list of institutions on heighted cash monitoring or reimbursement by quarter at: </w:t>
      </w:r>
      <w:hyperlink r:id="rId49">
        <w:r w:rsidRPr="00D90B40">
          <w:rPr>
            <w:rFonts w:ascii="Arial" w:hAnsi="Arial" w:cs="Arial"/>
            <w:color w:val="2D74B5"/>
            <w:u w:val="single" w:color="2D74B5"/>
          </w:rPr>
          <w:t>Heightened</w:t>
        </w:r>
      </w:hyperlink>
      <w:r w:rsidRPr="00D90B40">
        <w:rPr>
          <w:rFonts w:ascii="Arial" w:hAnsi="Arial" w:cs="Arial"/>
          <w:color w:val="2D74B5"/>
        </w:rPr>
        <w:t xml:space="preserve"> </w:t>
      </w:r>
      <w:hyperlink r:id="rId50">
        <w:r w:rsidRPr="00D90B40">
          <w:rPr>
            <w:rFonts w:ascii="Arial" w:hAnsi="Arial" w:cs="Arial"/>
            <w:color w:val="2D74B5"/>
            <w:u w:val="single" w:color="2D74B5"/>
          </w:rPr>
          <w:t>Cash Monitoring | Federal Student</w:t>
        </w:r>
        <w:r w:rsidRPr="00D90B40">
          <w:rPr>
            <w:rFonts w:ascii="Arial" w:hAnsi="Arial" w:cs="Arial"/>
            <w:color w:val="2D74B5"/>
            <w:spacing w:val="-2"/>
            <w:u w:val="single" w:color="2D74B5"/>
          </w:rPr>
          <w:t xml:space="preserve"> </w:t>
        </w:r>
        <w:r w:rsidRPr="00D90B40">
          <w:rPr>
            <w:rFonts w:ascii="Arial" w:hAnsi="Arial" w:cs="Arial"/>
            <w:color w:val="2D74B5"/>
            <w:u w:val="single" w:color="2D74B5"/>
          </w:rPr>
          <w:t>Aid</w:t>
        </w:r>
      </w:hyperlink>
      <w:r w:rsidRPr="00D90B40">
        <w:rPr>
          <w:rFonts w:ascii="Arial" w:hAnsi="Arial" w:cs="Arial"/>
        </w:rPr>
        <w:t>.</w:t>
      </w:r>
    </w:p>
    <w:p w14:paraId="14ABA3BA" w14:textId="432B08AB" w:rsidR="00D90B40" w:rsidRPr="00D90B40" w:rsidRDefault="00D90B40" w:rsidP="00D90B40">
      <w:pPr>
        <w:spacing w:after="240"/>
        <w:jc w:val="both"/>
        <w:rPr>
          <w:rFonts w:ascii="Arial" w:hAnsi="Arial" w:cs="Arial"/>
          <w:bCs/>
        </w:rPr>
      </w:pPr>
      <w:r w:rsidRPr="00D90B40">
        <w:rPr>
          <w:rFonts w:ascii="Arial" w:hAnsi="Arial" w:cs="Arial"/>
        </w:rPr>
        <w:t>For purposes of determining compliance with cash management requirements to minimize time between funds transfer and disbursement, a disbursement of funds occurs on the date an institution credits a student’s account or pays a student or parent directly with either Title IV funds or institutional funds used in advance of drawing down federal funds (34 CFR 668.164(a)(1)(i) &amp;</w:t>
      </w:r>
      <w:r w:rsidRPr="00D90B40">
        <w:rPr>
          <w:rFonts w:ascii="Arial" w:hAnsi="Arial" w:cs="Arial"/>
          <w:spacing w:val="-3"/>
        </w:rPr>
        <w:t xml:space="preserve"> </w:t>
      </w:r>
      <w:r w:rsidRPr="00D90B40">
        <w:rPr>
          <w:rFonts w:ascii="Arial" w:hAnsi="Arial" w:cs="Arial"/>
        </w:rPr>
        <w:t>(ii)).</w:t>
      </w:r>
    </w:p>
    <w:p w14:paraId="17B4CBFF" w14:textId="77777777" w:rsidR="00D90B40" w:rsidRPr="00D90B40" w:rsidRDefault="00D90B40" w:rsidP="00D90B40">
      <w:pPr>
        <w:spacing w:after="240"/>
        <w:jc w:val="both"/>
        <w:rPr>
          <w:rFonts w:ascii="Arial" w:hAnsi="Arial" w:cs="Arial"/>
          <w:bCs/>
        </w:rPr>
      </w:pPr>
      <w:r w:rsidRPr="00D90B40">
        <w:rPr>
          <w:rFonts w:ascii="Arial" w:hAnsi="Arial" w:cs="Arial"/>
          <w:bCs/>
        </w:rPr>
        <w:t>The payment methods and associated cash management requirements are listed below.</w:t>
      </w:r>
    </w:p>
    <w:p w14:paraId="0E02BCAC" w14:textId="21BC9988" w:rsidR="00D90B40" w:rsidRPr="00D90B40" w:rsidRDefault="00D90B40" w:rsidP="00D90B40">
      <w:pPr>
        <w:spacing w:after="240"/>
        <w:ind w:left="720" w:hanging="720"/>
        <w:jc w:val="both"/>
        <w:rPr>
          <w:rFonts w:ascii="Arial" w:hAnsi="Arial" w:cs="Arial"/>
          <w:bCs/>
        </w:rPr>
      </w:pPr>
      <w:r w:rsidRPr="00D90B40">
        <w:rPr>
          <w:rFonts w:ascii="Arial" w:hAnsi="Arial" w:cs="Arial"/>
          <w:bCs/>
        </w:rPr>
        <w:t>•</w:t>
      </w:r>
      <w:r w:rsidRPr="00D90B40">
        <w:rPr>
          <w:rFonts w:ascii="Arial" w:hAnsi="Arial" w:cs="Arial"/>
          <w:bCs/>
        </w:rPr>
        <w:tab/>
      </w:r>
      <w:r w:rsidRPr="00D90B40">
        <w:rPr>
          <w:rFonts w:ascii="Arial" w:hAnsi="Arial" w:cs="Arial"/>
          <w:bCs/>
          <w:i/>
          <w:iCs/>
        </w:rPr>
        <w:t>Advance Payment Method</w:t>
      </w:r>
      <w:r w:rsidRPr="00D90B40">
        <w:rPr>
          <w:rFonts w:ascii="Arial" w:hAnsi="Arial" w:cs="Arial"/>
          <w:bCs/>
        </w:rPr>
        <w:t xml:space="preserve">: </w:t>
      </w:r>
      <w:r w:rsidRPr="00D90B40">
        <w:rPr>
          <w:rFonts w:ascii="Arial" w:hAnsi="Arial" w:cs="Arial"/>
        </w:rPr>
        <w:t>An institution submits a drawdown request for funds utilizing ED’s electronic grants management system, known as G5, that may not exceed the amount of funds needed to make immediate disbursements to eligible students and parents. If the request is accepted, ED initiates an electronic funds transfer to the institution’s account. The institution must then disburse the requested funds no later than three business days following receipt of those funds from</w:t>
      </w:r>
      <w:r w:rsidRPr="00D90B40">
        <w:rPr>
          <w:rFonts w:ascii="Arial" w:hAnsi="Arial" w:cs="Arial"/>
          <w:spacing w:val="-15"/>
        </w:rPr>
        <w:t xml:space="preserve"> </w:t>
      </w:r>
      <w:r w:rsidRPr="00D90B40">
        <w:rPr>
          <w:rFonts w:ascii="Arial" w:hAnsi="Arial" w:cs="Arial"/>
        </w:rPr>
        <w:t>ED.</w:t>
      </w:r>
    </w:p>
    <w:p w14:paraId="1A0CCD75" w14:textId="082596FB" w:rsidR="00D90B40" w:rsidRPr="00D90B40" w:rsidRDefault="00D90B40" w:rsidP="00D90B40">
      <w:pPr>
        <w:spacing w:after="240"/>
        <w:ind w:left="720"/>
        <w:jc w:val="both"/>
        <w:rPr>
          <w:rFonts w:ascii="Arial" w:hAnsi="Arial" w:cs="Arial"/>
          <w:bCs/>
        </w:rPr>
      </w:pPr>
      <w:r w:rsidRPr="00D90B40">
        <w:rPr>
          <w:rFonts w:ascii="Arial" w:hAnsi="Arial" w:cs="Arial"/>
        </w:rPr>
        <w:t>For institutions on the Advance Payment Method, any amount of Title IV funds not disbursed to recipients by the end of the third business day is considered excess cash. ED allows an institution to retain, for up to seven days, excess cash that does not exceed one percent of the total amount of funds drawn by the institution in the prior award year. The institution must return to ED any excess cash over the tolerable amount (one percent) and any amount remaining after the tolerance period (seven days). Questioned costs would be those in excess of the one percent threshold.</w:t>
      </w:r>
    </w:p>
    <w:p w14:paraId="7832B31A" w14:textId="69566A9B" w:rsidR="00D90B40" w:rsidRPr="00D90B40" w:rsidRDefault="00D90B40" w:rsidP="00D90B40">
      <w:pPr>
        <w:spacing w:after="240"/>
        <w:ind w:left="720" w:hanging="720"/>
        <w:jc w:val="both"/>
        <w:rPr>
          <w:rFonts w:ascii="Arial" w:hAnsi="Arial" w:cs="Arial"/>
          <w:b/>
        </w:rPr>
      </w:pPr>
      <w:r w:rsidRPr="00D90B40">
        <w:rPr>
          <w:rFonts w:ascii="Arial" w:hAnsi="Arial" w:cs="Arial"/>
          <w:bCs/>
        </w:rPr>
        <w:t>•</w:t>
      </w:r>
      <w:r w:rsidRPr="00D90B40">
        <w:rPr>
          <w:rFonts w:ascii="Arial" w:hAnsi="Arial" w:cs="Arial"/>
          <w:bCs/>
        </w:rPr>
        <w:tab/>
      </w:r>
      <w:r w:rsidRPr="00D90B40">
        <w:rPr>
          <w:rFonts w:ascii="Arial" w:hAnsi="Arial" w:cs="Arial"/>
          <w:bCs/>
          <w:i/>
          <w:iCs/>
        </w:rPr>
        <w:t>Heightened Cash Monitoring (HCM) Payment Methods</w:t>
      </w:r>
      <w:r w:rsidRPr="00D90B40">
        <w:rPr>
          <w:rFonts w:ascii="Arial" w:hAnsi="Arial" w:cs="Arial"/>
          <w:bCs/>
        </w:rPr>
        <w:t xml:space="preserve">: </w:t>
      </w:r>
      <w:r w:rsidRPr="00D90B40">
        <w:rPr>
          <w:rFonts w:ascii="Arial" w:hAnsi="Arial" w:cs="Arial"/>
        </w:rPr>
        <w:t>An institution must credit a student’s account for the amount of Title IV funds the student is eligible to receive and pay the amount of any credit balance due before the institution submits a request for funds or seeks reimbursement. In other words, the “costs” that must be paid prior to a request for funds (HCM1) or a reimbursement (HCM2) are the amounts of the eligible disbursement and any credit balance. An institution’s request may not exceed the amount of the disbursements the institution made to the students included in that request. While HCM is an ED prescribed payment method, for purposes of testing in using Part 3 of the Compliance Supplement, it would fall generally under the Reimbursement Payment method since the school must disburse funds before ED makes a</w:t>
      </w:r>
      <w:r w:rsidRPr="00D90B40">
        <w:rPr>
          <w:rFonts w:ascii="Arial" w:hAnsi="Arial" w:cs="Arial"/>
          <w:spacing w:val="-1"/>
        </w:rPr>
        <w:t xml:space="preserve"> </w:t>
      </w:r>
      <w:r w:rsidRPr="00D90B40">
        <w:rPr>
          <w:rFonts w:ascii="Arial" w:hAnsi="Arial" w:cs="Arial"/>
        </w:rPr>
        <w:t>payment.</w:t>
      </w:r>
    </w:p>
    <w:p w14:paraId="4C0DF617" w14:textId="64F8EF45" w:rsidR="00D90B40" w:rsidRPr="00D90B40" w:rsidRDefault="00D90B40" w:rsidP="00D90B40">
      <w:pPr>
        <w:spacing w:after="240"/>
        <w:ind w:left="1440" w:hanging="720"/>
        <w:jc w:val="both"/>
        <w:rPr>
          <w:rFonts w:ascii="Arial" w:hAnsi="Arial" w:cs="Arial"/>
          <w:bCs/>
        </w:rPr>
      </w:pPr>
      <w:r w:rsidRPr="00D90B40">
        <w:rPr>
          <w:rFonts w:ascii="Arial" w:hAnsi="Arial" w:cs="Arial"/>
          <w:bCs/>
        </w:rPr>
        <w:t>o</w:t>
      </w:r>
      <w:r w:rsidRPr="00D90B40">
        <w:rPr>
          <w:rFonts w:ascii="Arial" w:hAnsi="Arial" w:cs="Arial"/>
          <w:bCs/>
        </w:rPr>
        <w:tab/>
      </w:r>
      <w:r w:rsidRPr="00D90B40">
        <w:rPr>
          <w:rFonts w:ascii="Arial" w:hAnsi="Arial" w:cs="Arial"/>
          <w:bCs/>
          <w:i/>
          <w:iCs/>
        </w:rPr>
        <w:t>HCM1 Payment Method</w:t>
      </w:r>
      <w:r w:rsidRPr="00D90B40">
        <w:rPr>
          <w:rFonts w:ascii="Arial" w:hAnsi="Arial" w:cs="Arial"/>
          <w:bCs/>
        </w:rPr>
        <w:t xml:space="preserve">: </w:t>
      </w:r>
      <w:r w:rsidRPr="00D90B40">
        <w:rPr>
          <w:rFonts w:ascii="Arial" w:hAnsi="Arial" w:cs="Arial"/>
        </w:rPr>
        <w:t>After making a disbursement to eligible students from institutional funds and submitting disbursement records to the Common Origination and Disbursement (COD) system, the institution draws down funds to cover those disbursements through G5 the same way as an institution on the Advance Payment</w:t>
      </w:r>
      <w:r w:rsidRPr="00D90B40">
        <w:rPr>
          <w:rFonts w:ascii="Arial" w:hAnsi="Arial" w:cs="Arial"/>
          <w:spacing w:val="-1"/>
        </w:rPr>
        <w:t xml:space="preserve"> </w:t>
      </w:r>
      <w:r w:rsidRPr="00D90B40">
        <w:rPr>
          <w:rFonts w:ascii="Arial" w:hAnsi="Arial" w:cs="Arial"/>
        </w:rPr>
        <w:t>Method.</w:t>
      </w:r>
    </w:p>
    <w:p w14:paraId="4EA69DC1" w14:textId="3CB51F9A" w:rsidR="00D90B40" w:rsidRPr="00D90B40" w:rsidRDefault="00D90B40" w:rsidP="00D90B40">
      <w:pPr>
        <w:spacing w:after="240"/>
        <w:ind w:left="1440" w:hanging="720"/>
        <w:jc w:val="both"/>
        <w:rPr>
          <w:rFonts w:ascii="Arial" w:hAnsi="Arial" w:cs="Arial"/>
          <w:bCs/>
        </w:rPr>
      </w:pPr>
      <w:r w:rsidRPr="00D90B40">
        <w:rPr>
          <w:rFonts w:ascii="Arial" w:hAnsi="Arial" w:cs="Arial"/>
          <w:bCs/>
        </w:rPr>
        <w:t>o</w:t>
      </w:r>
      <w:r w:rsidRPr="00D90B40">
        <w:rPr>
          <w:rFonts w:ascii="Arial" w:hAnsi="Arial" w:cs="Arial"/>
          <w:bCs/>
        </w:rPr>
        <w:tab/>
      </w:r>
      <w:r w:rsidRPr="00D90B40">
        <w:rPr>
          <w:rFonts w:ascii="Arial" w:hAnsi="Arial" w:cs="Arial"/>
          <w:bCs/>
          <w:i/>
          <w:iCs/>
        </w:rPr>
        <w:t>HCM2 Payment Method</w:t>
      </w:r>
      <w:r w:rsidRPr="00D90B40">
        <w:rPr>
          <w:rFonts w:ascii="Arial" w:hAnsi="Arial" w:cs="Arial"/>
          <w:bCs/>
        </w:rPr>
        <w:t xml:space="preserve">: </w:t>
      </w:r>
      <w:r w:rsidRPr="00D90B40">
        <w:rPr>
          <w:rFonts w:ascii="Arial" w:hAnsi="Arial" w:cs="Arial"/>
        </w:rPr>
        <w:t>After making disbursements to eligible students from institutional funds, a reimbursement payment request must be submitted for those funds the same way as an institution on the Reimbursement Payment Method (see Reimbursement Payment Method below). HCM2 differs from Reimbursement only to the extent that ED may modify the documentation required and the review procedures used to review the payment</w:t>
      </w:r>
      <w:r w:rsidRPr="00D90B40">
        <w:rPr>
          <w:rFonts w:ascii="Arial" w:hAnsi="Arial" w:cs="Arial"/>
          <w:spacing w:val="-10"/>
        </w:rPr>
        <w:t xml:space="preserve"> </w:t>
      </w:r>
      <w:r w:rsidRPr="00D90B40">
        <w:rPr>
          <w:rFonts w:ascii="Arial" w:hAnsi="Arial" w:cs="Arial"/>
        </w:rPr>
        <w:t>request.</w:t>
      </w:r>
    </w:p>
    <w:p w14:paraId="68FEE74D" w14:textId="3D879991" w:rsidR="00D90B40" w:rsidRPr="001C1E0B" w:rsidRDefault="00D90B40" w:rsidP="00D90B40">
      <w:pPr>
        <w:spacing w:after="240"/>
        <w:ind w:left="720" w:hanging="720"/>
        <w:jc w:val="both"/>
        <w:rPr>
          <w:rFonts w:ascii="Arial" w:hAnsi="Arial" w:cs="Arial"/>
          <w:bCs/>
        </w:rPr>
      </w:pPr>
      <w:r w:rsidRPr="001C1E0B">
        <w:rPr>
          <w:rFonts w:ascii="Arial" w:hAnsi="Arial" w:cs="Arial"/>
          <w:bCs/>
        </w:rPr>
        <w:t>•</w:t>
      </w:r>
      <w:r w:rsidRPr="001C1E0B">
        <w:rPr>
          <w:rFonts w:ascii="Arial" w:hAnsi="Arial" w:cs="Arial"/>
          <w:bCs/>
        </w:rPr>
        <w:tab/>
      </w:r>
      <w:r w:rsidRPr="001C1E0B">
        <w:rPr>
          <w:rFonts w:ascii="Arial" w:hAnsi="Arial" w:cs="Arial"/>
          <w:bCs/>
          <w:i/>
          <w:iCs/>
        </w:rPr>
        <w:t>Reimbursement Payment Method</w:t>
      </w:r>
      <w:r w:rsidRPr="001C1E0B">
        <w:rPr>
          <w:rFonts w:ascii="Arial" w:hAnsi="Arial" w:cs="Arial"/>
          <w:bCs/>
        </w:rPr>
        <w:t xml:space="preserve">: </w:t>
      </w:r>
      <w:r w:rsidRPr="00D90B40">
        <w:rPr>
          <w:rFonts w:ascii="Arial" w:hAnsi="Arial" w:cs="Arial"/>
          <w:bCs/>
        </w:rPr>
        <w:t>An institution must credit a student’s account for the amount of Title IV funds the student is eligible to receive and pay the amount of any credit balances due before the institution seeks reimbursement from ED for those disbursements. The reimbursement request must include supporting documentation for the disbursements. After the reimbursement request is approved, ED initiates an electronic funds transfer to the institution’s account.</w:t>
      </w:r>
    </w:p>
    <w:p w14:paraId="15FC6E49" w14:textId="51BE3AF2" w:rsidR="00D90B40" w:rsidRPr="001C1E0B" w:rsidRDefault="00D90B40" w:rsidP="00D90B40">
      <w:pPr>
        <w:spacing w:after="240"/>
        <w:jc w:val="both"/>
        <w:rPr>
          <w:rFonts w:ascii="Arial" w:hAnsi="Arial" w:cs="Arial"/>
          <w:bCs/>
        </w:rPr>
      </w:pPr>
      <w:r w:rsidRPr="00D90B40">
        <w:rPr>
          <w:rFonts w:ascii="Arial" w:hAnsi="Arial" w:cs="Arial"/>
          <w:bCs/>
        </w:rPr>
        <w:lastRenderedPageBreak/>
        <w:t>G5 is the system through which institutions request and return Title IV funds. The G5 External Award Activity Report is a statement for an institution’s G5 awards that displays both cumulative and detailed information on drawdown activity, refunds, adjustments, available balances, and authorization changes for each award.</w:t>
      </w:r>
    </w:p>
    <w:p w14:paraId="51FC33D2" w14:textId="77777777" w:rsidR="00C3054B" w:rsidRPr="000E63F5" w:rsidRDefault="00C3054B" w:rsidP="00C3054B">
      <w:pPr>
        <w:spacing w:after="240"/>
        <w:jc w:val="both"/>
        <w:rPr>
          <w:rFonts w:ascii="Arial" w:hAnsi="Arial" w:cs="Arial"/>
          <w:bCs/>
        </w:rPr>
      </w:pPr>
      <w:r>
        <w:rPr>
          <w:rFonts w:ascii="Arial" w:hAnsi="Arial" w:cs="Arial"/>
          <w:bCs/>
          <w:i/>
          <w:iCs/>
          <w:color w:val="002060"/>
        </w:rPr>
        <w:t>The remaining guidance in this section</w:t>
      </w:r>
      <w:r w:rsidRPr="000E63F5">
        <w:rPr>
          <w:rFonts w:ascii="Arial" w:hAnsi="Arial" w:cs="Arial"/>
          <w:bCs/>
          <w:i/>
          <w:iCs/>
          <w:color w:val="002060"/>
        </w:rPr>
        <w:t xml:space="preserve"> </w:t>
      </w:r>
      <w:r>
        <w:rPr>
          <w:rFonts w:ascii="Arial" w:hAnsi="Arial" w:cs="Arial"/>
          <w:bCs/>
          <w:i/>
          <w:iCs/>
          <w:color w:val="002060"/>
        </w:rPr>
        <w:t>relates to p</w:t>
      </w:r>
      <w:r w:rsidRPr="000E63F5">
        <w:rPr>
          <w:rFonts w:ascii="Arial" w:hAnsi="Arial" w:cs="Arial"/>
          <w:bCs/>
          <w:i/>
          <w:iCs/>
          <w:color w:val="002060"/>
        </w:rPr>
        <w:t xml:space="preserve">rograms </w:t>
      </w:r>
      <w:r>
        <w:rPr>
          <w:rFonts w:ascii="Arial" w:hAnsi="Arial" w:cs="Arial"/>
          <w:bCs/>
          <w:i/>
          <w:iCs/>
          <w:color w:val="002060"/>
        </w:rPr>
        <w:t>n</w:t>
      </w:r>
      <w:r w:rsidRPr="000E63F5">
        <w:rPr>
          <w:rFonts w:ascii="Arial" w:hAnsi="Arial" w:cs="Arial"/>
          <w:bCs/>
          <w:i/>
          <w:iCs/>
          <w:color w:val="002060"/>
        </w:rPr>
        <w:t xml:space="preserve">ot </w:t>
      </w:r>
      <w:r>
        <w:rPr>
          <w:rFonts w:ascii="Arial" w:hAnsi="Arial" w:cs="Arial"/>
          <w:bCs/>
          <w:i/>
          <w:iCs/>
          <w:color w:val="002060"/>
        </w:rPr>
        <w:t>i</w:t>
      </w:r>
      <w:r w:rsidRPr="000E63F5">
        <w:rPr>
          <w:rFonts w:ascii="Arial" w:hAnsi="Arial" w:cs="Arial"/>
          <w:bCs/>
          <w:i/>
          <w:iCs/>
          <w:color w:val="002060"/>
        </w:rPr>
        <w:t>ncluded in this FACCR</w:t>
      </w:r>
    </w:p>
    <w:p w14:paraId="731E8F6A" w14:textId="2DB2B768" w:rsidR="00D74E6A" w:rsidRPr="004A0AB6" w:rsidRDefault="00D90B40" w:rsidP="00D74E6A">
      <w:pPr>
        <w:spacing w:after="240"/>
        <w:jc w:val="both"/>
        <w:rPr>
          <w:rFonts w:ascii="Arial" w:hAnsi="Arial" w:cs="Arial"/>
          <w:b/>
          <w:highlight w:val="yellow"/>
        </w:rPr>
      </w:pPr>
      <w:r>
        <w:rPr>
          <w:rFonts w:ascii="Arial" w:hAnsi="Arial" w:cs="Arial"/>
          <w:bCs/>
          <w:i/>
        </w:rPr>
        <w:t>(Source: 2025</w:t>
      </w:r>
      <w:r w:rsidRPr="005802DF">
        <w:rPr>
          <w:rFonts w:ascii="Arial" w:hAnsi="Arial" w:cs="Arial"/>
          <w:bCs/>
          <w:i/>
        </w:rPr>
        <w:t xml:space="preserve"> OMB Compliance Supplement, Part 5, Student Financial Assistance Cluster)</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27" w:name="_Toc210306804"/>
      <w:r w:rsidRPr="00C95501">
        <w:rPr>
          <w:rFonts w:cs="Arial"/>
          <w:sz w:val="24"/>
          <w:szCs w:val="24"/>
        </w:rPr>
        <w:t>Additional Program Specific Information</w:t>
      </w:r>
      <w:bookmarkEnd w:id="27"/>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3C32E706" w:rsidR="00CD5DC7" w:rsidRPr="00AA5B05" w:rsidRDefault="00CD5DC7"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D90B40">
        <w:rPr>
          <w:rFonts w:ascii="Arial" w:hAnsi="Arial" w:cs="Arial"/>
          <w:b/>
          <w:highlight w:val="yellow"/>
        </w:rPr>
        <w:t xml:space="preserve"> and</w:t>
      </w:r>
    </w:p>
    <w:p w14:paraId="3219E73F" w14:textId="04717C8C" w:rsidR="006E46AD" w:rsidRPr="00AA5B05" w:rsidRDefault="006E46AD"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28" w:name="_Toc442267692"/>
      <w:bookmarkStart w:id="29" w:name="_Toc210306805"/>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28"/>
      <w:bookmarkEnd w:id="29"/>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5D952043"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51"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lastRenderedPageBreak/>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8827D6">
      <w:pPr>
        <w:pStyle w:val="ListParagraph"/>
        <w:numPr>
          <w:ilvl w:val="0"/>
          <w:numId w:val="32"/>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8827D6">
      <w:pPr>
        <w:pStyle w:val="AuditProcedureHeading"/>
        <w:numPr>
          <w:ilvl w:val="0"/>
          <w:numId w:val="3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8827D6">
      <w:pPr>
        <w:pStyle w:val="ListParagraph"/>
        <w:numPr>
          <w:ilvl w:val="2"/>
          <w:numId w:val="3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8827D6">
      <w:pPr>
        <w:pStyle w:val="AuditProcedureHeading"/>
        <w:numPr>
          <w:ilvl w:val="0"/>
          <w:numId w:val="3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8827D6">
      <w:pPr>
        <w:pStyle w:val="AuditProcedureHeading"/>
        <w:numPr>
          <w:ilvl w:val="1"/>
          <w:numId w:val="3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8827D6">
      <w:pPr>
        <w:pStyle w:val="AuditProcedureHeading"/>
        <w:numPr>
          <w:ilvl w:val="1"/>
          <w:numId w:val="3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8827D6">
      <w:pPr>
        <w:pStyle w:val="ListParagraph"/>
        <w:numPr>
          <w:ilvl w:val="2"/>
          <w:numId w:val="3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30" w:name="_Toc442267693"/>
      <w:bookmarkStart w:id="31" w:name="_Toc210306806"/>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30"/>
      <w:r w:rsidR="00CC4452">
        <w:rPr>
          <w:rFonts w:cs="Arial"/>
          <w:sz w:val="24"/>
          <w:szCs w:val="24"/>
        </w:rPr>
        <w:t xml:space="preserve"> – Compliance</w:t>
      </w:r>
      <w:bookmarkEnd w:id="31"/>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8827D6">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32" w:name="_Toc438816465"/>
      <w:bookmarkStart w:id="33" w:name="_Toc442267694"/>
    </w:p>
    <w:p w14:paraId="5F477BA8" w14:textId="40F9D9C2" w:rsidR="00FF7307" w:rsidRPr="00220BD0" w:rsidRDefault="002A3BB7" w:rsidP="006672EA">
      <w:pPr>
        <w:pStyle w:val="Heading3"/>
        <w:jc w:val="both"/>
        <w:rPr>
          <w:rFonts w:cs="Arial"/>
          <w:b w:val="0"/>
          <w:sz w:val="24"/>
          <w:szCs w:val="24"/>
        </w:rPr>
      </w:pPr>
      <w:bookmarkStart w:id="34" w:name="_Toc210306807"/>
      <w:r w:rsidRPr="00220BD0">
        <w:rPr>
          <w:rFonts w:cs="Arial"/>
          <w:sz w:val="24"/>
          <w:szCs w:val="24"/>
        </w:rPr>
        <w:t>Audit Implications Summary</w:t>
      </w:r>
      <w:bookmarkEnd w:id="32"/>
      <w:bookmarkEnd w:id="33"/>
      <w:bookmarkEnd w:id="34"/>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6416BEC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8827D6">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8827D6">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8827D6">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8827D6">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8827D6">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lastRenderedPageBreak/>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3"/>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35" w:name="_Toc210306808"/>
      <w:r w:rsidRPr="00220BD0">
        <w:rPr>
          <w:rFonts w:cs="Arial"/>
          <w:sz w:val="24"/>
        </w:rPr>
        <w:lastRenderedPageBreak/>
        <w:t xml:space="preserve">E.  </w:t>
      </w:r>
      <w:bookmarkStart w:id="36" w:name="_Toc442267695"/>
      <w:r w:rsidRPr="00220BD0">
        <w:rPr>
          <w:rFonts w:cs="Arial"/>
          <w:sz w:val="24"/>
        </w:rPr>
        <w:t>ELIGIBILITY</w:t>
      </w:r>
      <w:bookmarkEnd w:id="36"/>
      <w:bookmarkEnd w:id="35"/>
    </w:p>
    <w:p w14:paraId="5DAB0DE7" w14:textId="77777777" w:rsidR="007E5B12" w:rsidRPr="00220BD0" w:rsidRDefault="004655E0" w:rsidP="006672EA">
      <w:pPr>
        <w:pStyle w:val="Heading3"/>
        <w:jc w:val="both"/>
        <w:rPr>
          <w:rFonts w:cs="Arial"/>
          <w:sz w:val="24"/>
          <w:szCs w:val="24"/>
        </w:rPr>
      </w:pPr>
      <w:bookmarkStart w:id="37" w:name="_Toc210306809"/>
      <w:r w:rsidRPr="00220BD0">
        <w:rPr>
          <w:rFonts w:cs="Arial"/>
          <w:sz w:val="24"/>
          <w:szCs w:val="24"/>
        </w:rPr>
        <w:t xml:space="preserve">OMB </w:t>
      </w:r>
      <w:r w:rsidR="007E5B12" w:rsidRPr="00220BD0">
        <w:rPr>
          <w:rFonts w:cs="Arial"/>
          <w:sz w:val="24"/>
          <w:szCs w:val="24"/>
        </w:rPr>
        <w:t>Compliance Requirements</w:t>
      </w:r>
      <w:bookmarkEnd w:id="37"/>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0F8371CC"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 xml:space="preserve">Part </w:t>
      </w:r>
      <w:r w:rsidR="004171E2">
        <w:rPr>
          <w:rFonts w:ascii="Arial" w:hAnsi="Arial" w:cs="Arial"/>
          <w:b/>
          <w:sz w:val="24"/>
          <w:szCs w:val="24"/>
        </w:rPr>
        <w:t>5</w:t>
      </w:r>
      <w:r w:rsidR="004171E2" w:rsidRPr="00220BD0">
        <w:rPr>
          <w:rFonts w:ascii="Arial" w:hAnsi="Arial" w:cs="Arial"/>
          <w:b/>
          <w:sz w:val="24"/>
          <w:szCs w:val="24"/>
        </w:rPr>
        <w:t xml:space="preserve"> </w:t>
      </w:r>
      <w:r w:rsidRPr="00220BD0">
        <w:rPr>
          <w:rFonts w:ascii="Arial" w:hAnsi="Arial" w:cs="Arial"/>
          <w:b/>
          <w:sz w:val="24"/>
          <w:szCs w:val="24"/>
        </w:rPr>
        <w:t>OMB Program Specific Requirements</w:t>
      </w:r>
    </w:p>
    <w:p w14:paraId="4ABA806C" w14:textId="77777777" w:rsidR="00D90B40" w:rsidRPr="00E156EF" w:rsidRDefault="00D90B40" w:rsidP="00D90B40">
      <w:pPr>
        <w:spacing w:after="240"/>
        <w:jc w:val="both"/>
        <w:rPr>
          <w:rFonts w:ascii="Arial" w:hAnsi="Arial" w:cs="Arial"/>
          <w:b/>
        </w:rPr>
      </w:pPr>
      <w:r w:rsidRPr="00E156EF">
        <w:rPr>
          <w:rFonts w:ascii="Arial" w:hAnsi="Arial" w:cs="Arial"/>
          <w:b/>
        </w:rPr>
        <w:t>1.</w:t>
      </w:r>
      <w:r w:rsidRPr="00E156EF">
        <w:rPr>
          <w:rFonts w:ascii="Arial" w:hAnsi="Arial" w:cs="Arial"/>
          <w:b/>
        </w:rPr>
        <w:tab/>
        <w:t>Eligibility for Individuals</w:t>
      </w:r>
    </w:p>
    <w:p w14:paraId="6FDD8E51" w14:textId="77777777" w:rsidR="00D90B40" w:rsidRPr="00E156EF" w:rsidRDefault="00D90B40" w:rsidP="00D90B40">
      <w:pPr>
        <w:spacing w:after="240"/>
        <w:ind w:left="720"/>
        <w:jc w:val="both"/>
        <w:rPr>
          <w:rFonts w:ascii="Arial" w:hAnsi="Arial" w:cs="Arial"/>
          <w:bCs/>
        </w:rPr>
      </w:pPr>
      <w:r w:rsidRPr="00E156EF">
        <w:rPr>
          <w:rFonts w:ascii="Arial" w:hAnsi="Arial" w:cs="Arial"/>
          <w:bCs/>
        </w:rPr>
        <w:t>a.</w:t>
      </w:r>
      <w:r w:rsidRPr="00E156EF">
        <w:rPr>
          <w:rFonts w:ascii="Arial" w:hAnsi="Arial" w:cs="Arial"/>
          <w:bCs/>
        </w:rPr>
        <w:tab/>
        <w:t xml:space="preserve">Most of the requirements for student eligibility are contained in </w:t>
      </w:r>
      <w:hyperlink r:id="rId54" w:history="1">
        <w:r w:rsidRPr="00E156EF">
          <w:rPr>
            <w:rStyle w:val="Hyperlink"/>
            <w:rFonts w:cs="Arial"/>
            <w:bCs/>
          </w:rPr>
          <w:t>Appendix A</w:t>
        </w:r>
      </w:hyperlink>
      <w:r w:rsidRPr="00E156EF">
        <w:rPr>
          <w:rFonts w:ascii="Arial" w:hAnsi="Arial" w:cs="Arial"/>
          <w:bCs/>
        </w:rPr>
        <w:t>.</w:t>
      </w:r>
    </w:p>
    <w:p w14:paraId="21A9A686" w14:textId="2861051F" w:rsidR="00D90B40" w:rsidRPr="00E156EF" w:rsidRDefault="00A0797E" w:rsidP="00D90B40">
      <w:pPr>
        <w:spacing w:after="240"/>
        <w:ind w:left="1440"/>
        <w:jc w:val="both"/>
        <w:rPr>
          <w:rFonts w:ascii="Arial" w:hAnsi="Arial" w:cs="Arial"/>
          <w:bCs/>
        </w:rPr>
      </w:pPr>
      <w:r w:rsidRPr="00A0797E">
        <w:rPr>
          <w:rFonts w:ascii="Arial" w:hAnsi="Arial" w:cs="Arial"/>
          <w:bCs/>
        </w:rPr>
        <w:t>In the process of a student applying for ED federal financial aid, an ISIR is sent electronically to the institution and a FAFSA Submission Summary, or information on how to access the FAFSA Submission Summary, is sent to the student. The original ISIR or FAFSA Submission Summary for an award year may contain codes that relate to student eligibility requirements numbers 2, 4, 5, 9, 10, and 12 in</w:t>
      </w:r>
      <w:r w:rsidR="00D90B40" w:rsidRPr="00A0797E">
        <w:rPr>
          <w:rFonts w:ascii="Arial" w:hAnsi="Arial" w:cs="Arial"/>
          <w:bCs/>
        </w:rPr>
        <w:t xml:space="preserve"> </w:t>
      </w:r>
      <w:hyperlink r:id="rId55" w:history="1">
        <w:r w:rsidR="00D90B40" w:rsidRPr="00A0797E">
          <w:rPr>
            <w:rStyle w:val="Hyperlink"/>
            <w:rFonts w:cs="Arial"/>
            <w:bCs/>
          </w:rPr>
          <w:t>Appendix A</w:t>
        </w:r>
      </w:hyperlink>
      <w:r w:rsidR="00D90B40" w:rsidRPr="00A0797E">
        <w:rPr>
          <w:rFonts w:ascii="Arial" w:hAnsi="Arial" w:cs="Arial"/>
          <w:bCs/>
        </w:rPr>
        <w:t xml:space="preserve">. </w:t>
      </w:r>
      <w:r w:rsidRPr="00A0797E">
        <w:rPr>
          <w:rFonts w:ascii="Arial" w:hAnsi="Arial" w:cs="Arial"/>
        </w:rPr>
        <w:t xml:space="preserve">If the original ISIR or FAFSA Submission Summary does not contain codes relating to those eligibility requirements, and the institution has no information indicating otherwise, the student can be considered to have met them. The </w:t>
      </w:r>
      <w:r w:rsidRPr="00A0797E">
        <w:rPr>
          <w:rFonts w:ascii="Arial" w:hAnsi="Arial" w:cs="Arial"/>
          <w:i/>
        </w:rPr>
        <w:t xml:space="preserve">ISIR Guide </w:t>
      </w:r>
      <w:r w:rsidRPr="00A0797E">
        <w:rPr>
          <w:rFonts w:ascii="Arial" w:hAnsi="Arial" w:cs="Arial"/>
        </w:rPr>
        <w:t xml:space="preserve">contains all the ISIR and FAFSA Submission Summary codes and is available as </w:t>
      </w:r>
      <w:hyperlink r:id="rId56">
        <w:r w:rsidRPr="00A0797E">
          <w:rPr>
            <w:rFonts w:ascii="Arial" w:hAnsi="Arial" w:cs="Arial"/>
            <w:color w:val="2D74B5"/>
            <w:u w:val="single" w:color="2D74B5"/>
          </w:rPr>
          <w:t>Volume 6 of the 2024-2025 FAFSA Specifications</w:t>
        </w:r>
      </w:hyperlink>
      <w:r w:rsidRPr="00A0797E">
        <w:rPr>
          <w:rFonts w:ascii="Arial" w:hAnsi="Arial" w:cs="Arial"/>
          <w:color w:val="2D74B5"/>
        </w:rPr>
        <w:t xml:space="preserve"> </w:t>
      </w:r>
      <w:hyperlink r:id="rId57">
        <w:r w:rsidRPr="00A0797E">
          <w:rPr>
            <w:rFonts w:ascii="Arial" w:hAnsi="Arial" w:cs="Arial"/>
            <w:color w:val="2D74B5"/>
            <w:u w:val="single" w:color="2D74B5"/>
          </w:rPr>
          <w:t>Guide</w:t>
        </w:r>
        <w:r w:rsidRPr="00A0797E">
          <w:rPr>
            <w:rFonts w:ascii="Arial" w:hAnsi="Arial" w:cs="Arial"/>
            <w:color w:val="2D74B5"/>
          </w:rPr>
          <w:t xml:space="preserve"> </w:t>
        </w:r>
      </w:hyperlink>
      <w:r w:rsidRPr="00A0797E">
        <w:rPr>
          <w:rFonts w:ascii="Arial" w:hAnsi="Arial" w:cs="Arial"/>
        </w:rPr>
        <w:t>(</w:t>
      </w:r>
      <w:hyperlink r:id="rId58">
        <w:r w:rsidRPr="00A0797E">
          <w:rPr>
            <w:rFonts w:ascii="Arial" w:hAnsi="Arial" w:cs="Arial"/>
            <w:color w:val="2D74B5"/>
            <w:u w:val="single" w:color="2D74B5"/>
          </w:rPr>
          <w:t>https://fsapartners.ed.gov/knowledge-center/library/handbooks-</w:t>
        </w:r>
      </w:hyperlink>
      <w:r w:rsidRPr="00A0797E">
        <w:rPr>
          <w:rFonts w:ascii="Arial" w:hAnsi="Arial" w:cs="Arial"/>
          <w:color w:val="2D74B5"/>
        </w:rPr>
        <w:t xml:space="preserve"> </w:t>
      </w:r>
      <w:hyperlink r:id="rId59">
        <w:r w:rsidRPr="00A0797E">
          <w:rPr>
            <w:rFonts w:ascii="Arial" w:hAnsi="Arial" w:cs="Arial"/>
            <w:color w:val="2D74B5"/>
            <w:u w:val="single" w:color="2D74B5"/>
          </w:rPr>
          <w:t>manuals-or-guides/2023-05-31/2024-25-fafsa-specifications-guide-july-</w:t>
        </w:r>
      </w:hyperlink>
      <w:r w:rsidRPr="00A0797E">
        <w:rPr>
          <w:rFonts w:ascii="Arial" w:hAnsi="Arial" w:cs="Arial"/>
          <w:color w:val="2D74B5"/>
        </w:rPr>
        <w:t xml:space="preserve"> </w:t>
      </w:r>
      <w:hyperlink r:id="rId60">
        <w:r w:rsidRPr="00A0797E">
          <w:rPr>
            <w:rFonts w:ascii="Arial" w:hAnsi="Arial" w:cs="Arial"/>
            <w:color w:val="2D74B5"/>
            <w:u w:val="single" w:color="2D74B5"/>
          </w:rPr>
          <w:t>2024-update-2</w:t>
        </w:r>
      </w:hyperlink>
      <w:r w:rsidRPr="00A0797E">
        <w:rPr>
          <w:rFonts w:ascii="Arial" w:hAnsi="Arial" w:cs="Arial"/>
        </w:rPr>
        <w:t>). The ISIR Guide changes annually and should be obtained and reviewed for the period under</w:t>
      </w:r>
      <w:r w:rsidRPr="00A0797E">
        <w:rPr>
          <w:rFonts w:ascii="Arial" w:hAnsi="Arial" w:cs="Arial"/>
          <w:spacing w:val="-1"/>
        </w:rPr>
        <w:t xml:space="preserve"> </w:t>
      </w:r>
      <w:r w:rsidRPr="00A0797E">
        <w:rPr>
          <w:rFonts w:ascii="Arial" w:hAnsi="Arial" w:cs="Arial"/>
        </w:rPr>
        <w:t>audit.</w:t>
      </w:r>
    </w:p>
    <w:p w14:paraId="04662824" w14:textId="17127228" w:rsidR="00D90B40" w:rsidRPr="00E156EF" w:rsidRDefault="00D90B40" w:rsidP="00D90B40">
      <w:pPr>
        <w:spacing w:after="240"/>
        <w:ind w:left="1440"/>
        <w:jc w:val="both"/>
        <w:rPr>
          <w:rFonts w:ascii="Arial" w:hAnsi="Arial" w:cs="Arial"/>
          <w:bCs/>
          <w:i/>
          <w:iCs/>
        </w:rPr>
      </w:pPr>
      <w:r w:rsidRPr="00E156EF">
        <w:rPr>
          <w:rFonts w:ascii="Arial" w:hAnsi="Arial" w:cs="Arial"/>
          <w:bCs/>
          <w:i/>
          <w:iCs/>
        </w:rPr>
        <w:t>(1)</w:t>
      </w:r>
      <w:r w:rsidRPr="00E156EF">
        <w:rPr>
          <w:rFonts w:ascii="Arial" w:hAnsi="Arial" w:cs="Arial"/>
          <w:bCs/>
          <w:i/>
          <w:iCs/>
        </w:rPr>
        <w:tab/>
        <w:t>Calculation of Benefits</w:t>
      </w:r>
      <w:r w:rsidR="00B714B2">
        <w:rPr>
          <w:rFonts w:ascii="Arial" w:hAnsi="Arial" w:cs="Arial"/>
          <w:bCs/>
          <w:i/>
          <w:iCs/>
        </w:rPr>
        <w:t xml:space="preserve"> </w:t>
      </w:r>
    </w:p>
    <w:p w14:paraId="5E1EAF2A" w14:textId="7BF30409" w:rsidR="00D90B40" w:rsidRPr="00E156EF" w:rsidRDefault="00A0797E" w:rsidP="00D90B40">
      <w:pPr>
        <w:spacing w:after="240"/>
        <w:ind w:left="2160"/>
        <w:jc w:val="both"/>
        <w:rPr>
          <w:rFonts w:ascii="Arial" w:hAnsi="Arial" w:cs="Arial"/>
          <w:bCs/>
        </w:rPr>
      </w:pPr>
      <w:r w:rsidRPr="00A0797E">
        <w:rPr>
          <w:rFonts w:ascii="Arial" w:hAnsi="Arial" w:cs="Arial"/>
          <w:bCs/>
        </w:rPr>
        <w:t>In addition to the requirements and limits described below, awards must be coordinated among the various programs and with other federal and nonfederal aid (need and non-need based aid) to ensure that total aid is not awarded in excess of the student’s financial</w:t>
      </w:r>
      <w:r w:rsidR="00D90B40" w:rsidRPr="00E156EF">
        <w:rPr>
          <w:rFonts w:ascii="Arial" w:hAnsi="Arial" w:cs="Arial"/>
          <w:bCs/>
        </w:rPr>
        <w:t xml:space="preserve"> </w:t>
      </w:r>
      <w:r w:rsidRPr="00A0797E">
        <w:rPr>
          <w:rFonts w:ascii="Arial" w:hAnsi="Arial" w:cs="Arial"/>
          <w:bCs/>
        </w:rPr>
        <w:t>need or cost of attendance (34 CFR 668.42, FWS, and FSEOG, 34 CFR 673.5 and 673.6; Direct Loan, 34 CFR 685.301). The TEACH Grant is a non-need-based grant and may replace a student’s SAI, but the amount of the grant that exceeds the student’s SAI is considered other financial assistance (34 CFR 686.21(d)).</w:t>
      </w:r>
    </w:p>
    <w:p w14:paraId="1A6065EA" w14:textId="65DDE367" w:rsidR="00D90B40" w:rsidRPr="00E156EF" w:rsidRDefault="00A0797E" w:rsidP="00D90B40">
      <w:pPr>
        <w:spacing w:after="240"/>
        <w:ind w:left="2160"/>
        <w:jc w:val="both"/>
        <w:rPr>
          <w:rFonts w:ascii="Arial" w:hAnsi="Arial" w:cs="Arial"/>
          <w:bCs/>
        </w:rPr>
      </w:pPr>
      <w:r w:rsidRPr="00A0797E">
        <w:rPr>
          <w:rFonts w:ascii="Arial" w:hAnsi="Arial" w:cs="Arial"/>
          <w:bCs/>
        </w:rPr>
        <w:t xml:space="preserve">The determination of need-based SFA award amounts is based on financial need. Financial need is defined as the student’s COA minus the student’s SAI (as computed by the FAFSA processing system (FPS) and included on the student’s FAFSA Submission Summary/ISIR). An SAI less than 0 (can be as low as -1500) should be treated as a 0 in the need formula. Once a student is awarded any financial aid, to find remaining financial need one would use the following formula </w:t>
      </w:r>
      <w:r w:rsidRPr="00A0797E">
        <w:rPr>
          <w:rFonts w:ascii="Arial" w:hAnsi="Arial" w:cs="Arial"/>
          <w:bCs/>
        </w:rPr>
        <w:lastRenderedPageBreak/>
        <w:t>-- COA minus SAI minus Other Financial Assistance (OFA) (§ 668.2) = remaining need. To avoid overpayments, need-based SFA awards, in general, cannot exceed the student’s overall financial need. However, there are some circumstances where a student may be awarded a Pell Grant that exceeds their financial need.</w:t>
      </w:r>
    </w:p>
    <w:p w14:paraId="5B206C70" w14:textId="77777777" w:rsidR="00A0797E" w:rsidRPr="00A0797E" w:rsidRDefault="00A0797E" w:rsidP="00A0797E">
      <w:pPr>
        <w:spacing w:after="240"/>
        <w:ind w:left="2880" w:hanging="720"/>
        <w:jc w:val="both"/>
        <w:rPr>
          <w:rFonts w:ascii="Arial" w:hAnsi="Arial" w:cs="Arial"/>
          <w:bCs/>
        </w:rPr>
      </w:pPr>
      <w:r w:rsidRPr="00A0797E">
        <w:rPr>
          <w:rFonts w:ascii="Arial" w:hAnsi="Arial" w:cs="Arial"/>
          <w:bCs/>
        </w:rPr>
        <w:t>1.</w:t>
      </w:r>
      <w:r w:rsidRPr="00A0797E">
        <w:rPr>
          <w:rFonts w:ascii="Arial" w:hAnsi="Arial" w:cs="Arial"/>
          <w:bCs/>
        </w:rPr>
        <w:tab/>
        <w:t>Students eligible for a Pell Grant under the Minimum Pell Grant eligibility criteria (HEA Sec. 401(b)(1)(C)) may receive the Min Pell Grant amount, even if that amount exceeds the student’s financial need.</w:t>
      </w:r>
    </w:p>
    <w:p w14:paraId="05ECF8D5" w14:textId="77777777" w:rsidR="00A0797E" w:rsidRPr="00A0797E" w:rsidRDefault="00A0797E" w:rsidP="00A0797E">
      <w:pPr>
        <w:spacing w:after="240"/>
        <w:ind w:left="2880" w:hanging="720"/>
        <w:jc w:val="both"/>
        <w:rPr>
          <w:rFonts w:ascii="Arial" w:hAnsi="Arial" w:cs="Arial"/>
          <w:bCs/>
        </w:rPr>
      </w:pPr>
      <w:r w:rsidRPr="00A0797E">
        <w:rPr>
          <w:rFonts w:ascii="Arial" w:hAnsi="Arial" w:cs="Arial"/>
          <w:bCs/>
        </w:rPr>
        <w:t>2.</w:t>
      </w:r>
      <w:r w:rsidRPr="00A0797E">
        <w:rPr>
          <w:rFonts w:ascii="Arial" w:hAnsi="Arial" w:cs="Arial"/>
          <w:bCs/>
        </w:rPr>
        <w:tab/>
        <w:t>Students eligible for a Pell Grant under the Special Rule (HEA Sec. 401(c)) may receive the Max Pell Grant amount, regardless of financial need or calculated SAI.</w:t>
      </w:r>
    </w:p>
    <w:p w14:paraId="395D1F7E" w14:textId="77777777" w:rsidR="00A0797E" w:rsidRPr="00A0797E" w:rsidRDefault="00A0797E" w:rsidP="00A0797E">
      <w:pPr>
        <w:spacing w:after="240"/>
        <w:ind w:left="2160"/>
        <w:jc w:val="both"/>
        <w:rPr>
          <w:rFonts w:ascii="Arial" w:hAnsi="Arial" w:cs="Arial"/>
          <w:bCs/>
        </w:rPr>
      </w:pPr>
      <w:r w:rsidRPr="00A0797E">
        <w:rPr>
          <w:rFonts w:ascii="Arial" w:hAnsi="Arial" w:cs="Arial"/>
          <w:bCs/>
        </w:rPr>
        <w:t>Students receiving a Pell Grant under one of these specific circumstances may not receive any other need-based SFA awards.</w:t>
      </w:r>
    </w:p>
    <w:p w14:paraId="1725966F" w14:textId="77777777" w:rsidR="00A0797E" w:rsidRPr="00A0797E" w:rsidRDefault="00A0797E" w:rsidP="00A0797E">
      <w:pPr>
        <w:spacing w:after="240"/>
        <w:ind w:left="2160"/>
        <w:jc w:val="both"/>
        <w:rPr>
          <w:rFonts w:ascii="Arial" w:hAnsi="Arial" w:cs="Arial"/>
          <w:bCs/>
        </w:rPr>
      </w:pPr>
      <w:r w:rsidRPr="00A0797E">
        <w:rPr>
          <w:rFonts w:ascii="Arial" w:hAnsi="Arial" w:cs="Arial"/>
          <w:bCs/>
        </w:rPr>
        <w:t xml:space="preserve">See the section </w:t>
      </w:r>
      <w:r w:rsidRPr="00A0797E">
        <w:rPr>
          <w:rFonts w:ascii="Arial" w:hAnsi="Arial" w:cs="Arial"/>
          <w:b/>
        </w:rPr>
        <w:t>Pell Grant Eligibility for Dependents of Certain Deceased Servicemembers and Public Safety Officers</w:t>
      </w:r>
      <w:r w:rsidRPr="00A0797E">
        <w:rPr>
          <w:rFonts w:ascii="Arial" w:hAnsi="Arial" w:cs="Arial"/>
          <w:bCs/>
        </w:rPr>
        <w:t xml:space="preserve"> for additional information on the “Special Rule” described above.</w:t>
      </w:r>
    </w:p>
    <w:p w14:paraId="2658E9A5" w14:textId="77777777" w:rsidR="00A0797E" w:rsidRPr="00A0797E" w:rsidRDefault="00A0797E" w:rsidP="00A0797E">
      <w:pPr>
        <w:spacing w:after="240"/>
        <w:ind w:left="2160"/>
        <w:jc w:val="both"/>
        <w:rPr>
          <w:rFonts w:ascii="Arial" w:hAnsi="Arial" w:cs="Arial"/>
          <w:bCs/>
        </w:rPr>
      </w:pPr>
      <w:r w:rsidRPr="00A0797E">
        <w:rPr>
          <w:rFonts w:ascii="Arial" w:hAnsi="Arial" w:cs="Arial"/>
          <w:bCs/>
        </w:rPr>
        <w:t>Non need-based SFA awards are not limited to financial need but cannot exceed the student’s COA. To determine non need-based SFA awards (unsubsidized aid) one would use the following formula – COA minus OFA.</w:t>
      </w:r>
    </w:p>
    <w:p w14:paraId="4523E37F" w14:textId="77777777" w:rsidR="00A0797E" w:rsidRPr="00A0797E" w:rsidRDefault="00A0797E" w:rsidP="00A0797E">
      <w:pPr>
        <w:spacing w:after="240"/>
        <w:ind w:left="2160"/>
        <w:jc w:val="both"/>
        <w:rPr>
          <w:rFonts w:ascii="Arial" w:hAnsi="Arial" w:cs="Arial"/>
          <w:bCs/>
        </w:rPr>
      </w:pPr>
      <w:r w:rsidRPr="00A0797E">
        <w:rPr>
          <w:rFonts w:ascii="Arial" w:hAnsi="Arial" w:cs="Arial"/>
          <w:bCs/>
        </w:rPr>
        <w:t>An institution may (1) exclude from both other financial assistance and the COA, financial assistance provided by a state if that assistance is designated by the state to offset a specific component of the COA; and (2) include a limited allowance for food and housing in a student’s COA for students who are less than half- time students. In this context, a limited allowance for food and</w:t>
      </w:r>
      <w:r>
        <w:rPr>
          <w:rFonts w:ascii="Arial" w:hAnsi="Arial" w:cs="Arial"/>
          <w:bCs/>
        </w:rPr>
        <w:t xml:space="preserve"> </w:t>
      </w:r>
      <w:r w:rsidRPr="00A0797E">
        <w:rPr>
          <w:rFonts w:ascii="Arial" w:hAnsi="Arial" w:cs="Arial"/>
          <w:bCs/>
        </w:rPr>
        <w:t>housing is an allowance for up to three semesters (or equivalent), with no more than two of the semesters being consecutive at any one institution (sections 480(j)(3), 472(b), and 472(4)(C) of HEA; [20 USC 1087vv(j)(3), 20 USC 1087ll(13) and (4)(C)]).</w:t>
      </w:r>
    </w:p>
    <w:p w14:paraId="573611E1" w14:textId="77777777" w:rsidR="00A0797E" w:rsidRPr="00A0797E" w:rsidRDefault="00A0797E" w:rsidP="00A0797E">
      <w:pPr>
        <w:spacing w:after="240"/>
        <w:ind w:left="2160"/>
        <w:jc w:val="both"/>
        <w:rPr>
          <w:rFonts w:ascii="Arial" w:hAnsi="Arial" w:cs="Arial"/>
          <w:bCs/>
        </w:rPr>
      </w:pPr>
      <w:r w:rsidRPr="00A0797E">
        <w:rPr>
          <w:rFonts w:ascii="Arial" w:hAnsi="Arial" w:cs="Arial"/>
          <w:bCs/>
        </w:rPr>
        <w:t>For Title IV programs, the COA is generally the sum of the following: tuition and fees; an allowance for books, course materials, supplies, equipment, transportation, and miscellaneous personal expenses; an allowance for food and housing; when applicable, allowances for costs for dependent care; cost of obtaining a license, certification, or a first professional credential; costs associated with study abroad and cooperative education; costs related to disabilities; and fees charged for Federal student loans. There are exceptions for students attending less than half- time, correspondence students, and incarcerated students. The financial aid administrator also has authority to use professional judgment to adjust the COA or alter the data elements used to calculate the SAI on a case-by-case basis to allow for special circumstances.</w:t>
      </w:r>
    </w:p>
    <w:p w14:paraId="5207D739" w14:textId="76B6AF64" w:rsidR="00D90B40" w:rsidRPr="00E156EF" w:rsidRDefault="00A0797E" w:rsidP="00A0797E">
      <w:pPr>
        <w:spacing w:after="240"/>
        <w:ind w:left="2160"/>
        <w:jc w:val="both"/>
        <w:rPr>
          <w:rFonts w:ascii="Arial" w:hAnsi="Arial" w:cs="Arial"/>
          <w:bCs/>
        </w:rPr>
      </w:pPr>
      <w:r w:rsidRPr="00A0797E">
        <w:rPr>
          <w:rFonts w:ascii="Arial" w:hAnsi="Arial" w:cs="Arial"/>
          <w:bCs/>
        </w:rPr>
        <w:t xml:space="preserve">A crossover payment period is one that includes both June 30 and July 1 overlapping two award years. If a student enrolls in a crossover payment period, the institution must consider the crossover payment period to occur entirely within one award year and must have a valid FAFSA Submission Summary or valid ISIR for the selected award year. The choice of which award year the institution assigns to a crossover payment period (“header” or “trailer”) must be outlined in the institution’s Pell Grant crossover payment period policy and can be made on a student-by-student basis. The crossover payment period may be assigned to a different award year for Pell Grant purposes than the award year used for the </w:t>
      </w:r>
      <w:r w:rsidRPr="00A0797E">
        <w:rPr>
          <w:rFonts w:ascii="Arial" w:hAnsi="Arial" w:cs="Arial"/>
          <w:bCs/>
        </w:rPr>
        <w:lastRenderedPageBreak/>
        <w:t>student’s other Title IV aid for that period. See Volume 3 of the FSA Handbook for additional information on crossover payment periods.</w:t>
      </w:r>
    </w:p>
    <w:p w14:paraId="11D8744F" w14:textId="29D506B4" w:rsidR="00D90B40" w:rsidRPr="00E156EF" w:rsidRDefault="00D90B40" w:rsidP="00A0797E">
      <w:pPr>
        <w:spacing w:after="240"/>
        <w:ind w:left="2160"/>
        <w:jc w:val="both"/>
        <w:rPr>
          <w:rFonts w:ascii="Arial" w:hAnsi="Arial" w:cs="Arial"/>
          <w:bCs/>
        </w:rPr>
      </w:pPr>
      <w:r w:rsidRPr="00E156EF">
        <w:rPr>
          <w:rFonts w:ascii="Arial" w:hAnsi="Arial" w:cs="Arial"/>
          <w:bCs/>
        </w:rPr>
        <w:t xml:space="preserve">Additional program specific individual eligibility requirements can be found at the following: </w:t>
      </w:r>
      <w:r w:rsidR="00A0797E" w:rsidRPr="00A0797E">
        <w:rPr>
          <w:rFonts w:ascii="Arial" w:hAnsi="Arial" w:cs="Arial"/>
          <w:bCs/>
          <w:i/>
          <w:iCs/>
        </w:rPr>
        <w:t>20 USC 1087ll-1087mm; FWS, 34 CFR section 675.9; FSEOG, 34 CFR section 676.9; Direct Loan, 34</w:t>
      </w:r>
      <w:r w:rsidR="00A0797E">
        <w:rPr>
          <w:rFonts w:ascii="Arial" w:hAnsi="Arial" w:cs="Arial"/>
          <w:bCs/>
          <w:i/>
          <w:iCs/>
        </w:rPr>
        <w:t xml:space="preserve"> </w:t>
      </w:r>
      <w:r w:rsidR="00A0797E" w:rsidRPr="00A0797E">
        <w:rPr>
          <w:rFonts w:ascii="Arial" w:hAnsi="Arial" w:cs="Arial"/>
          <w:bCs/>
          <w:i/>
          <w:iCs/>
        </w:rPr>
        <w:t>CFR sections 685.200 and 301; Pell, 34 CFR section 690.75; HPSL/PCL/LDS, 42 USC 293a(d)(2); 42 CFR section 57.206(b); NSL, 42 USC 297n-1(c)(2); 42 CFR section 57.306(b)); NFLP,</w:t>
      </w:r>
      <w:r w:rsidR="00A0797E">
        <w:rPr>
          <w:rFonts w:ascii="Arial" w:hAnsi="Arial" w:cs="Arial"/>
          <w:bCs/>
          <w:i/>
          <w:iCs/>
        </w:rPr>
        <w:t xml:space="preserve"> </w:t>
      </w:r>
      <w:r w:rsidR="00A0797E" w:rsidRPr="00A0797E">
        <w:rPr>
          <w:rFonts w:ascii="Arial" w:hAnsi="Arial" w:cs="Arial"/>
          <w:bCs/>
          <w:i/>
          <w:iCs/>
        </w:rPr>
        <w:t>Affordable Care Act, Section 5311 and Program Guidance.</w:t>
      </w:r>
    </w:p>
    <w:p w14:paraId="37F2C2EE" w14:textId="77777777" w:rsidR="00D90B40" w:rsidRPr="00E156EF" w:rsidRDefault="00D90B40" w:rsidP="00D90B40">
      <w:pPr>
        <w:spacing w:after="240"/>
        <w:ind w:left="1440"/>
        <w:jc w:val="both"/>
        <w:rPr>
          <w:rFonts w:ascii="Arial" w:hAnsi="Arial" w:cs="Arial"/>
          <w:bCs/>
          <w:i/>
          <w:iCs/>
        </w:rPr>
      </w:pPr>
      <w:r w:rsidRPr="00E156EF">
        <w:rPr>
          <w:rFonts w:ascii="Arial" w:hAnsi="Arial" w:cs="Arial"/>
          <w:bCs/>
          <w:i/>
          <w:iCs/>
        </w:rPr>
        <w:t>(2)</w:t>
      </w:r>
      <w:r w:rsidRPr="00E156EF">
        <w:rPr>
          <w:rFonts w:ascii="Arial" w:hAnsi="Arial" w:cs="Arial"/>
          <w:bCs/>
          <w:i/>
          <w:iCs/>
        </w:rPr>
        <w:tab/>
        <w:t>Federal Pell Grant (Assistance Listing 84.063)</w:t>
      </w:r>
    </w:p>
    <w:p w14:paraId="0CB8D7C0" w14:textId="79577533" w:rsidR="00A0797E" w:rsidRPr="00A0797E" w:rsidRDefault="00A0797E" w:rsidP="00A0797E">
      <w:pPr>
        <w:spacing w:after="240"/>
        <w:ind w:left="2160"/>
        <w:jc w:val="both"/>
        <w:rPr>
          <w:rFonts w:ascii="Arial" w:hAnsi="Arial" w:cs="Arial"/>
          <w:bCs/>
        </w:rPr>
      </w:pPr>
      <w:r w:rsidRPr="00A0797E">
        <w:rPr>
          <w:rFonts w:ascii="Arial" w:hAnsi="Arial" w:cs="Arial"/>
          <w:bCs/>
        </w:rPr>
        <w:t>Each year, Congress establishes the maximum Pell Grant amount. ED will announce the maximum Pell Grant award amount for the</w:t>
      </w:r>
      <w:r w:rsidR="00D90B40" w:rsidRPr="00E156EF">
        <w:rPr>
          <w:rFonts w:ascii="Arial" w:hAnsi="Arial" w:cs="Arial"/>
          <w:bCs/>
        </w:rPr>
        <w:t xml:space="preserve"> </w:t>
      </w:r>
      <w:r w:rsidRPr="00A0797E">
        <w:rPr>
          <w:rFonts w:ascii="Arial" w:hAnsi="Arial" w:cs="Arial"/>
          <w:bCs/>
        </w:rPr>
        <w:t xml:space="preserve">award year, as required, when the amount is available. The minimum Pell Grant award amount will be 10% of the maximum Pell Grant award amount for the award year. Both the maximum and minimum award amounts will be rounded to the nearest $5 (see Volume 7, The Federal Pell Grant Program of the FSA Handbook for 2024-25 for guidance on Max and Min Pell Grant eligibility, Calculated Pell Grant eligibility based on SAI, selecting formulas for calculating cost of attendance, prorating costs for programs less or greater than an academic year, and determining payment periods). Maximum and minimum Pell Grant award amounts for the 2024-25 award year can be found at the following link: </w:t>
      </w:r>
      <w:hyperlink r:id="rId61">
        <w:r w:rsidRPr="00A0797E">
          <w:rPr>
            <w:rFonts w:ascii="Arial" w:hAnsi="Arial" w:cs="Arial"/>
            <w:color w:val="2D74B5"/>
            <w:u w:val="single" w:color="2D74B5"/>
          </w:rPr>
          <w:t>2024-2025 Federal Pell Grant Maximum and Minimum</w:t>
        </w:r>
      </w:hyperlink>
      <w:r w:rsidRPr="00A0797E">
        <w:rPr>
          <w:rFonts w:ascii="Arial" w:hAnsi="Arial" w:cs="Arial"/>
          <w:color w:val="2D74B5"/>
        </w:rPr>
        <w:t xml:space="preserve"> </w:t>
      </w:r>
      <w:hyperlink r:id="rId62">
        <w:r w:rsidRPr="00A0797E">
          <w:rPr>
            <w:rFonts w:ascii="Arial" w:hAnsi="Arial" w:cs="Arial"/>
            <w:color w:val="2D74B5"/>
            <w:u w:val="single" w:color="2D74B5"/>
          </w:rPr>
          <w:t>Award Amounts (GEN-24-01)</w:t>
        </w:r>
      </w:hyperlink>
      <w:r w:rsidRPr="00A0797E">
        <w:rPr>
          <w:rFonts w:ascii="Arial" w:hAnsi="Arial" w:cs="Arial"/>
          <w:bCs/>
        </w:rPr>
        <w:t>.</w:t>
      </w:r>
    </w:p>
    <w:p w14:paraId="7E3A63C4" w14:textId="77777777" w:rsidR="00A0797E" w:rsidRPr="00A0797E" w:rsidRDefault="00A0797E" w:rsidP="00A0797E">
      <w:pPr>
        <w:spacing w:after="240"/>
        <w:ind w:left="2160"/>
        <w:jc w:val="both"/>
        <w:rPr>
          <w:rFonts w:ascii="Arial" w:hAnsi="Arial" w:cs="Arial"/>
          <w:bCs/>
        </w:rPr>
      </w:pPr>
      <w:r w:rsidRPr="00A0797E">
        <w:rPr>
          <w:rFonts w:ascii="Arial" w:hAnsi="Arial" w:cs="Arial"/>
          <w:bCs/>
        </w:rPr>
        <w:t>Federal Pell Grant Payment and Disbursement Schedules will be retired with the 2023–24 award year. Beginning with the 2024-25 award year, each student’s Scheduled Award is one of the following:</w:t>
      </w:r>
    </w:p>
    <w:p w14:paraId="54C3A565" w14:textId="77777777" w:rsidR="00A0797E" w:rsidRPr="00A0797E" w:rsidRDefault="00A0797E" w:rsidP="00A0797E">
      <w:pPr>
        <w:spacing w:after="240"/>
        <w:ind w:left="2160"/>
        <w:jc w:val="both"/>
        <w:rPr>
          <w:rFonts w:ascii="Arial" w:hAnsi="Arial" w:cs="Arial"/>
          <w:bCs/>
        </w:rPr>
      </w:pPr>
      <w:r w:rsidRPr="00A0797E">
        <w:rPr>
          <w:rFonts w:ascii="Arial" w:hAnsi="Arial" w:cs="Arial"/>
          <w:bCs/>
        </w:rPr>
        <w:t>•</w:t>
      </w:r>
      <w:r w:rsidRPr="00A0797E">
        <w:rPr>
          <w:rFonts w:ascii="Arial" w:hAnsi="Arial" w:cs="Arial"/>
          <w:bCs/>
        </w:rPr>
        <w:tab/>
        <w:t>An automatic Maximum Pell Grant Award (Max Pell)</w:t>
      </w:r>
    </w:p>
    <w:p w14:paraId="70AD0189" w14:textId="77777777" w:rsidR="00A0797E" w:rsidRPr="00A0797E" w:rsidRDefault="00A0797E" w:rsidP="00A0797E">
      <w:pPr>
        <w:spacing w:after="240"/>
        <w:ind w:left="2880" w:hanging="720"/>
        <w:jc w:val="both"/>
        <w:rPr>
          <w:rFonts w:ascii="Arial" w:hAnsi="Arial" w:cs="Arial"/>
          <w:bCs/>
        </w:rPr>
      </w:pPr>
      <w:r w:rsidRPr="00A0797E">
        <w:rPr>
          <w:rFonts w:ascii="Arial" w:hAnsi="Arial" w:cs="Arial"/>
          <w:bCs/>
        </w:rPr>
        <w:t>•</w:t>
      </w:r>
      <w:r w:rsidRPr="00A0797E">
        <w:rPr>
          <w:rFonts w:ascii="Arial" w:hAnsi="Arial" w:cs="Arial"/>
          <w:bCs/>
        </w:rPr>
        <w:tab/>
        <w:t>SAI-calculated Pell Grant, determined by subtracting the student’s SAI from the annual published Max Pell</w:t>
      </w:r>
    </w:p>
    <w:p w14:paraId="3820C98D" w14:textId="77777777" w:rsidR="00A0797E" w:rsidRPr="00A0797E" w:rsidRDefault="00A0797E" w:rsidP="00A0797E">
      <w:pPr>
        <w:spacing w:after="240"/>
        <w:ind w:left="2160"/>
        <w:jc w:val="both"/>
        <w:rPr>
          <w:rFonts w:ascii="Arial" w:hAnsi="Arial" w:cs="Arial"/>
          <w:bCs/>
        </w:rPr>
      </w:pPr>
      <w:r w:rsidRPr="00A0797E">
        <w:rPr>
          <w:rFonts w:ascii="Arial" w:hAnsi="Arial" w:cs="Arial"/>
          <w:bCs/>
        </w:rPr>
        <w:t>•</w:t>
      </w:r>
      <w:r w:rsidRPr="00A0797E">
        <w:rPr>
          <w:rFonts w:ascii="Arial" w:hAnsi="Arial" w:cs="Arial"/>
          <w:bCs/>
        </w:rPr>
        <w:tab/>
        <w:t>A Minimum Pell Grant Award (Min Pell)</w:t>
      </w:r>
    </w:p>
    <w:p w14:paraId="5CE0E589" w14:textId="77777777" w:rsidR="00A0797E" w:rsidRPr="00A0797E" w:rsidRDefault="00A0797E" w:rsidP="00A0797E">
      <w:pPr>
        <w:spacing w:after="240"/>
        <w:ind w:left="2160"/>
        <w:jc w:val="both"/>
        <w:rPr>
          <w:rFonts w:ascii="Arial" w:hAnsi="Arial" w:cs="Arial"/>
          <w:bCs/>
        </w:rPr>
      </w:pPr>
      <w:r w:rsidRPr="00A0797E">
        <w:rPr>
          <w:rFonts w:ascii="Arial" w:hAnsi="Arial" w:cs="Arial"/>
          <w:bCs/>
        </w:rPr>
        <w:t>Maximum and Minimum Pell Grant eligibility are determined based on tax filing requirements, family size and composition (i.e., single parent or non-single parent), poverty guidelines, and state of residence (see Volume 7, The Federal Pell Grant Program of the FSA Handbook for 2024-25 for specific eligibility criteria). If a student qualifies for a Maximum Pell Grant, the SAI is not used to determine the amount of that grant. An SAI-calculated Pell Grant is determined by subtracting the student’s calculated SAI from the annual published Max Pell. If the SAI-calculated Pell Grant is less than the published Min Pell, the student is ineligible for an SAI- calculated Pell Grant. However, the student may still be eligible for a Min Pell if they meet the minimum Pell Grant eligibility requirements. The Scheduled Award should be rounded to the nearest $5, except when such rounding would exceed the student’s Pell COA or the student’s remaining lifetime eligibility, described below.</w:t>
      </w:r>
    </w:p>
    <w:p w14:paraId="772D0231" w14:textId="3E1AFC24" w:rsidR="00D90B40" w:rsidRPr="00E156EF" w:rsidRDefault="00A0797E" w:rsidP="00A0797E">
      <w:pPr>
        <w:spacing w:after="240"/>
        <w:ind w:left="2160"/>
        <w:jc w:val="both"/>
        <w:rPr>
          <w:rFonts w:ascii="Arial" w:hAnsi="Arial" w:cs="Arial"/>
          <w:bCs/>
        </w:rPr>
      </w:pPr>
      <w:r w:rsidRPr="00A0797E">
        <w:rPr>
          <w:rFonts w:ascii="Arial" w:hAnsi="Arial" w:cs="Arial"/>
          <w:bCs/>
        </w:rPr>
        <w:t>Students that receive Pell Grant may not receive more than six Scheduled Awards (12 semesters, or the equivalent) as measured by the percentage of “lifetime eligibility used” (LEU) field in COD (tracked by ED) (20 USC 1070a(c)(5)). The LEU maximum percentage for student eligibility is 600 percent.</w:t>
      </w:r>
    </w:p>
    <w:p w14:paraId="14BA1AEC" w14:textId="77777777" w:rsidR="00D90B40" w:rsidRPr="00E156EF" w:rsidRDefault="00D90B40" w:rsidP="00D90B40">
      <w:pPr>
        <w:spacing w:after="240"/>
        <w:ind w:left="2160"/>
        <w:jc w:val="both"/>
        <w:rPr>
          <w:rFonts w:ascii="Arial" w:hAnsi="Arial" w:cs="Arial"/>
          <w:bCs/>
        </w:rPr>
      </w:pPr>
      <w:r w:rsidRPr="00E156EF">
        <w:rPr>
          <w:rFonts w:ascii="Arial" w:hAnsi="Arial" w:cs="Arial"/>
          <w:bCs/>
        </w:rPr>
        <w:lastRenderedPageBreak/>
        <w:t>The steps to determine Pell awards that an institution must perform are as follows:</w:t>
      </w:r>
    </w:p>
    <w:p w14:paraId="42A792CC" w14:textId="7A203E26" w:rsidR="00D90B40" w:rsidRPr="00E156EF" w:rsidRDefault="00D90B40" w:rsidP="00D90B40">
      <w:pPr>
        <w:spacing w:after="240"/>
        <w:ind w:left="2880" w:hanging="720"/>
        <w:jc w:val="both"/>
        <w:rPr>
          <w:rFonts w:ascii="Arial" w:hAnsi="Arial" w:cs="Arial"/>
          <w:bCs/>
        </w:rPr>
      </w:pPr>
      <w:r w:rsidRPr="00E156EF">
        <w:rPr>
          <w:rFonts w:ascii="Arial" w:hAnsi="Arial" w:cs="Arial"/>
          <w:bCs/>
        </w:rPr>
        <w:t>(a)</w:t>
      </w:r>
      <w:r w:rsidRPr="00E156EF">
        <w:rPr>
          <w:rFonts w:ascii="Arial" w:hAnsi="Arial" w:cs="Arial"/>
          <w:bCs/>
        </w:rPr>
        <w:tab/>
      </w:r>
      <w:r w:rsidR="00A0797E" w:rsidRPr="00A0797E">
        <w:rPr>
          <w:rFonts w:ascii="Arial" w:hAnsi="Arial" w:cs="Arial"/>
          <w:bCs/>
        </w:rPr>
        <w:t>Determine the student’s enrollment intensity (enrolled credits divided by the school’s definition of full-time credits). Note that for nonterm credit and clock hour programs, students are always considered to be full-time (100% enrollment intensity) for Pell Grant purposes except to the extent that fewer cost of attendance components are included in the calculation of a Pell Grant award for less- than-half-time students (see Volume 7, The Federal Pell Grant Program, of the FSA Handbook for more information). There are also special considerations for determining enrollment intensity for students enrolled in correspondence courses, as described under 34 CFR 690.8.</w:t>
      </w:r>
    </w:p>
    <w:p w14:paraId="31B76564" w14:textId="04B11AB4" w:rsidR="00D90B40" w:rsidRPr="00E156EF" w:rsidRDefault="00D90B40" w:rsidP="00D90B40">
      <w:pPr>
        <w:spacing w:after="240"/>
        <w:ind w:left="2880" w:hanging="720"/>
        <w:jc w:val="both"/>
        <w:rPr>
          <w:rFonts w:ascii="Arial" w:hAnsi="Arial" w:cs="Arial"/>
          <w:bCs/>
        </w:rPr>
      </w:pPr>
      <w:r w:rsidRPr="00E156EF">
        <w:rPr>
          <w:rFonts w:ascii="Arial" w:hAnsi="Arial" w:cs="Arial"/>
          <w:bCs/>
        </w:rPr>
        <w:t>(b)</w:t>
      </w:r>
      <w:r w:rsidRPr="00E156EF">
        <w:rPr>
          <w:rFonts w:ascii="Arial" w:hAnsi="Arial" w:cs="Arial"/>
          <w:bCs/>
        </w:rPr>
        <w:tab/>
      </w:r>
      <w:r w:rsidR="00485C24" w:rsidRPr="00485C24">
        <w:rPr>
          <w:rFonts w:ascii="Arial" w:hAnsi="Arial" w:cs="Arial"/>
          <w:bCs/>
        </w:rPr>
        <w:t>Calculate the cost of attendance. This is always based on the cost for a full-time enrollment intensity for a full academic year. If the student is enrolled in a program or enrollment period that is longer or shorter than an academic year, the costs must be prorated so that they apply to one full academic year. There are two allowable proration methods. Costs can be on an actual cost-per-student basis or an average cost for groups of similar students. If the student is enrolled less than half-time, the student’s COA must include any components (tuition and fees; books, course materials, supplies, and equipment; and transportation) normally applied to students who are enrolled less than half-time, along with any other components (disability expenses, etc.) that are not expressly prohibited for less than half-time students (e.g., miscellaneous personal expenses). May also include an allowance for living expenses, including food and housing costs, for up to three semesters, or the equivalent, with no more than two semesters being consecutive.</w:t>
      </w:r>
    </w:p>
    <w:p w14:paraId="63B97987" w14:textId="1FFF32FD" w:rsidR="00D90B40" w:rsidRPr="00E156EF" w:rsidRDefault="00D90B40" w:rsidP="00D90B40">
      <w:pPr>
        <w:spacing w:after="240"/>
        <w:ind w:left="2880" w:hanging="720"/>
        <w:jc w:val="both"/>
        <w:rPr>
          <w:rFonts w:ascii="Arial" w:hAnsi="Arial" w:cs="Arial"/>
          <w:bCs/>
        </w:rPr>
      </w:pPr>
      <w:r w:rsidRPr="00E156EF">
        <w:rPr>
          <w:rFonts w:ascii="Arial" w:hAnsi="Arial" w:cs="Arial"/>
          <w:bCs/>
        </w:rPr>
        <w:t>(c)</w:t>
      </w:r>
      <w:r w:rsidRPr="00E156EF">
        <w:rPr>
          <w:rFonts w:ascii="Arial" w:hAnsi="Arial" w:cs="Arial"/>
          <w:bCs/>
        </w:rPr>
        <w:tab/>
      </w:r>
      <w:r w:rsidR="00485C24" w:rsidRPr="00485C24">
        <w:rPr>
          <w:rFonts w:ascii="Arial" w:hAnsi="Arial" w:cs="Arial"/>
          <w:bCs/>
        </w:rPr>
        <w:t>Determine the Scheduled Award, based on the cost of attendance calculated above, Max or Min Pell eligibility criteria, and SAI (see Volume 7, Chapter 2, The Federal Pell Grant Program, of the FSA Handbook for more information).</w:t>
      </w:r>
    </w:p>
    <w:p w14:paraId="5D7825D4" w14:textId="77777777" w:rsidR="00D90B40" w:rsidRPr="00E156EF" w:rsidRDefault="00D90B40" w:rsidP="00D90B40">
      <w:pPr>
        <w:spacing w:after="240"/>
        <w:ind w:left="2880" w:hanging="720"/>
        <w:jc w:val="both"/>
        <w:rPr>
          <w:rFonts w:ascii="Arial" w:hAnsi="Arial" w:cs="Arial"/>
          <w:bCs/>
        </w:rPr>
      </w:pPr>
      <w:r w:rsidRPr="00E156EF">
        <w:rPr>
          <w:rFonts w:ascii="Arial" w:hAnsi="Arial" w:cs="Arial"/>
          <w:bCs/>
        </w:rPr>
        <w:t>(d)</w:t>
      </w:r>
      <w:r w:rsidRPr="00E156EF">
        <w:rPr>
          <w:rFonts w:ascii="Arial" w:hAnsi="Arial" w:cs="Arial"/>
          <w:bCs/>
        </w:rPr>
        <w:tab/>
        <w:t>Determine the payment period. For term programs, standard or nonstandard, the payment period is the term.</w:t>
      </w:r>
    </w:p>
    <w:p w14:paraId="65502488" w14:textId="2FCFFC18" w:rsidR="00D90B40" w:rsidRPr="00E156EF" w:rsidRDefault="00D90B40" w:rsidP="00D90B40">
      <w:pPr>
        <w:spacing w:after="240"/>
        <w:ind w:left="2880" w:hanging="720"/>
        <w:jc w:val="both"/>
        <w:rPr>
          <w:rFonts w:ascii="Arial" w:hAnsi="Arial" w:cs="Arial"/>
          <w:bCs/>
        </w:rPr>
      </w:pPr>
      <w:r w:rsidRPr="00E156EF">
        <w:rPr>
          <w:rFonts w:ascii="Arial" w:hAnsi="Arial" w:cs="Arial"/>
          <w:bCs/>
        </w:rPr>
        <w:t>(e)</w:t>
      </w:r>
      <w:r w:rsidRPr="00E156EF">
        <w:rPr>
          <w:rFonts w:ascii="Arial" w:hAnsi="Arial" w:cs="Arial"/>
          <w:bCs/>
        </w:rPr>
        <w:tab/>
      </w:r>
      <w:r w:rsidR="00485C24" w:rsidRPr="00485C24">
        <w:rPr>
          <w:rFonts w:ascii="Arial" w:hAnsi="Arial" w:cs="Arial"/>
          <w:bCs/>
        </w:rPr>
        <w:t>Calculate the payment for the payment periods. The calculation of the payment for the payment period may</w:t>
      </w:r>
      <w:r w:rsidRPr="00E156EF">
        <w:rPr>
          <w:rFonts w:ascii="Arial" w:hAnsi="Arial" w:cs="Arial"/>
          <w:bCs/>
        </w:rPr>
        <w:t xml:space="preserve"> </w:t>
      </w:r>
      <w:r w:rsidR="00485C24" w:rsidRPr="00485C24">
        <w:rPr>
          <w:rFonts w:ascii="Arial" w:hAnsi="Arial" w:cs="Arial"/>
          <w:bCs/>
        </w:rPr>
        <w:t xml:space="preserve">vary depending on the formula used, the length of the program compared to the academic year, and whether the institution uses an alternative calculation for students who attend summer terms or for students enrolled in correspondence courses (34 CFR 690.62 through 690.66. Also see Volume 7, The Federal Pell Grant Program, </w:t>
      </w:r>
      <w:r w:rsidR="00485C24" w:rsidRPr="00485C24">
        <w:rPr>
          <w:rFonts w:ascii="Arial" w:hAnsi="Arial" w:cs="Arial"/>
          <w:bCs/>
          <w:i/>
          <w:iCs/>
        </w:rPr>
        <w:t>FSA Handbook</w:t>
      </w:r>
      <w:r w:rsidR="00485C24" w:rsidRPr="00485C24">
        <w:rPr>
          <w:rFonts w:ascii="Arial" w:hAnsi="Arial" w:cs="Arial"/>
          <w:bCs/>
        </w:rPr>
        <w:t>).</w:t>
      </w:r>
    </w:p>
    <w:p w14:paraId="4E967289" w14:textId="2E49907F" w:rsidR="00D90B40" w:rsidRPr="00E156EF" w:rsidRDefault="00D90B40" w:rsidP="00485C24">
      <w:pPr>
        <w:spacing w:after="240"/>
        <w:ind w:left="2880" w:hanging="720"/>
        <w:jc w:val="both"/>
        <w:rPr>
          <w:rFonts w:ascii="Arial" w:hAnsi="Arial" w:cs="Arial"/>
          <w:bCs/>
        </w:rPr>
      </w:pPr>
      <w:r w:rsidRPr="00E156EF">
        <w:rPr>
          <w:rFonts w:ascii="Arial" w:hAnsi="Arial" w:cs="Arial"/>
          <w:bCs/>
        </w:rPr>
        <w:t>(f)</w:t>
      </w:r>
      <w:r w:rsidRPr="00E156EF">
        <w:rPr>
          <w:rFonts w:ascii="Arial" w:hAnsi="Arial" w:cs="Arial"/>
          <w:bCs/>
        </w:rPr>
        <w:tab/>
      </w:r>
      <w:r w:rsidR="00485C24" w:rsidRPr="00485C24">
        <w:rPr>
          <w:rFonts w:ascii="Arial" w:hAnsi="Arial" w:cs="Arial"/>
          <w:bCs/>
        </w:rPr>
        <w:t>Disburse funds at prescribed times (this is tested under</w:t>
      </w:r>
      <w:r w:rsidR="00485C24">
        <w:rPr>
          <w:rFonts w:ascii="Arial" w:hAnsi="Arial" w:cs="Arial"/>
          <w:bCs/>
        </w:rPr>
        <w:t xml:space="preserve"> </w:t>
      </w:r>
      <w:r w:rsidR="00485C24" w:rsidRPr="00485C24">
        <w:rPr>
          <w:rFonts w:ascii="Arial" w:hAnsi="Arial" w:cs="Arial"/>
          <w:bCs/>
        </w:rPr>
        <w:t xml:space="preserve">III.N. 3, “Special Tests and Provisions ˗ Disbursements To or On Behalf of Students”) (34 CFR 690.61 through 690.66, and 690.75 through 690.76; General Provisions regulations, part 668, subpart K, and </w:t>
      </w:r>
      <w:r w:rsidR="00485C24" w:rsidRPr="00485C24">
        <w:rPr>
          <w:rFonts w:ascii="Arial" w:hAnsi="Arial" w:cs="Arial"/>
          <w:bCs/>
          <w:i/>
          <w:iCs/>
        </w:rPr>
        <w:t>FSA Handbook</w:t>
      </w:r>
      <w:r w:rsidR="00485C24" w:rsidRPr="00485C24">
        <w:rPr>
          <w:rFonts w:ascii="Arial" w:hAnsi="Arial" w:cs="Arial"/>
          <w:bCs/>
        </w:rPr>
        <w:t>).</w:t>
      </w:r>
    </w:p>
    <w:p w14:paraId="7CB4D8A5" w14:textId="77777777" w:rsidR="00D90B40" w:rsidRPr="00485C24" w:rsidRDefault="00D90B40" w:rsidP="00485C24">
      <w:pPr>
        <w:spacing w:after="240"/>
        <w:ind w:left="2160"/>
        <w:jc w:val="both"/>
        <w:rPr>
          <w:rFonts w:ascii="Arial" w:hAnsi="Arial" w:cs="Arial"/>
          <w:b/>
        </w:rPr>
      </w:pPr>
      <w:r w:rsidRPr="00E156EF">
        <w:rPr>
          <w:rFonts w:ascii="Arial" w:hAnsi="Arial" w:cs="Arial"/>
          <w:b/>
        </w:rPr>
        <w:t>Additional Pell Grant Award Eligibility</w:t>
      </w:r>
    </w:p>
    <w:p w14:paraId="591F89D1" w14:textId="77777777" w:rsidR="00485C24" w:rsidRPr="00485C24" w:rsidRDefault="00485C24" w:rsidP="00485C24">
      <w:pPr>
        <w:pStyle w:val="BodyText"/>
        <w:ind w:left="2160" w:right="251"/>
        <w:jc w:val="both"/>
        <w:rPr>
          <w:rFonts w:ascii="Arial" w:hAnsi="Arial" w:cs="Arial"/>
        </w:rPr>
      </w:pPr>
      <w:r w:rsidRPr="00485C24">
        <w:rPr>
          <w:rFonts w:ascii="Arial" w:hAnsi="Arial" w:cs="Arial"/>
        </w:rPr>
        <w:t>Under the Year Round Pell Grant provisions, to be eligible for the additional Pell Grant funds, the student must be otherwise eligible to receive Pell Grant funds for the payment period.</w:t>
      </w:r>
    </w:p>
    <w:p w14:paraId="235A8F56" w14:textId="3B190E00" w:rsidR="00D90B40" w:rsidRPr="00485C24" w:rsidRDefault="00485C24" w:rsidP="00485C24">
      <w:pPr>
        <w:spacing w:after="240"/>
        <w:ind w:left="2160"/>
        <w:jc w:val="both"/>
        <w:rPr>
          <w:rFonts w:ascii="Arial" w:hAnsi="Arial" w:cs="Arial"/>
          <w:bCs/>
        </w:rPr>
      </w:pPr>
      <w:r w:rsidRPr="00485C24">
        <w:rPr>
          <w:rFonts w:ascii="Arial" w:hAnsi="Arial" w:cs="Arial"/>
        </w:rPr>
        <w:lastRenderedPageBreak/>
        <w:t xml:space="preserve">For a student who is eligible for the additional Pell Grant funds, the institution must pay the student all of the student’s eligible Pell Grant funds, up to 150 percent of the student’s Pell Grant Scheduled Award for the award year. Note that the provisions of the law state that any Pell Grant received will be included in determining the student’s Pell Grant duration of eligibility and Lifetime Eligibility Used (LEU) in accordance with section 401(c)(5) of the HEA (also </w:t>
      </w:r>
      <w:hyperlink r:id="rId63">
        <w:r w:rsidRPr="00485C24">
          <w:rPr>
            <w:rFonts w:ascii="Arial" w:hAnsi="Arial" w:cs="Arial"/>
          </w:rPr>
          <w:t>see Dear Colleague Letter GEN-13-14</w:t>
        </w:r>
      </w:hyperlink>
      <w:r w:rsidRPr="00485C24">
        <w:rPr>
          <w:rFonts w:ascii="Arial" w:hAnsi="Arial" w:cs="Arial"/>
        </w:rPr>
        <w:t xml:space="preserve"> at</w:t>
      </w:r>
      <w:r w:rsidR="00555837" w:rsidRPr="00555837">
        <w:t xml:space="preserve"> </w:t>
      </w:r>
      <w:hyperlink r:id="rId64" w:history="1">
        <w:r w:rsidR="00555837" w:rsidRPr="009E1627">
          <w:rPr>
            <w:rStyle w:val="Hyperlink"/>
            <w:rFonts w:cs="Arial"/>
          </w:rPr>
          <w:t>https://fsapartners.ed.gov/knowledge-center/library/dear-colleague-letters/2013-05-16/gen-13-14-subject-federal-pell-grant-duration-eligibility-and-lifetime-eligibility-used</w:t>
        </w:r>
      </w:hyperlink>
      <w:r w:rsidRPr="00485C24">
        <w:rPr>
          <w:rFonts w:ascii="Arial" w:hAnsi="Arial" w:cs="Arial"/>
        </w:rPr>
        <w:t>).</w:t>
      </w:r>
    </w:p>
    <w:p w14:paraId="643998ED" w14:textId="77777777" w:rsidR="00D90B40" w:rsidRPr="008F57EC" w:rsidRDefault="00D90B40" w:rsidP="00D90B40">
      <w:pPr>
        <w:spacing w:after="240"/>
        <w:ind w:left="2160"/>
        <w:jc w:val="both"/>
        <w:rPr>
          <w:rFonts w:ascii="Arial" w:hAnsi="Arial" w:cs="Arial"/>
          <w:b/>
        </w:rPr>
      </w:pPr>
      <w:r w:rsidRPr="008F57EC">
        <w:rPr>
          <w:rFonts w:ascii="Arial" w:hAnsi="Arial" w:cs="Arial"/>
          <w:b/>
        </w:rPr>
        <w:t>Pell Grants for Confined or Incarcerated Individuals</w:t>
      </w:r>
    </w:p>
    <w:p w14:paraId="42C1A18F" w14:textId="77777777" w:rsidR="00AC7671" w:rsidRPr="00A36360" w:rsidRDefault="00AC7671" w:rsidP="00AC7671">
      <w:pPr>
        <w:pStyle w:val="BodyText"/>
        <w:ind w:left="2160" w:right="115"/>
        <w:jc w:val="both"/>
        <w:rPr>
          <w:rFonts w:ascii="Arial" w:hAnsi="Arial" w:cs="Arial"/>
          <w:szCs w:val="20"/>
        </w:rPr>
      </w:pPr>
      <w:r w:rsidRPr="00A36360">
        <w:rPr>
          <w:rFonts w:ascii="Arial" w:hAnsi="Arial" w:cs="Arial"/>
          <w:szCs w:val="20"/>
        </w:rPr>
        <w:t>The FAFSA Simplification Act changed eligibility for what were formerly called “Iraq and Afghanistan Service Grants (IASG)” and “Children of Fallen Heroes (CFH) Scholarships.” Beginning with the 2024-25 award year, students who meet the eligibility requirements for Pell Grants under the Special Rule in HEA Section 401(c) will receive a maximum Pell Grant award, regardless of their calculated SAI. To receive a Pell Grant based on eligibility under the Special Rule, a student must be:</w:t>
      </w:r>
    </w:p>
    <w:p w14:paraId="3ECC4CEB" w14:textId="77777777" w:rsidR="00AC7671" w:rsidRPr="00A36360" w:rsidRDefault="00AC7671" w:rsidP="008827D6">
      <w:pPr>
        <w:pStyle w:val="ListParagraph"/>
        <w:numPr>
          <w:ilvl w:val="0"/>
          <w:numId w:val="55"/>
        </w:numPr>
        <w:spacing w:after="240"/>
        <w:jc w:val="both"/>
        <w:rPr>
          <w:rFonts w:ascii="Arial" w:hAnsi="Arial" w:cs="Arial"/>
        </w:rPr>
      </w:pPr>
      <w:r w:rsidRPr="00A36360">
        <w:rPr>
          <w:rFonts w:ascii="Arial" w:hAnsi="Arial" w:cs="Arial"/>
        </w:rPr>
        <w:t>The child of a parent or guardian who died in the line of duty while either (a) serving on active duty as a member of the U.S. Armed Forces on or after September 11, 2001;</w:t>
      </w:r>
      <w:r w:rsidRPr="00A36360">
        <w:rPr>
          <w:rFonts w:ascii="Arial" w:hAnsi="Arial" w:cs="Arial"/>
          <w:spacing w:val="-11"/>
        </w:rPr>
        <w:t xml:space="preserve"> </w:t>
      </w:r>
      <w:r w:rsidRPr="00A36360">
        <w:rPr>
          <w:rFonts w:ascii="Arial" w:hAnsi="Arial" w:cs="Arial"/>
        </w:rPr>
        <w:t>or (b) actively serving as and performing the duties of a public safety officer; and</w:t>
      </w:r>
    </w:p>
    <w:p w14:paraId="7F10455A" w14:textId="79B7077F" w:rsidR="00D90B40" w:rsidRPr="00A36360" w:rsidRDefault="00AC7671" w:rsidP="008827D6">
      <w:pPr>
        <w:pStyle w:val="ListParagraph"/>
        <w:numPr>
          <w:ilvl w:val="0"/>
          <w:numId w:val="55"/>
        </w:numPr>
        <w:spacing w:after="240"/>
        <w:jc w:val="both"/>
        <w:rPr>
          <w:rFonts w:ascii="Arial" w:hAnsi="Arial" w:cs="Arial"/>
          <w:bCs/>
        </w:rPr>
      </w:pPr>
      <w:r w:rsidRPr="00A36360">
        <w:rPr>
          <w:rFonts w:ascii="Arial" w:hAnsi="Arial" w:cs="Arial"/>
        </w:rPr>
        <w:t>Less than 33 years old as of the January 1 prior to the award year for which the applicant is applying (e.g., for the 2024–25 award year, a student must be less than 33 years old as of January 1, 2024, to be eligible).</w:t>
      </w:r>
    </w:p>
    <w:p w14:paraId="3174404A" w14:textId="5EEE5EF0" w:rsidR="00AC7671" w:rsidRPr="00A36360" w:rsidRDefault="00AC7671" w:rsidP="00555837">
      <w:pPr>
        <w:pStyle w:val="BodyText"/>
        <w:ind w:left="2160"/>
        <w:jc w:val="both"/>
        <w:rPr>
          <w:rFonts w:ascii="Arial" w:hAnsi="Arial" w:cs="Arial"/>
        </w:rPr>
      </w:pPr>
      <w:r w:rsidRPr="00A36360">
        <w:rPr>
          <w:rFonts w:ascii="Arial" w:hAnsi="Arial" w:cs="Arial"/>
        </w:rPr>
        <w:t xml:space="preserve">In this situation, eligible students will have a Scheduled Award equal to a maximum Pell Grant award, regardless of SAI or financial need. Other aid for these students will be based on their calculated SAI (see Volume 7, The Federal Pell Grant Program, of the </w:t>
      </w:r>
      <w:r w:rsidRPr="00A36360">
        <w:rPr>
          <w:rFonts w:ascii="Arial" w:hAnsi="Arial" w:cs="Arial"/>
          <w:i/>
        </w:rPr>
        <w:t xml:space="preserve">FSA Handbook </w:t>
      </w:r>
      <w:r w:rsidRPr="00A36360">
        <w:rPr>
          <w:rFonts w:ascii="Arial" w:hAnsi="Arial" w:cs="Arial"/>
        </w:rPr>
        <w:t xml:space="preserve">for more information and Electronic Announcement </w:t>
      </w:r>
      <w:hyperlink r:id="rId65">
        <w:r w:rsidRPr="00A36360">
          <w:rPr>
            <w:rFonts w:ascii="Arial" w:hAnsi="Arial" w:cs="Arial"/>
            <w:color w:val="2D74B5"/>
            <w:u w:val="single" w:color="2D74B5"/>
          </w:rPr>
          <w:t>GRANTS-24-03</w:t>
        </w:r>
      </w:hyperlink>
      <w:r w:rsidRPr="00A36360">
        <w:rPr>
          <w:rFonts w:ascii="Arial" w:hAnsi="Arial" w:cs="Arial"/>
          <w:color w:val="2D74B5"/>
        </w:rPr>
        <w:t xml:space="preserve"> </w:t>
      </w:r>
      <w:r w:rsidRPr="00A36360">
        <w:rPr>
          <w:rFonts w:ascii="Arial" w:hAnsi="Arial" w:cs="Arial"/>
        </w:rPr>
        <w:t>for additional information).</w:t>
      </w:r>
    </w:p>
    <w:p w14:paraId="68E9D067" w14:textId="3AAACB65" w:rsidR="00AC7671" w:rsidRPr="00A36360" w:rsidRDefault="00AC7671" w:rsidP="00AC7671">
      <w:pPr>
        <w:spacing w:after="240"/>
        <w:ind w:left="1440" w:firstLine="720"/>
        <w:jc w:val="both"/>
        <w:rPr>
          <w:rFonts w:ascii="Arial" w:hAnsi="Arial" w:cs="Arial"/>
          <w:b/>
          <w:bCs/>
        </w:rPr>
      </w:pPr>
      <w:r w:rsidRPr="00A36360">
        <w:rPr>
          <w:rFonts w:ascii="Arial" w:hAnsi="Arial" w:cs="Arial"/>
          <w:b/>
          <w:bCs/>
        </w:rPr>
        <w:t>Pell Grants for Confined or Incarcerated Individuals</w:t>
      </w:r>
    </w:p>
    <w:p w14:paraId="56FE17A3" w14:textId="30AC73F1" w:rsidR="00AC7671" w:rsidRPr="00A36360" w:rsidRDefault="00AC7671" w:rsidP="00AC7671">
      <w:pPr>
        <w:pStyle w:val="BodyText"/>
        <w:ind w:left="2160"/>
        <w:jc w:val="both"/>
        <w:rPr>
          <w:rFonts w:ascii="Arial" w:hAnsi="Arial" w:cs="Arial"/>
        </w:rPr>
      </w:pPr>
      <w:r w:rsidRPr="00A36360">
        <w:rPr>
          <w:rFonts w:ascii="Arial" w:hAnsi="Arial" w:cs="Arial"/>
          <w:color w:val="16222D"/>
        </w:rPr>
        <w:t>Effective July 1, 2023 the FAFSA Simplification Act added a new HEA section 483(t)(3), which requires confined or incarcerated individuals who otherwise meet Pell Grant eligibility requirements to be enrolled in an eligible Prison Education Program (PEP) in order to receive Pell funds (Note: the law does not require a school to make changes to existing postsecondary educational programs in correctional facilities unless the school seeks to make those programs eligible for Pell Grant funds). The Act made several other significant changes that directly or indirectly affect the eligibility of confined or incarcerated individuals for student assistance under title IV of the</w:t>
      </w:r>
      <w:r w:rsidRPr="00A36360">
        <w:rPr>
          <w:rFonts w:ascii="Arial" w:hAnsi="Arial" w:cs="Arial"/>
          <w:color w:val="16222D"/>
          <w:spacing w:val="-3"/>
        </w:rPr>
        <w:t xml:space="preserve"> </w:t>
      </w:r>
      <w:r w:rsidRPr="00A36360">
        <w:rPr>
          <w:rFonts w:ascii="Arial" w:hAnsi="Arial" w:cs="Arial"/>
          <w:color w:val="16222D"/>
        </w:rPr>
        <w:t>HEA.</w:t>
      </w:r>
    </w:p>
    <w:p w14:paraId="6CDDA9B2" w14:textId="77777777" w:rsidR="00AC7671" w:rsidRPr="00A36360" w:rsidRDefault="00AC7671" w:rsidP="00AC7671">
      <w:pPr>
        <w:pStyle w:val="BodyText"/>
        <w:ind w:left="2160"/>
        <w:jc w:val="both"/>
        <w:rPr>
          <w:rFonts w:ascii="Arial" w:hAnsi="Arial" w:cs="Arial"/>
        </w:rPr>
      </w:pPr>
      <w:r w:rsidRPr="00A36360">
        <w:rPr>
          <w:rFonts w:ascii="Arial" w:hAnsi="Arial" w:cs="Arial"/>
          <w:color w:val="16222D"/>
        </w:rPr>
        <w:t>The Act also removed the prohibition in HEA section 401(b)(6) that prevented institutions from awarding Federal Pell Grants to any individual who is not incarcerated in any Federal or State correctional facility but is subject to an involuntary civil commitment upon completion of a period of incarceration for a forcible or nonforcible sexual offense. As of July 1, 2023, the implementation date of the Act, these individuals are not considered to be confined or incarcerated and are not required to enroll in a PEP to receive title IV aid.</w:t>
      </w:r>
    </w:p>
    <w:p w14:paraId="03A0F8D8" w14:textId="77777777" w:rsidR="00AC7671" w:rsidRPr="00A36360" w:rsidRDefault="00AC7671" w:rsidP="00AC7671">
      <w:pPr>
        <w:pStyle w:val="BodyText"/>
        <w:tabs>
          <w:tab w:val="left" w:pos="2160"/>
        </w:tabs>
        <w:spacing w:before="90"/>
        <w:ind w:left="2160" w:right="155"/>
        <w:jc w:val="both"/>
        <w:rPr>
          <w:rFonts w:ascii="Arial" w:hAnsi="Arial" w:cs="Arial"/>
        </w:rPr>
      </w:pPr>
      <w:r w:rsidRPr="00A36360">
        <w:rPr>
          <w:rFonts w:ascii="Arial" w:hAnsi="Arial" w:cs="Arial"/>
          <w:color w:val="16222D"/>
        </w:rPr>
        <w:lastRenderedPageBreak/>
        <w:t>For a confined or incarcerated individual enrolled in an eligible PEP, a Federal Pell Grant cannot exceed the cost of attendance (as defined in section 472 of the HEA) at the institution the student attends. If an institution determines that a student’s Federal Pell Grant exceeds the cost of attendance for that year, the institution must reduce the amount of the Federal Pell Grant until the Federal Pell Grant does not exceed the cost of attendance and does not result in a Title IV credit balance under 34 CFR § 668.164(h). If a confined or incarcerated student’s Pell Grant, combined with any other financial assistance, exceeds the student’s cost of attendance, the financial assistance other than the Pell Grant must be reduced by the amount that the total financial assistance exceeds the student’s cost of attendance. If the student’s other financial assistance cannot be reduced (there is a statutory prohibition against reducing Veterans Administration educational grants, for example), the student’s Pell Grant must be reduced by the amount that the student’s total financial assistance exceeds the student’s cost of attendance.</w:t>
      </w:r>
    </w:p>
    <w:p w14:paraId="2E418DD3" w14:textId="637CDB7D" w:rsidR="00D90B40" w:rsidRPr="00AC7671" w:rsidRDefault="00AC7671" w:rsidP="00AC7671">
      <w:pPr>
        <w:spacing w:after="240"/>
        <w:ind w:left="2160"/>
        <w:jc w:val="both"/>
        <w:rPr>
          <w:rFonts w:ascii="Arial" w:hAnsi="Arial" w:cs="Arial"/>
          <w:bCs/>
        </w:rPr>
      </w:pPr>
      <w:r w:rsidRPr="00A36360">
        <w:rPr>
          <w:rFonts w:ascii="Arial" w:hAnsi="Arial" w:cs="Arial"/>
          <w:color w:val="16222D"/>
        </w:rPr>
        <w:t>Prior to July</w:t>
      </w:r>
      <w:r w:rsidRPr="00AC7671">
        <w:rPr>
          <w:rFonts w:ascii="Arial" w:hAnsi="Arial" w:cs="Arial"/>
          <w:color w:val="16222D"/>
        </w:rPr>
        <w:t xml:space="preserve"> 1, 2023, students confined or incarcerated in a correctional facility that is not a federal or state facility were eligible for Pell if they were enrolled in an eligible title IV program. Effective July 1, 2023, all confined or incarcerated students must be enrolled in an eligible PEP in order to receive</w:t>
      </w:r>
      <w:r w:rsidRPr="00AC7671">
        <w:rPr>
          <w:rFonts w:ascii="Arial" w:hAnsi="Arial" w:cs="Arial"/>
          <w:color w:val="16222D"/>
          <w:spacing w:val="-20"/>
        </w:rPr>
        <w:t xml:space="preserve"> </w:t>
      </w:r>
      <w:r w:rsidRPr="00AC7671">
        <w:rPr>
          <w:rFonts w:ascii="Arial" w:hAnsi="Arial" w:cs="Arial"/>
          <w:color w:val="16222D"/>
        </w:rPr>
        <w:t>Pell funds. In an effort not to interrupt the postsecondary program of incarcerated students receiving Pell Grants for programs prior to the implementation of PEP requirements, otherwise eligible confined or incarcerated students who were enrolled in an eligible Title IV program prior to July 1, 2023, may continue to receive a Federal Pell Grant until the earlier of: (1) July 1, 2029; (2) the student no longer meets Satisfactory Academic Progress (SAP) requirements and reaches the maximum timeframe for program completion under 34 CFR 668.34; or (3) the student has reached their Pell LEU, exhausting their Pell Grant eligibility under 34 CFR 690.6(e). See</w:t>
      </w:r>
      <w:r w:rsidRPr="00AC7671">
        <w:rPr>
          <w:rFonts w:ascii="Arial" w:hAnsi="Arial" w:cs="Arial"/>
          <w:color w:val="16222D"/>
          <w:spacing w:val="-2"/>
        </w:rPr>
        <w:t xml:space="preserve"> </w:t>
      </w:r>
      <w:hyperlink r:id="rId66">
        <w:r w:rsidRPr="00AC7671">
          <w:rPr>
            <w:rFonts w:ascii="Arial" w:hAnsi="Arial" w:cs="Arial"/>
            <w:color w:val="2D74B5"/>
            <w:u w:val="single" w:color="2D74B5"/>
          </w:rPr>
          <w:t>DCL-GEN-23-05</w:t>
        </w:r>
      </w:hyperlink>
      <w:r w:rsidRPr="00AC7671">
        <w:rPr>
          <w:rFonts w:ascii="Arial" w:hAnsi="Arial" w:cs="Arial"/>
          <w:color w:val="16222D"/>
        </w:rPr>
        <w:t>.</w:t>
      </w:r>
    </w:p>
    <w:p w14:paraId="23EAA282" w14:textId="7F203CF4" w:rsidR="00D90B40" w:rsidRPr="00AC7671" w:rsidRDefault="00555837" w:rsidP="00AC7671">
      <w:pPr>
        <w:spacing w:after="240"/>
        <w:ind w:left="1440"/>
        <w:jc w:val="both"/>
        <w:rPr>
          <w:rFonts w:ascii="Arial" w:hAnsi="Arial" w:cs="Arial"/>
          <w:bCs/>
          <w:i/>
          <w:iCs/>
          <w:color w:val="002060"/>
        </w:rPr>
      </w:pPr>
      <w:r>
        <w:rPr>
          <w:rFonts w:ascii="Arial" w:hAnsi="Arial" w:cs="Arial"/>
          <w:bCs/>
          <w:i/>
          <w:iCs/>
          <w:color w:val="002060"/>
        </w:rPr>
        <w:t>The 2025 OMB Compliance Supplement did not include a (</w:t>
      </w:r>
      <w:r w:rsidR="00D90B40" w:rsidRPr="00AC7671">
        <w:rPr>
          <w:rFonts w:ascii="Arial" w:hAnsi="Arial" w:cs="Arial"/>
          <w:bCs/>
          <w:i/>
          <w:iCs/>
          <w:color w:val="002060"/>
        </w:rPr>
        <w:t>3</w:t>
      </w:r>
      <w:r>
        <w:rPr>
          <w:rFonts w:ascii="Arial" w:hAnsi="Arial" w:cs="Arial"/>
          <w:bCs/>
          <w:i/>
          <w:iCs/>
          <w:color w:val="002060"/>
        </w:rPr>
        <w:t>).</w:t>
      </w:r>
    </w:p>
    <w:p w14:paraId="7B691A4F" w14:textId="77777777" w:rsidR="00D90B40" w:rsidRPr="00AC7671" w:rsidRDefault="00D90B40" w:rsidP="00AC7671">
      <w:pPr>
        <w:spacing w:after="240"/>
        <w:ind w:left="2160" w:hanging="720"/>
        <w:jc w:val="both"/>
        <w:rPr>
          <w:rFonts w:ascii="Arial" w:hAnsi="Arial" w:cs="Arial"/>
          <w:bCs/>
          <w:i/>
          <w:iCs/>
        </w:rPr>
      </w:pPr>
      <w:r w:rsidRPr="00AC7671">
        <w:rPr>
          <w:rFonts w:ascii="Arial" w:hAnsi="Arial" w:cs="Arial"/>
          <w:bCs/>
          <w:i/>
          <w:iCs/>
        </w:rPr>
        <w:t>(4)</w:t>
      </w:r>
      <w:r w:rsidRPr="00AC7671">
        <w:rPr>
          <w:rFonts w:ascii="Arial" w:hAnsi="Arial" w:cs="Arial"/>
          <w:bCs/>
          <w:i/>
          <w:iCs/>
        </w:rPr>
        <w:tab/>
        <w:t>Campus-Based Programs (FWS, FSEOG) (Assistance Listing 84.033, Assistance Listing 84.007)</w:t>
      </w:r>
    </w:p>
    <w:p w14:paraId="39E99ABC" w14:textId="77777777" w:rsidR="00A36360" w:rsidRPr="00A36360" w:rsidRDefault="00A36360" w:rsidP="00A36360">
      <w:pPr>
        <w:spacing w:after="240"/>
        <w:ind w:left="2160"/>
        <w:jc w:val="both"/>
        <w:rPr>
          <w:rFonts w:ascii="Arial" w:hAnsi="Arial" w:cs="Arial"/>
          <w:bCs/>
        </w:rPr>
      </w:pPr>
      <w:r w:rsidRPr="00A36360">
        <w:rPr>
          <w:rFonts w:ascii="Arial" w:hAnsi="Arial" w:cs="Arial"/>
          <w:bCs/>
        </w:rPr>
        <w:t>The maximum amount that can be awarded under the campus- based programs is equal to the student’s financial need (COA minus SAI) minus aid from other SFA programs and other resources. For programs of study or enrollment periods less than or greater than an academic year, the COA for campus-based aid is based on the student’s actual costs for the period for which need is being analyzed, rather than being prorated to the costs for a full- time student for a full academic year. The financial aid administrator has discretion in awarding amounts from each program, subject to certain limitations.</w:t>
      </w:r>
    </w:p>
    <w:p w14:paraId="03A87A96" w14:textId="7638828B" w:rsidR="00D90B40" w:rsidRDefault="00A36360" w:rsidP="00A36360">
      <w:pPr>
        <w:spacing w:after="240"/>
        <w:ind w:left="2160"/>
        <w:jc w:val="both"/>
        <w:rPr>
          <w:rFonts w:ascii="Arial" w:hAnsi="Arial" w:cs="Arial"/>
          <w:bCs/>
        </w:rPr>
      </w:pPr>
      <w:r w:rsidRPr="00A36360">
        <w:rPr>
          <w:rFonts w:ascii="Arial" w:hAnsi="Arial" w:cs="Arial"/>
          <w:bCs/>
        </w:rPr>
        <w:t>The FSEOG program provides grants to eligible undergraduate students who have not previously earned a bachelor’s or first professional degree. Priority is given to Pell Grant recipients who have the lowest SAIs. The institution decides the amount of the grant, which can be up to $4,000 but not less than $100, for an academic year. The maximum amount may be increased to $4,400</w:t>
      </w:r>
      <w:r w:rsidR="00D90B40" w:rsidRPr="00E156EF">
        <w:rPr>
          <w:rFonts w:ascii="Arial" w:hAnsi="Arial" w:cs="Arial"/>
          <w:bCs/>
        </w:rPr>
        <w:t xml:space="preserve"> </w:t>
      </w:r>
      <w:r w:rsidRPr="00A36360">
        <w:rPr>
          <w:rFonts w:ascii="Arial" w:hAnsi="Arial" w:cs="Arial"/>
          <w:bCs/>
        </w:rPr>
        <w:t>for a student participating in a study abroad program that is approved for credit by the student’s home institution (34 CFR 676.10 and 676.20).</w:t>
      </w:r>
    </w:p>
    <w:p w14:paraId="717386A2" w14:textId="113F361A" w:rsidR="00D90B40" w:rsidRPr="00E156EF" w:rsidRDefault="00555837" w:rsidP="00D90B40">
      <w:pPr>
        <w:spacing w:after="240"/>
        <w:ind w:left="1440"/>
        <w:jc w:val="both"/>
        <w:rPr>
          <w:rFonts w:ascii="Arial" w:hAnsi="Arial" w:cs="Arial"/>
          <w:bCs/>
          <w:i/>
          <w:iCs/>
          <w:color w:val="002060"/>
        </w:rPr>
      </w:pPr>
      <w:r>
        <w:rPr>
          <w:rFonts w:ascii="Arial" w:hAnsi="Arial" w:cs="Arial"/>
          <w:bCs/>
          <w:i/>
          <w:iCs/>
          <w:color w:val="002060"/>
        </w:rPr>
        <w:t>(</w:t>
      </w:r>
      <w:r w:rsidR="00D90B40" w:rsidRPr="00E156EF">
        <w:rPr>
          <w:rFonts w:ascii="Arial" w:hAnsi="Arial" w:cs="Arial"/>
          <w:bCs/>
          <w:i/>
          <w:iCs/>
          <w:color w:val="002060"/>
        </w:rPr>
        <w:t>5</w:t>
      </w:r>
      <w:r>
        <w:rPr>
          <w:rFonts w:ascii="Arial" w:hAnsi="Arial" w:cs="Arial"/>
          <w:bCs/>
          <w:i/>
          <w:iCs/>
          <w:color w:val="002060"/>
        </w:rPr>
        <w:t>)</w:t>
      </w:r>
      <w:r w:rsidR="00D90B40" w:rsidRPr="00E156EF">
        <w:rPr>
          <w:rFonts w:ascii="Arial" w:hAnsi="Arial" w:cs="Arial"/>
          <w:bCs/>
          <w:i/>
          <w:iCs/>
          <w:color w:val="002060"/>
        </w:rPr>
        <w:t xml:space="preserve"> Relates to a Program Not Included in this FACCR</w:t>
      </w:r>
    </w:p>
    <w:p w14:paraId="7800F341" w14:textId="77777777" w:rsidR="00D90B40" w:rsidRPr="00E156EF" w:rsidRDefault="00D90B40" w:rsidP="00D90B40">
      <w:pPr>
        <w:spacing w:after="240"/>
        <w:ind w:left="1440"/>
        <w:jc w:val="both"/>
        <w:rPr>
          <w:rFonts w:ascii="Arial" w:hAnsi="Arial" w:cs="Arial"/>
          <w:bCs/>
          <w:i/>
          <w:iCs/>
        </w:rPr>
      </w:pPr>
      <w:r w:rsidRPr="00E156EF">
        <w:rPr>
          <w:rFonts w:ascii="Arial" w:hAnsi="Arial" w:cs="Arial"/>
          <w:bCs/>
          <w:i/>
          <w:iCs/>
        </w:rPr>
        <w:t>(6)</w:t>
      </w:r>
      <w:r w:rsidRPr="00E156EF">
        <w:rPr>
          <w:rFonts w:ascii="Arial" w:hAnsi="Arial" w:cs="Arial"/>
          <w:bCs/>
          <w:i/>
          <w:iCs/>
        </w:rPr>
        <w:tab/>
        <w:t>Direct Loans (Assistance Listing 84.268)</w:t>
      </w:r>
    </w:p>
    <w:p w14:paraId="3B9D0F65" w14:textId="7DA673A7" w:rsidR="00A36360" w:rsidRPr="00A36360" w:rsidRDefault="00A36360" w:rsidP="00A36360">
      <w:pPr>
        <w:spacing w:after="240"/>
        <w:ind w:left="2160"/>
        <w:jc w:val="both"/>
        <w:rPr>
          <w:rFonts w:ascii="Arial" w:hAnsi="Arial" w:cs="Arial"/>
          <w:bCs/>
        </w:rPr>
      </w:pPr>
      <w:r w:rsidRPr="00A36360">
        <w:rPr>
          <w:rFonts w:ascii="Arial" w:hAnsi="Arial" w:cs="Arial"/>
          <w:bCs/>
        </w:rPr>
        <w:lastRenderedPageBreak/>
        <w:t>In determining loan amounts for Direct Subsidized Loans, the financial aid administrator subtracts from the COA, the SAI, and the OFA for the period of enrollment that the student (or parent on behalf of the student) will receive from federal, state, institutional</w:t>
      </w:r>
      <w:r w:rsidR="00D90B40" w:rsidRPr="00E156EF">
        <w:rPr>
          <w:rFonts w:ascii="Arial" w:hAnsi="Arial" w:cs="Arial"/>
          <w:bCs/>
        </w:rPr>
        <w:t xml:space="preserve"> </w:t>
      </w:r>
      <w:r w:rsidRPr="00A36360">
        <w:rPr>
          <w:rFonts w:ascii="Arial" w:hAnsi="Arial" w:cs="Arial"/>
          <w:bCs/>
        </w:rPr>
        <w:t>or other sources. Direct Unsubsidized Loans, Direct PLUS Loans, TEACH Grants, loans made by an institution to assist the student, state-sponsored loans, private education loans, and any other non- need-based loans may be used to replace the SAI (34 CFR 685.102(b)). A financial aid administrator may use professional judgment to offer dependent-level Direct Unsubsidized Loans (but no other Title IV aid) to a dependent student whose parents do not support the student or who refuse to complete a FAFSA (20 USC 1087(a)).</w:t>
      </w:r>
    </w:p>
    <w:p w14:paraId="085B3D70" w14:textId="136469FD" w:rsidR="00D90B40" w:rsidRPr="00E156EF" w:rsidRDefault="00A36360" w:rsidP="00A36360">
      <w:pPr>
        <w:spacing w:after="240"/>
        <w:ind w:left="2160"/>
        <w:jc w:val="both"/>
        <w:rPr>
          <w:rFonts w:ascii="Arial" w:hAnsi="Arial" w:cs="Arial"/>
          <w:bCs/>
        </w:rPr>
      </w:pPr>
      <w:r w:rsidRPr="00A36360">
        <w:rPr>
          <w:rFonts w:ascii="Arial" w:hAnsi="Arial" w:cs="Arial"/>
          <w:bCs/>
        </w:rPr>
        <w:t>The annual loan limits apply to the length of the institution’s academic year. Except for Direct PLUS loans and Direct Unsubsidized Loans made to graduate or professional students, proration of the annual loan limit is required when a program is less than an academic year as measured in either clock hours or credit hours or number of weeks; or when a program exceeds an academic year but the remaining portion of the program is less than an academic year in length. For the purpose of determining annual loan limits for a borrower who received an associate or bachelor’s degree and has re-enrolled in another eligible program for which the prior degree is a prerequisite, the grade level determination includes the number of years that a student has completed in the previously completed program of undergraduate study.</w:t>
      </w:r>
    </w:p>
    <w:p w14:paraId="2F50B9C5" w14:textId="77777777" w:rsidR="00D90B40" w:rsidRPr="00E156EF" w:rsidRDefault="00D90B40" w:rsidP="00D90B40">
      <w:pPr>
        <w:spacing w:after="240"/>
        <w:ind w:left="2160"/>
        <w:jc w:val="both"/>
        <w:rPr>
          <w:rFonts w:ascii="Arial" w:hAnsi="Arial" w:cs="Arial"/>
          <w:b/>
        </w:rPr>
      </w:pPr>
      <w:r w:rsidRPr="00E156EF">
        <w:rPr>
          <w:rFonts w:ascii="Arial" w:hAnsi="Arial" w:cs="Arial"/>
          <w:b/>
        </w:rPr>
        <w:t>Annual Limits for Direct Subsidized Loans and Direct Unsubsidized Loans</w:t>
      </w:r>
    </w:p>
    <w:p w14:paraId="5BB23BA0" w14:textId="70023C18" w:rsidR="00A36360" w:rsidRPr="00A36360" w:rsidRDefault="00A36360" w:rsidP="00A36360">
      <w:pPr>
        <w:spacing w:after="240"/>
        <w:ind w:left="2160"/>
        <w:jc w:val="both"/>
        <w:rPr>
          <w:rFonts w:ascii="Arial" w:hAnsi="Arial" w:cs="Arial"/>
          <w:bCs/>
        </w:rPr>
      </w:pPr>
      <w:r w:rsidRPr="00A36360">
        <w:rPr>
          <w:rFonts w:ascii="Arial" w:hAnsi="Arial" w:cs="Arial"/>
          <w:bCs/>
        </w:rPr>
        <w:t>Direct Subsidized Loans and Direct Unsubsidized Loans have annual loan limits that vary based on the student's grade level and (for Direct Unsubsidized Loans) dependency status (34 CFR 685.203). The annual loan limit is the maximum amount that a student may receive for an academic year.</w:t>
      </w:r>
    </w:p>
    <w:p w14:paraId="0B88AB32" w14:textId="2FC8025C" w:rsidR="00A36360" w:rsidRPr="00A36360" w:rsidRDefault="00A36360" w:rsidP="00A36360">
      <w:pPr>
        <w:spacing w:after="240"/>
        <w:ind w:left="2160"/>
        <w:jc w:val="both"/>
        <w:rPr>
          <w:rFonts w:ascii="Arial" w:hAnsi="Arial" w:cs="Arial"/>
          <w:bCs/>
        </w:rPr>
      </w:pPr>
      <w:r w:rsidRPr="00A36360">
        <w:rPr>
          <w:rFonts w:ascii="Arial" w:hAnsi="Arial" w:cs="Arial"/>
          <w:bCs/>
        </w:rPr>
        <w:t>For undergraduate students there is a combined annual loan limit for Direct Subsidized Loans and Direct Unsubsidized Loans, of which not more than a specified amount may be comprised of Direct Subsidized Loans (“annual subsidized maximum”).</w:t>
      </w:r>
    </w:p>
    <w:p w14:paraId="68616D2E" w14:textId="151C4D32" w:rsidR="00D90B40" w:rsidRPr="00E156EF" w:rsidRDefault="00A36360" w:rsidP="00A36360">
      <w:pPr>
        <w:spacing w:after="240"/>
        <w:ind w:left="2160"/>
        <w:jc w:val="both"/>
        <w:rPr>
          <w:rFonts w:ascii="Arial" w:hAnsi="Arial" w:cs="Arial"/>
          <w:bCs/>
        </w:rPr>
      </w:pPr>
      <w:r w:rsidRPr="00A36360">
        <w:rPr>
          <w:rFonts w:ascii="Arial" w:hAnsi="Arial" w:cs="Arial"/>
          <w:bCs/>
        </w:rPr>
        <w:t>For dependent undergraduate students (excluding dependent undergraduates whose parents are unable to borrow Direct PLUS Loans), the combined Direct Subsidized Loan and Direct Unsubsidized Loan annual loan limits are (34 CFR 685.203(a) and (b):</w:t>
      </w:r>
    </w:p>
    <w:p w14:paraId="7CA66675" w14:textId="77777777" w:rsidR="00D90B40" w:rsidRPr="00E156EF" w:rsidRDefault="00D90B40" w:rsidP="00D90B40">
      <w:pPr>
        <w:spacing w:after="240"/>
        <w:ind w:left="2880" w:hanging="720"/>
        <w:jc w:val="both"/>
        <w:rPr>
          <w:rFonts w:ascii="Arial" w:hAnsi="Arial" w:cs="Arial"/>
          <w:bCs/>
        </w:rPr>
      </w:pPr>
      <w:r w:rsidRPr="00E156EF">
        <w:rPr>
          <w:rFonts w:ascii="Arial" w:hAnsi="Arial" w:cs="Arial"/>
          <w:bCs/>
        </w:rPr>
        <w:t>•</w:t>
      </w:r>
      <w:r w:rsidRPr="00E156EF">
        <w:rPr>
          <w:rFonts w:ascii="Arial" w:hAnsi="Arial" w:cs="Arial"/>
          <w:bCs/>
        </w:rPr>
        <w:tab/>
        <w:t xml:space="preserve">$5,500 for </w:t>
      </w:r>
      <w:r w:rsidRPr="00E156EF">
        <w:rPr>
          <w:rFonts w:ascii="Arial" w:hAnsi="Arial" w:cs="Arial"/>
          <w:b/>
        </w:rPr>
        <w:t>dependent first-year undergraduates</w:t>
      </w:r>
      <w:r w:rsidRPr="00E156EF">
        <w:rPr>
          <w:rFonts w:ascii="Arial" w:hAnsi="Arial" w:cs="Arial"/>
          <w:bCs/>
        </w:rPr>
        <w:t>, not more than $3,500 of which may be subsidized:</w:t>
      </w:r>
    </w:p>
    <w:p w14:paraId="16B59429" w14:textId="77777777" w:rsidR="00D90B40" w:rsidRPr="00E156EF" w:rsidRDefault="00D90B40" w:rsidP="00D90B40">
      <w:pPr>
        <w:spacing w:after="240"/>
        <w:ind w:left="2880" w:hanging="720"/>
        <w:jc w:val="both"/>
        <w:rPr>
          <w:rFonts w:ascii="Arial" w:hAnsi="Arial" w:cs="Arial"/>
          <w:bCs/>
        </w:rPr>
      </w:pPr>
      <w:r w:rsidRPr="00E156EF">
        <w:rPr>
          <w:rFonts w:ascii="Arial" w:hAnsi="Arial" w:cs="Arial"/>
          <w:bCs/>
        </w:rPr>
        <w:t>•</w:t>
      </w:r>
      <w:r w:rsidRPr="00E156EF">
        <w:rPr>
          <w:rFonts w:ascii="Arial" w:hAnsi="Arial" w:cs="Arial"/>
          <w:bCs/>
        </w:rPr>
        <w:tab/>
        <w:t xml:space="preserve">$6,500 for </w:t>
      </w:r>
      <w:r w:rsidRPr="00E156EF">
        <w:rPr>
          <w:rFonts w:ascii="Arial" w:hAnsi="Arial" w:cs="Arial"/>
          <w:b/>
        </w:rPr>
        <w:t>dependent second-year undergraduates</w:t>
      </w:r>
      <w:r w:rsidRPr="00E156EF">
        <w:rPr>
          <w:rFonts w:ascii="Arial" w:hAnsi="Arial" w:cs="Arial"/>
          <w:bCs/>
        </w:rPr>
        <w:t>, not more than $4,500 of which may be subsidized; and</w:t>
      </w:r>
    </w:p>
    <w:p w14:paraId="4F01B3E6" w14:textId="77777777" w:rsidR="00D90B40" w:rsidRPr="00E156EF" w:rsidRDefault="00D90B40" w:rsidP="00D90B40">
      <w:pPr>
        <w:spacing w:after="240"/>
        <w:ind w:left="2880" w:hanging="720"/>
        <w:jc w:val="both"/>
        <w:rPr>
          <w:rFonts w:ascii="Arial" w:hAnsi="Arial" w:cs="Arial"/>
          <w:bCs/>
        </w:rPr>
      </w:pPr>
      <w:r w:rsidRPr="00E156EF">
        <w:rPr>
          <w:rFonts w:ascii="Arial" w:hAnsi="Arial" w:cs="Arial"/>
          <w:bCs/>
        </w:rPr>
        <w:t>•</w:t>
      </w:r>
      <w:r w:rsidRPr="00E156EF">
        <w:rPr>
          <w:rFonts w:ascii="Arial" w:hAnsi="Arial" w:cs="Arial"/>
          <w:bCs/>
        </w:rPr>
        <w:tab/>
        <w:t xml:space="preserve">$7,500 for </w:t>
      </w:r>
      <w:r w:rsidRPr="00E156EF">
        <w:rPr>
          <w:rFonts w:ascii="Arial" w:hAnsi="Arial" w:cs="Arial"/>
          <w:b/>
        </w:rPr>
        <w:t>dependent third-, fourth-, and fifth-year undergraduates</w:t>
      </w:r>
      <w:r w:rsidRPr="00E156EF">
        <w:rPr>
          <w:rFonts w:ascii="Arial" w:hAnsi="Arial" w:cs="Arial"/>
          <w:bCs/>
        </w:rPr>
        <w:t>, not more than $5,500 of which may be subsidized.</w:t>
      </w:r>
    </w:p>
    <w:p w14:paraId="0F5F5194" w14:textId="7F91EFF1" w:rsidR="00D90B40" w:rsidRPr="00E156EF" w:rsidRDefault="00A36360" w:rsidP="00D90B40">
      <w:pPr>
        <w:spacing w:after="240"/>
        <w:ind w:left="2160"/>
        <w:jc w:val="both"/>
        <w:rPr>
          <w:rFonts w:ascii="Arial" w:hAnsi="Arial" w:cs="Arial"/>
          <w:b/>
        </w:rPr>
      </w:pPr>
      <w:r w:rsidRPr="00A36360">
        <w:rPr>
          <w:rFonts w:ascii="Arial" w:hAnsi="Arial" w:cs="Arial"/>
          <w:bCs/>
        </w:rPr>
        <w:t>For independent undergraduate students (and for dependent undergraduate students whose parents are unable to obtain Direct PLUS Loans), the annual loan limits are (34 CFR 685.203(a) and (c):</w:t>
      </w:r>
    </w:p>
    <w:p w14:paraId="56C95821" w14:textId="77777777" w:rsidR="00D90B40" w:rsidRPr="00AE2C16" w:rsidRDefault="00D90B40" w:rsidP="00D90B40">
      <w:pPr>
        <w:spacing w:after="240"/>
        <w:ind w:left="2880" w:hanging="720"/>
        <w:jc w:val="both"/>
        <w:rPr>
          <w:rFonts w:ascii="Arial" w:hAnsi="Arial" w:cs="Arial"/>
          <w:bCs/>
        </w:rPr>
      </w:pPr>
      <w:r w:rsidRPr="00AE2C16">
        <w:rPr>
          <w:rFonts w:ascii="Arial" w:hAnsi="Arial" w:cs="Arial"/>
          <w:bCs/>
        </w:rPr>
        <w:lastRenderedPageBreak/>
        <w:t>•</w:t>
      </w:r>
      <w:r w:rsidRPr="00AE2C16">
        <w:rPr>
          <w:rFonts w:ascii="Arial" w:hAnsi="Arial" w:cs="Arial"/>
          <w:bCs/>
        </w:rPr>
        <w:tab/>
        <w:t xml:space="preserve">$9,500 for </w:t>
      </w:r>
      <w:r w:rsidRPr="00AE2C16">
        <w:rPr>
          <w:rFonts w:ascii="Arial" w:hAnsi="Arial" w:cs="Arial"/>
          <w:b/>
        </w:rPr>
        <w:t>independent first-year undergraduates</w:t>
      </w:r>
      <w:r w:rsidRPr="00AE2C16">
        <w:rPr>
          <w:rFonts w:ascii="Arial" w:hAnsi="Arial" w:cs="Arial"/>
          <w:bCs/>
        </w:rPr>
        <w:t>, not more than $3,500 of which may be subsidized;</w:t>
      </w:r>
    </w:p>
    <w:p w14:paraId="0546E121" w14:textId="77777777" w:rsidR="00D90B40" w:rsidRPr="00AE2C16" w:rsidRDefault="00D90B40" w:rsidP="00D90B40">
      <w:pPr>
        <w:spacing w:after="240"/>
        <w:ind w:left="2880" w:hanging="720"/>
        <w:jc w:val="both"/>
        <w:rPr>
          <w:rFonts w:ascii="Arial" w:hAnsi="Arial" w:cs="Arial"/>
          <w:bCs/>
        </w:rPr>
      </w:pPr>
      <w:r w:rsidRPr="00AE2C16">
        <w:rPr>
          <w:rFonts w:ascii="Arial" w:hAnsi="Arial" w:cs="Arial"/>
          <w:bCs/>
        </w:rPr>
        <w:t>•</w:t>
      </w:r>
      <w:r w:rsidRPr="00AE2C16">
        <w:rPr>
          <w:rFonts w:ascii="Arial" w:hAnsi="Arial" w:cs="Arial"/>
          <w:bCs/>
        </w:rPr>
        <w:tab/>
        <w:t xml:space="preserve">$10,500 for </w:t>
      </w:r>
      <w:r w:rsidRPr="00AE2C16">
        <w:rPr>
          <w:rFonts w:ascii="Arial" w:hAnsi="Arial" w:cs="Arial"/>
          <w:b/>
        </w:rPr>
        <w:t>independent second-year undergraduates</w:t>
      </w:r>
      <w:r w:rsidRPr="00AE2C16">
        <w:rPr>
          <w:rFonts w:ascii="Arial" w:hAnsi="Arial" w:cs="Arial"/>
          <w:bCs/>
        </w:rPr>
        <w:t>, not more than $4,500 of which may be subsidized; and</w:t>
      </w:r>
    </w:p>
    <w:p w14:paraId="0B375B20" w14:textId="77777777" w:rsidR="00D90B40" w:rsidRPr="00AE2C16" w:rsidRDefault="00D90B40" w:rsidP="00D90B40">
      <w:pPr>
        <w:spacing w:after="240"/>
        <w:ind w:left="2880" w:hanging="720"/>
        <w:jc w:val="both"/>
        <w:rPr>
          <w:rFonts w:ascii="Arial" w:hAnsi="Arial" w:cs="Arial"/>
          <w:bCs/>
        </w:rPr>
      </w:pPr>
      <w:r w:rsidRPr="00AE2C16">
        <w:rPr>
          <w:rFonts w:ascii="Arial" w:hAnsi="Arial" w:cs="Arial"/>
          <w:bCs/>
        </w:rPr>
        <w:t>•</w:t>
      </w:r>
      <w:r w:rsidRPr="00AE2C16">
        <w:rPr>
          <w:rFonts w:ascii="Arial" w:hAnsi="Arial" w:cs="Arial"/>
          <w:bCs/>
        </w:rPr>
        <w:tab/>
        <w:t xml:space="preserve">$12,500 for </w:t>
      </w:r>
      <w:r w:rsidRPr="00AE2C16">
        <w:rPr>
          <w:rFonts w:ascii="Arial" w:hAnsi="Arial" w:cs="Arial"/>
          <w:b/>
        </w:rPr>
        <w:t>independent third-, fourth-, and fifth-year undergraduates</w:t>
      </w:r>
      <w:r w:rsidRPr="00AE2C16">
        <w:rPr>
          <w:rFonts w:ascii="Arial" w:hAnsi="Arial" w:cs="Arial"/>
          <w:bCs/>
        </w:rPr>
        <w:t>, not more than $5,500 of which may be subsidized.</w:t>
      </w:r>
    </w:p>
    <w:p w14:paraId="6BC34949" w14:textId="77777777" w:rsidR="00A36360" w:rsidRPr="00A36360" w:rsidRDefault="00A36360" w:rsidP="00A36360">
      <w:pPr>
        <w:spacing w:after="240"/>
        <w:ind w:left="2160"/>
        <w:jc w:val="both"/>
        <w:rPr>
          <w:rFonts w:ascii="Arial" w:hAnsi="Arial" w:cs="Arial"/>
          <w:bCs/>
        </w:rPr>
      </w:pPr>
      <w:r w:rsidRPr="00A36360">
        <w:rPr>
          <w:rFonts w:ascii="Arial" w:hAnsi="Arial" w:cs="Arial"/>
          <w:bCs/>
        </w:rPr>
        <w:t>Note that the annual subsidized maximum is the same for both dependent and independent undergraduate students. However, the combined subsidized/unsubsidized annual loan limits are higher for independent undergraduates and for dependent undergraduates whose parents are unable to borrow Direct PLUS Loans.</w:t>
      </w:r>
    </w:p>
    <w:p w14:paraId="3E022AFE" w14:textId="77777777" w:rsidR="00A36360" w:rsidRPr="00A36360" w:rsidRDefault="00A36360" w:rsidP="00A36360">
      <w:pPr>
        <w:spacing w:after="240"/>
        <w:ind w:left="2160"/>
        <w:jc w:val="both"/>
        <w:rPr>
          <w:rFonts w:ascii="Arial" w:hAnsi="Arial" w:cs="Arial"/>
          <w:bCs/>
        </w:rPr>
      </w:pPr>
      <w:r w:rsidRPr="00A36360">
        <w:rPr>
          <w:rFonts w:ascii="Arial" w:hAnsi="Arial" w:cs="Arial"/>
          <w:bCs/>
        </w:rPr>
        <w:t>An undergraduate student who is not eligible for a Direct Subsidized Loan may receive up to the total combined subsidized/unsubsidized annual loan limit in Direct Unsubsidized Loans.</w:t>
      </w:r>
    </w:p>
    <w:p w14:paraId="4C0D6C0E" w14:textId="7ABEB9E2" w:rsidR="00D90B40" w:rsidRPr="00AE2C16" w:rsidRDefault="00A36360" w:rsidP="00A36360">
      <w:pPr>
        <w:spacing w:after="240"/>
        <w:ind w:left="2160"/>
        <w:jc w:val="both"/>
        <w:rPr>
          <w:rFonts w:ascii="Arial" w:hAnsi="Arial" w:cs="Arial"/>
          <w:bCs/>
        </w:rPr>
      </w:pPr>
      <w:r w:rsidRPr="00A36360">
        <w:rPr>
          <w:rFonts w:ascii="Arial" w:hAnsi="Arial" w:cs="Arial"/>
          <w:bCs/>
        </w:rPr>
        <w:t xml:space="preserve">For undergraduate students, the annual loan limit must be prorated if the student is enrolled in a program (or in the remaining portion of a program) that is less than an academic year in length. (For details on loan proration requirements, see Volume 8, of the 2024- 2025 FSA Handbook. The FSA Handbook is available at </w:t>
      </w:r>
      <w:hyperlink r:id="rId67">
        <w:r w:rsidRPr="00A36360">
          <w:rPr>
            <w:rFonts w:ascii="Arial" w:hAnsi="Arial" w:cs="Arial"/>
            <w:color w:val="2D74B5"/>
            <w:u w:val="single" w:color="2D74B5"/>
          </w:rPr>
          <w:t>https://fsapartners.ed.gov/knowledge-center/fsa-handbook</w:t>
        </w:r>
        <w:r w:rsidRPr="00A36360">
          <w:rPr>
            <w:rFonts w:ascii="Arial" w:hAnsi="Arial" w:cs="Arial"/>
            <w:color w:val="39205E"/>
          </w:rPr>
          <w:t>.</w:t>
        </w:r>
      </w:hyperlink>
      <w:r w:rsidRPr="00A36360">
        <w:rPr>
          <w:rFonts w:ascii="Arial" w:hAnsi="Arial" w:cs="Arial"/>
        </w:rPr>
        <w:t>)</w:t>
      </w:r>
    </w:p>
    <w:p w14:paraId="39F720B0" w14:textId="6DC96B5E" w:rsidR="00D90B40" w:rsidRPr="00A36360" w:rsidRDefault="00A36360" w:rsidP="00D90B40">
      <w:pPr>
        <w:spacing w:after="240"/>
        <w:ind w:left="2160"/>
        <w:jc w:val="both"/>
        <w:rPr>
          <w:rFonts w:ascii="Arial" w:hAnsi="Arial" w:cs="Arial"/>
          <w:bCs/>
        </w:rPr>
      </w:pPr>
      <w:r w:rsidRPr="00A36360">
        <w:rPr>
          <w:rFonts w:ascii="Arial" w:hAnsi="Arial" w:cs="Arial"/>
          <w:bCs/>
        </w:rPr>
        <w:t>For graduate and professional degree students, there is an annual loan limit only for Direct Unsubsidized Loans (graduate and professional students are not eligible to receive Direct Subsidized Loans). The annual loan limit for graduate and professional students is $20,500 in Direct Unsubsidized Loans (34 CFR 685.203(b)(2)(iii) and 685.203(c)(2)(v)).</w:t>
      </w:r>
    </w:p>
    <w:p w14:paraId="58ADE457" w14:textId="3C7BF645" w:rsidR="00D90B40" w:rsidRPr="00A36360" w:rsidRDefault="00A36360" w:rsidP="00D90B40">
      <w:pPr>
        <w:spacing w:after="240"/>
        <w:ind w:left="2160"/>
        <w:jc w:val="both"/>
        <w:rPr>
          <w:rFonts w:ascii="Arial" w:hAnsi="Arial" w:cs="Arial"/>
          <w:bCs/>
        </w:rPr>
      </w:pPr>
      <w:r w:rsidRPr="00A36360">
        <w:rPr>
          <w:rFonts w:ascii="Arial" w:hAnsi="Arial" w:cs="Arial"/>
        </w:rPr>
        <w:t xml:space="preserve">There are higher Direct Unsubsidized Loan annual loan limits for graduate and professional students who are enrolled in certain health professions programs. (For details on the increased annual loan limits for certain health professions students, see Volume 8, of the 2024-2025 </w:t>
      </w:r>
      <w:r w:rsidRPr="00A36360">
        <w:rPr>
          <w:rFonts w:ascii="Arial" w:hAnsi="Arial" w:cs="Arial"/>
          <w:i/>
        </w:rPr>
        <w:t>FSA Handbook</w:t>
      </w:r>
      <w:r w:rsidRPr="00A36360">
        <w:rPr>
          <w:rFonts w:ascii="Arial" w:hAnsi="Arial" w:cs="Arial"/>
        </w:rPr>
        <w:t xml:space="preserve">. The </w:t>
      </w:r>
      <w:r w:rsidRPr="00A36360">
        <w:rPr>
          <w:rFonts w:ascii="Arial" w:hAnsi="Arial" w:cs="Arial"/>
          <w:i/>
        </w:rPr>
        <w:t xml:space="preserve">FSA Handbook </w:t>
      </w:r>
      <w:r w:rsidRPr="00A36360">
        <w:rPr>
          <w:rFonts w:ascii="Arial" w:hAnsi="Arial" w:cs="Arial"/>
        </w:rPr>
        <w:t xml:space="preserve">is available at </w:t>
      </w:r>
      <w:hyperlink r:id="rId68">
        <w:r w:rsidRPr="00A36360">
          <w:rPr>
            <w:rFonts w:ascii="Arial" w:hAnsi="Arial" w:cs="Arial"/>
            <w:color w:val="2D74B5"/>
            <w:u w:val="single" w:color="2D74B5"/>
          </w:rPr>
          <w:t>https://fsapartners.ed.gov/knowledge-center/fsa-handbook</w:t>
        </w:r>
      </w:hyperlink>
      <w:r w:rsidRPr="00A36360">
        <w:rPr>
          <w:rFonts w:ascii="Arial" w:hAnsi="Arial" w:cs="Arial"/>
        </w:rPr>
        <w:t>.)</w:t>
      </w:r>
    </w:p>
    <w:p w14:paraId="221DC6BB" w14:textId="77777777" w:rsidR="00D90B40" w:rsidRPr="00A36360" w:rsidRDefault="00D90B40" w:rsidP="00D90B40">
      <w:pPr>
        <w:spacing w:after="240"/>
        <w:ind w:left="2160"/>
        <w:jc w:val="both"/>
        <w:rPr>
          <w:rFonts w:ascii="Arial" w:hAnsi="Arial" w:cs="Arial"/>
          <w:b/>
        </w:rPr>
      </w:pPr>
      <w:r w:rsidRPr="00E156EF">
        <w:rPr>
          <w:rFonts w:ascii="Arial" w:hAnsi="Arial" w:cs="Arial"/>
          <w:b/>
        </w:rPr>
        <w:t>Aggregate Loan Limits for Direct Subsidized Loans and Direct Unsubsidized Loans</w:t>
      </w:r>
    </w:p>
    <w:p w14:paraId="6B5DC7B3" w14:textId="0E797310" w:rsidR="00D90B40" w:rsidRPr="00A36360" w:rsidRDefault="00A36360" w:rsidP="00D90B40">
      <w:pPr>
        <w:spacing w:after="240"/>
        <w:ind w:left="2160"/>
        <w:jc w:val="both"/>
        <w:rPr>
          <w:rFonts w:ascii="Arial" w:hAnsi="Arial" w:cs="Arial"/>
          <w:bCs/>
        </w:rPr>
      </w:pPr>
      <w:r w:rsidRPr="00A36360">
        <w:rPr>
          <w:rFonts w:ascii="Arial" w:hAnsi="Arial" w:cs="Arial"/>
        </w:rPr>
        <w:t>Under 34 CFR 685.203(d) and (e) the aggregate loan limits for Direct Subsidized Loans and Direct Unsubsidized Loans (a borrower's maximum allowable outstanding loan debt, excluding capitalized interest, but including amounts borrowed under the Federal Family Education Loan Program prior to 2010) are:</w:t>
      </w:r>
    </w:p>
    <w:p w14:paraId="07C32115" w14:textId="77777777" w:rsidR="00D90B40" w:rsidRPr="00BF669C" w:rsidRDefault="00D90B40" w:rsidP="00D90B40">
      <w:pPr>
        <w:spacing w:after="240"/>
        <w:ind w:left="2880" w:hanging="720"/>
        <w:jc w:val="both"/>
        <w:rPr>
          <w:rFonts w:ascii="Arial" w:hAnsi="Arial" w:cs="Arial"/>
          <w:bCs/>
        </w:rPr>
      </w:pPr>
      <w:r w:rsidRPr="00BF669C">
        <w:rPr>
          <w:rFonts w:ascii="Arial" w:hAnsi="Arial" w:cs="Arial"/>
          <w:bCs/>
        </w:rPr>
        <w:t>•</w:t>
      </w:r>
      <w:r w:rsidRPr="00BF669C">
        <w:rPr>
          <w:rFonts w:ascii="Arial" w:hAnsi="Arial" w:cs="Arial"/>
          <w:bCs/>
        </w:rPr>
        <w:tab/>
        <w:t xml:space="preserve">$31,000 for </w:t>
      </w:r>
      <w:r w:rsidRPr="00BF669C">
        <w:rPr>
          <w:rFonts w:ascii="Arial" w:hAnsi="Arial" w:cs="Arial"/>
          <w:b/>
        </w:rPr>
        <w:t>dependent undergraduate students</w:t>
      </w:r>
      <w:r w:rsidRPr="00BF669C">
        <w:rPr>
          <w:rFonts w:ascii="Arial" w:hAnsi="Arial" w:cs="Arial"/>
          <w:bCs/>
        </w:rPr>
        <w:t xml:space="preserve"> (except for dependent students whose parents are unable to borrow Direct PLUS Loans), not more than $23,000 of which may be subsidized;</w:t>
      </w:r>
    </w:p>
    <w:p w14:paraId="63D8CA44" w14:textId="77777777" w:rsidR="00D90B40" w:rsidRPr="00BF669C" w:rsidRDefault="00D90B40" w:rsidP="00D90B40">
      <w:pPr>
        <w:spacing w:after="240"/>
        <w:ind w:left="2880" w:hanging="720"/>
        <w:jc w:val="both"/>
        <w:rPr>
          <w:rFonts w:ascii="Arial" w:hAnsi="Arial" w:cs="Arial"/>
          <w:bCs/>
        </w:rPr>
      </w:pPr>
      <w:r w:rsidRPr="00BF669C">
        <w:rPr>
          <w:rFonts w:ascii="Arial" w:hAnsi="Arial" w:cs="Arial"/>
          <w:bCs/>
        </w:rPr>
        <w:t>•</w:t>
      </w:r>
      <w:r w:rsidRPr="00BF669C">
        <w:rPr>
          <w:rFonts w:ascii="Arial" w:hAnsi="Arial" w:cs="Arial"/>
          <w:bCs/>
        </w:rPr>
        <w:tab/>
        <w:t xml:space="preserve">$57,500 for </w:t>
      </w:r>
      <w:r w:rsidRPr="00BF669C">
        <w:rPr>
          <w:rFonts w:ascii="Arial" w:hAnsi="Arial" w:cs="Arial"/>
          <w:b/>
        </w:rPr>
        <w:t>independent undergraduate students</w:t>
      </w:r>
      <w:r w:rsidRPr="00BF669C">
        <w:rPr>
          <w:rFonts w:ascii="Arial" w:hAnsi="Arial" w:cs="Arial"/>
          <w:bCs/>
        </w:rPr>
        <w:t xml:space="preserve"> (and for dependent students whose parents are unable to borrow Direct PLUS Loans, not more than $23,000 of which may be subsidized; and</w:t>
      </w:r>
    </w:p>
    <w:p w14:paraId="0ED46FEB" w14:textId="77777777" w:rsidR="00D90B40" w:rsidRPr="00BF669C" w:rsidRDefault="00D90B40" w:rsidP="00D90B40">
      <w:pPr>
        <w:spacing w:after="240"/>
        <w:ind w:left="2880" w:hanging="720"/>
        <w:jc w:val="both"/>
        <w:rPr>
          <w:rFonts w:ascii="Arial" w:hAnsi="Arial" w:cs="Arial"/>
          <w:bCs/>
        </w:rPr>
      </w:pPr>
      <w:r w:rsidRPr="00BF669C">
        <w:rPr>
          <w:rFonts w:ascii="Arial" w:hAnsi="Arial" w:cs="Arial"/>
          <w:bCs/>
        </w:rPr>
        <w:t>•</w:t>
      </w:r>
      <w:r w:rsidRPr="00BF669C">
        <w:rPr>
          <w:rFonts w:ascii="Arial" w:hAnsi="Arial" w:cs="Arial"/>
          <w:bCs/>
        </w:rPr>
        <w:tab/>
        <w:t xml:space="preserve">$138,500 for </w:t>
      </w:r>
      <w:r w:rsidRPr="00BF669C">
        <w:rPr>
          <w:rFonts w:ascii="Arial" w:hAnsi="Arial" w:cs="Arial"/>
          <w:b/>
        </w:rPr>
        <w:t>graduate and professional students</w:t>
      </w:r>
      <w:r w:rsidRPr="00BF669C">
        <w:rPr>
          <w:rFonts w:ascii="Arial" w:hAnsi="Arial" w:cs="Arial"/>
          <w:bCs/>
        </w:rPr>
        <w:t xml:space="preserve">, not more than $65,500 of which may be subsidized. The total $138,500 limit includes </w:t>
      </w:r>
      <w:r w:rsidRPr="00BF669C">
        <w:rPr>
          <w:rFonts w:ascii="Arial" w:hAnsi="Arial" w:cs="Arial"/>
          <w:bCs/>
        </w:rPr>
        <w:lastRenderedPageBreak/>
        <w:t>loans for undergraduate study. The $65,500 subsidized maximum includes subsidized loans received for undergraduate study and subsidized loans received by graduate and professional students for periods of enrollment beginning before July 1, 2012, when graduate and professional students were eligible to receive subsidized loans.</w:t>
      </w:r>
    </w:p>
    <w:p w14:paraId="06D63C5A" w14:textId="77777777" w:rsidR="00D90B40" w:rsidRPr="00E156EF" w:rsidRDefault="00D90B40" w:rsidP="00D90B40">
      <w:pPr>
        <w:spacing w:after="240"/>
        <w:ind w:left="2160"/>
        <w:jc w:val="both"/>
        <w:rPr>
          <w:rFonts w:ascii="Arial" w:hAnsi="Arial" w:cs="Arial"/>
          <w:b/>
        </w:rPr>
      </w:pPr>
      <w:r w:rsidRPr="00E156EF">
        <w:rPr>
          <w:rFonts w:ascii="Arial" w:hAnsi="Arial" w:cs="Arial"/>
          <w:b/>
        </w:rPr>
        <w:t>Direct PLUS (PLUS)</w:t>
      </w:r>
    </w:p>
    <w:p w14:paraId="04E989FA" w14:textId="1EAC7EA5" w:rsidR="00A36360" w:rsidRPr="00A36360" w:rsidRDefault="00A36360" w:rsidP="00A36360">
      <w:pPr>
        <w:spacing w:after="240"/>
        <w:ind w:left="2160"/>
        <w:jc w:val="both"/>
        <w:rPr>
          <w:rFonts w:ascii="Arial" w:hAnsi="Arial" w:cs="Arial"/>
          <w:bCs/>
        </w:rPr>
      </w:pPr>
      <w:r w:rsidRPr="00A36360">
        <w:rPr>
          <w:rFonts w:ascii="Arial" w:hAnsi="Arial" w:cs="Arial"/>
          <w:bCs/>
        </w:rPr>
        <w:t xml:space="preserve">Direct PLUS Loans are available to parents of dependent undergraduate students and to graduate and professional students (34 CFR 685.200(b) and (c)(2)). A parent or </w:t>
      </w:r>
      <w:r w:rsidRPr="00F21C8A">
        <w:rPr>
          <w:rFonts w:ascii="Arial" w:hAnsi="Arial" w:cs="Arial"/>
          <w:bCs/>
        </w:rPr>
        <w:t>graduate/professional student with an adverse credit history is prohibited from obtaining a Direct PLUS Loan unless he or she meets additional criteria. A parent must meet the same</w:t>
      </w:r>
      <w:r w:rsidRPr="00F21C8A">
        <w:rPr>
          <w:rFonts w:ascii="Arial" w:hAnsi="Arial" w:cs="Arial"/>
        </w:rPr>
        <w:t xml:space="preserve"> </w:t>
      </w:r>
      <w:r w:rsidR="00F21C8A" w:rsidRPr="00F21C8A">
        <w:rPr>
          <w:rFonts w:ascii="Arial" w:hAnsi="Arial" w:cs="Arial"/>
        </w:rPr>
        <w:t>citizenship and residency requirements as a student. Similarly, a parent who owes a refund on an SFA grant or is in default on an SFA loan is ineligible for a PLUS loan</w:t>
      </w:r>
      <w:r w:rsidR="00F21C8A">
        <w:rPr>
          <w:rFonts w:ascii="Arial" w:hAnsi="Arial" w:cs="Arial"/>
        </w:rPr>
        <w:t xml:space="preserve"> </w:t>
      </w:r>
      <w:r w:rsidRPr="00F21C8A">
        <w:rPr>
          <w:rFonts w:ascii="Arial" w:hAnsi="Arial" w:cs="Arial"/>
          <w:bCs/>
        </w:rPr>
        <w:t>unless satisfactory</w:t>
      </w:r>
      <w:r w:rsidRPr="00A36360">
        <w:rPr>
          <w:rFonts w:ascii="Arial" w:hAnsi="Arial" w:cs="Arial"/>
          <w:bCs/>
        </w:rPr>
        <w:t xml:space="preserve"> arrangements have been made to repay the grant or loan.</w:t>
      </w:r>
    </w:p>
    <w:p w14:paraId="241B0B71" w14:textId="43351999" w:rsidR="00D90B40" w:rsidRDefault="00A36360" w:rsidP="00555837">
      <w:pPr>
        <w:spacing w:after="240"/>
        <w:ind w:left="2160"/>
        <w:jc w:val="both"/>
        <w:rPr>
          <w:rFonts w:ascii="Arial" w:hAnsi="Arial" w:cs="Arial"/>
          <w:bCs/>
        </w:rPr>
      </w:pPr>
      <w:r w:rsidRPr="00A36360">
        <w:rPr>
          <w:rFonts w:ascii="Arial" w:hAnsi="Arial" w:cs="Arial"/>
          <w:bCs/>
        </w:rPr>
        <w:t xml:space="preserve">There are no fixed annual or aggregate loan limits for Direct PLUS Loans. A Direct PLUS loan may not exceed the student’s cost of attendance minus other financial aid awarded during the period of enrollment for that student (34 CFR 685.101(b), 685.200, and 34 CFR 685.203(f), (g), (h) and (j) also apply). </w:t>
      </w:r>
    </w:p>
    <w:p w14:paraId="1A922608" w14:textId="40C0BEA4" w:rsidR="00A36360" w:rsidRPr="00E156EF" w:rsidRDefault="00A36360" w:rsidP="00A36360">
      <w:pPr>
        <w:spacing w:after="240"/>
        <w:ind w:left="720"/>
        <w:jc w:val="both"/>
        <w:rPr>
          <w:rFonts w:ascii="Arial" w:hAnsi="Arial" w:cs="Arial"/>
          <w:bCs/>
        </w:rPr>
      </w:pPr>
      <w:r>
        <w:rPr>
          <w:rFonts w:ascii="Arial" w:hAnsi="Arial" w:cs="Arial"/>
          <w:bCs/>
          <w:i/>
          <w:iCs/>
          <w:color w:val="002060"/>
        </w:rPr>
        <w:t>b.</w:t>
      </w:r>
      <w:r w:rsidRPr="00E156EF">
        <w:rPr>
          <w:rFonts w:ascii="Arial" w:hAnsi="Arial" w:cs="Arial"/>
          <w:bCs/>
          <w:i/>
          <w:iCs/>
          <w:color w:val="002060"/>
        </w:rPr>
        <w:t xml:space="preserve"> Relates to Program</w:t>
      </w:r>
      <w:r>
        <w:rPr>
          <w:rFonts w:ascii="Arial" w:hAnsi="Arial" w:cs="Arial"/>
          <w:bCs/>
          <w:i/>
          <w:iCs/>
          <w:color w:val="002060"/>
        </w:rPr>
        <w:t>s</w:t>
      </w:r>
      <w:r w:rsidRPr="00E156EF">
        <w:rPr>
          <w:rFonts w:ascii="Arial" w:hAnsi="Arial" w:cs="Arial"/>
          <w:bCs/>
          <w:i/>
          <w:iCs/>
          <w:color w:val="002060"/>
        </w:rPr>
        <w:t xml:space="preserve"> Not Included in this FACCR</w:t>
      </w:r>
    </w:p>
    <w:p w14:paraId="3C92B4C9" w14:textId="77777777" w:rsidR="00D90B40" w:rsidRPr="00E156EF" w:rsidRDefault="00D90B40" w:rsidP="00D90B40">
      <w:pPr>
        <w:spacing w:after="240"/>
        <w:jc w:val="both"/>
        <w:rPr>
          <w:rFonts w:ascii="Arial" w:hAnsi="Arial" w:cs="Arial"/>
          <w:bCs/>
        </w:rPr>
      </w:pPr>
      <w:r w:rsidRPr="00E156EF">
        <w:rPr>
          <w:rFonts w:ascii="Arial" w:hAnsi="Arial" w:cs="Arial"/>
          <w:b/>
        </w:rPr>
        <w:t>2.</w:t>
      </w:r>
      <w:r w:rsidRPr="00E156EF">
        <w:rPr>
          <w:rFonts w:ascii="Arial" w:hAnsi="Arial" w:cs="Arial"/>
          <w:b/>
        </w:rPr>
        <w:tab/>
        <w:t>Eligibility for Group of Individuals or Area of Service Delivery</w:t>
      </w:r>
      <w:r>
        <w:rPr>
          <w:rFonts w:ascii="Arial" w:hAnsi="Arial" w:cs="Arial"/>
          <w:b/>
        </w:rPr>
        <w:t xml:space="preserve"> – </w:t>
      </w:r>
      <w:r>
        <w:rPr>
          <w:rFonts w:ascii="Arial" w:hAnsi="Arial" w:cs="Arial"/>
          <w:bCs/>
        </w:rPr>
        <w:t>Not Applicable</w:t>
      </w:r>
    </w:p>
    <w:p w14:paraId="632E487A" w14:textId="77777777" w:rsidR="00D90B40" w:rsidRPr="00E156EF" w:rsidRDefault="00D90B40" w:rsidP="00D90B40">
      <w:pPr>
        <w:spacing w:after="240"/>
        <w:jc w:val="both"/>
        <w:rPr>
          <w:rFonts w:ascii="Arial" w:hAnsi="Arial" w:cs="Arial"/>
          <w:bCs/>
        </w:rPr>
      </w:pPr>
      <w:r w:rsidRPr="00E156EF">
        <w:rPr>
          <w:rFonts w:ascii="Arial" w:hAnsi="Arial" w:cs="Arial"/>
          <w:b/>
        </w:rPr>
        <w:t>3.</w:t>
      </w:r>
      <w:r w:rsidRPr="00E156EF">
        <w:rPr>
          <w:rFonts w:ascii="Arial" w:hAnsi="Arial" w:cs="Arial"/>
          <w:b/>
        </w:rPr>
        <w:tab/>
        <w:t>Eligibility for Subrecipients</w:t>
      </w:r>
      <w:r>
        <w:rPr>
          <w:rFonts w:ascii="Arial" w:hAnsi="Arial" w:cs="Arial"/>
          <w:b/>
        </w:rPr>
        <w:t xml:space="preserve"> – </w:t>
      </w:r>
      <w:r>
        <w:rPr>
          <w:rFonts w:ascii="Arial" w:hAnsi="Arial" w:cs="Arial"/>
          <w:bCs/>
        </w:rPr>
        <w:t>Not Applicable</w:t>
      </w:r>
    </w:p>
    <w:p w14:paraId="206E20D6" w14:textId="027ABC95" w:rsidR="00D74E6A" w:rsidRPr="004A0AB6" w:rsidRDefault="00D90B40" w:rsidP="00D74E6A">
      <w:pPr>
        <w:spacing w:after="240"/>
        <w:jc w:val="both"/>
        <w:rPr>
          <w:rFonts w:ascii="Arial" w:hAnsi="Arial" w:cs="Arial"/>
          <w:b/>
          <w:highlight w:val="yellow"/>
        </w:rPr>
      </w:pPr>
      <w:r>
        <w:rPr>
          <w:rFonts w:ascii="Arial" w:hAnsi="Arial" w:cs="Arial"/>
          <w:bCs/>
          <w:i/>
        </w:rPr>
        <w:t>(Source: 202</w:t>
      </w:r>
      <w:r w:rsidR="004171E2">
        <w:rPr>
          <w:rFonts w:ascii="Arial" w:hAnsi="Arial" w:cs="Arial"/>
          <w:bCs/>
          <w:i/>
        </w:rPr>
        <w:t>5</w:t>
      </w:r>
      <w:r w:rsidRPr="005802DF">
        <w:rPr>
          <w:rFonts w:ascii="Arial" w:hAnsi="Arial" w:cs="Arial"/>
          <w:bCs/>
          <w:i/>
        </w:rPr>
        <w:t xml:space="preserve"> OMB Compliance Supplement, Part 5, Student Financial Assistance Cluster)</w:t>
      </w:r>
    </w:p>
    <w:p w14:paraId="0BC66884" w14:textId="77777777" w:rsidR="00E039F3" w:rsidRPr="00220BD0" w:rsidRDefault="00E039F3" w:rsidP="006672EA">
      <w:pPr>
        <w:pStyle w:val="Heading3"/>
        <w:jc w:val="both"/>
        <w:rPr>
          <w:rFonts w:cs="Arial"/>
          <w:sz w:val="24"/>
          <w:szCs w:val="24"/>
        </w:rPr>
      </w:pPr>
      <w:bookmarkStart w:id="38" w:name="_Toc210306810"/>
      <w:r w:rsidRPr="00220BD0">
        <w:rPr>
          <w:rFonts w:cs="Arial"/>
          <w:sz w:val="24"/>
          <w:szCs w:val="24"/>
        </w:rPr>
        <w:t>Additional Program Specific Information</w:t>
      </w:r>
      <w:bookmarkEnd w:id="38"/>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39A1637D" w:rsidR="00CD5DC7" w:rsidRPr="00AA5B05" w:rsidRDefault="00CD5DC7"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A36360">
        <w:rPr>
          <w:rFonts w:ascii="Arial" w:hAnsi="Arial" w:cs="Arial"/>
          <w:b/>
          <w:highlight w:val="yellow"/>
        </w:rPr>
        <w:t xml:space="preserve"> and</w:t>
      </w:r>
    </w:p>
    <w:p w14:paraId="0BAD7EED" w14:textId="622D6DA6" w:rsidR="006E46AD" w:rsidRPr="00AA5B05" w:rsidRDefault="006E46AD"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39" w:name="_Toc210306811"/>
      <w:r w:rsidRPr="00220BD0">
        <w:rPr>
          <w:rFonts w:cs="Arial"/>
          <w:sz w:val="24"/>
          <w:szCs w:val="24"/>
        </w:rPr>
        <w:t xml:space="preserve">Audit Objectives </w:t>
      </w:r>
      <w:r w:rsidR="001F23FF" w:rsidRPr="00220BD0">
        <w:rPr>
          <w:rFonts w:cs="Arial"/>
          <w:sz w:val="24"/>
          <w:szCs w:val="24"/>
        </w:rPr>
        <w:t>and Control Testing</w:t>
      </w:r>
      <w:bookmarkEnd w:id="39"/>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lastRenderedPageBreak/>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40" w:name="_Toc21030681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40"/>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 xml:space="preserve">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w:t>
            </w:r>
            <w:r w:rsidR="00AC366B" w:rsidRPr="00FD0E37">
              <w:rPr>
                <w:rFonts w:ascii="Arial" w:hAnsi="Arial" w:cs="Arial"/>
                <w:iCs/>
                <w:sz w:val="20"/>
              </w:rPr>
              <w:lastRenderedPageBreak/>
              <w:t>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4365E2D8"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A36360">
              <w:rPr>
                <w:rFonts w:ascii="Arial" w:hAnsi="Arial" w:cs="Arial"/>
                <w:i/>
                <w:sz w:val="20"/>
              </w:rPr>
              <w:t xml:space="preserve">– </w:t>
            </w:r>
            <w:r w:rsidR="00A36360">
              <w:rPr>
                <w:rFonts w:ascii="Arial" w:hAnsi="Arial" w:cs="Arial"/>
                <w:bCs/>
                <w:i/>
                <w:iCs/>
                <w:color w:val="002060"/>
              </w:rPr>
              <w:t xml:space="preserve">Not applicable </w:t>
            </w:r>
          </w:p>
          <w:p w14:paraId="3C56E491" w14:textId="7F8C4232" w:rsidR="0063267C" w:rsidRPr="00F00D94" w:rsidRDefault="0063267C" w:rsidP="00A36360">
            <w:pPr>
              <w:pBdr>
                <w:top w:val="single" w:sz="6" w:space="0" w:color="FFFFFF"/>
                <w:left w:val="single" w:sz="6" w:space="0" w:color="FFFFFF"/>
                <w:bottom w:val="single" w:sz="6" w:space="0" w:color="FFFFFF"/>
                <w:right w:val="single" w:sz="6" w:space="0" w:color="FFFFFF"/>
              </w:pBdr>
              <w:spacing w:after="240"/>
              <w:jc w:val="both"/>
              <w:rPr>
                <w:rFonts w:cs="Arial"/>
                <w:b/>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A36360" w:rsidRPr="00F00D94">
              <w:rPr>
                <w:rFonts w:ascii="Arial" w:hAnsi="Arial" w:cs="Arial"/>
                <w:i/>
                <w:sz w:val="20"/>
              </w:rPr>
              <w:t xml:space="preserve"> </w:t>
            </w:r>
            <w:r w:rsidR="00A36360">
              <w:rPr>
                <w:rFonts w:ascii="Arial" w:hAnsi="Arial" w:cs="Arial"/>
                <w:i/>
                <w:sz w:val="20"/>
              </w:rPr>
              <w:t xml:space="preserve">– </w:t>
            </w:r>
            <w:r w:rsidR="00A36360">
              <w:rPr>
                <w:rFonts w:ascii="Arial" w:hAnsi="Arial" w:cs="Arial"/>
                <w:bCs/>
                <w:i/>
                <w:iCs/>
                <w:color w:val="002060"/>
              </w:rPr>
              <w:t>Not applicable</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41" w:name="_Toc210306813"/>
      <w:r w:rsidRPr="00220BD0">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6E0DAB5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8827D6">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8827D6">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8827D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lastRenderedPageBreak/>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8827D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8827D6">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70"/>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42" w:name="J___PROGRAM_INCOME"/>
      <w:bookmarkStart w:id="43" w:name="L___REPORTING"/>
      <w:bookmarkStart w:id="44" w:name="_Toc442267701"/>
      <w:bookmarkStart w:id="45" w:name="_Toc210306814"/>
      <w:bookmarkEnd w:id="42"/>
      <w:bookmarkEnd w:id="43"/>
      <w:r w:rsidRPr="000706D1">
        <w:rPr>
          <w:rFonts w:cs="Arial"/>
          <w:sz w:val="24"/>
        </w:rPr>
        <w:lastRenderedPageBreak/>
        <w:t>L.  REPORTING</w:t>
      </w:r>
      <w:bookmarkEnd w:id="44"/>
      <w:bookmarkEnd w:id="45"/>
    </w:p>
    <w:p w14:paraId="13BAAFFB" w14:textId="16BE9FED" w:rsidR="007E5B12" w:rsidRPr="000706D1" w:rsidRDefault="00261D87" w:rsidP="006672EA">
      <w:pPr>
        <w:pStyle w:val="Heading3"/>
        <w:jc w:val="both"/>
        <w:rPr>
          <w:rFonts w:cs="Arial"/>
          <w:sz w:val="24"/>
          <w:szCs w:val="24"/>
        </w:rPr>
      </w:pPr>
      <w:bookmarkStart w:id="46" w:name="_Toc210306815"/>
      <w:r w:rsidRPr="000706D1">
        <w:rPr>
          <w:rFonts w:cs="Arial"/>
          <w:sz w:val="24"/>
          <w:szCs w:val="24"/>
        </w:rPr>
        <w:t xml:space="preserve">OMB </w:t>
      </w:r>
      <w:r w:rsidR="007E5B12" w:rsidRPr="000706D1">
        <w:rPr>
          <w:rFonts w:cs="Arial"/>
          <w:sz w:val="24"/>
          <w:szCs w:val="24"/>
        </w:rPr>
        <w:t>Compliance Requirements</w:t>
      </w:r>
      <w:bookmarkEnd w:id="46"/>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5A4293FA"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71"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289502F5"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r w:rsidR="004171E2">
        <w:rPr>
          <w:rFonts w:ascii="Arial" w:hAnsi="Arial" w:cs="Arial"/>
          <w:bCs/>
        </w:rPr>
        <w:t xml:space="preserve"> – </w:t>
      </w:r>
      <w:r w:rsidR="004171E2" w:rsidRPr="00A46E39">
        <w:rPr>
          <w:rFonts w:ascii="Arial" w:hAnsi="Arial" w:cs="Arial"/>
          <w:bCs/>
          <w:i/>
          <w:iCs/>
          <w:color w:val="002060"/>
        </w:rPr>
        <w:t>Not Applicable to this Cluster</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8827D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8827D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8827D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8827D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6E634841" w:rsidR="007C3D02" w:rsidRPr="00F00D94" w:rsidRDefault="007C3D02" w:rsidP="008827D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8827D6">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5BDA6646" w:rsidR="009F5C5E" w:rsidRPr="004171E2" w:rsidRDefault="009F5C5E" w:rsidP="006672EA">
      <w:pPr>
        <w:spacing w:after="240"/>
        <w:jc w:val="both"/>
        <w:rPr>
          <w:rFonts w:ascii="Arial" w:hAnsi="Arial" w:cs="Arial"/>
          <w:b/>
          <w:sz w:val="24"/>
          <w:szCs w:val="24"/>
        </w:rPr>
      </w:pPr>
      <w:r w:rsidRPr="000706D1">
        <w:rPr>
          <w:rFonts w:ascii="Arial" w:hAnsi="Arial" w:cs="Arial"/>
          <w:b/>
          <w:sz w:val="24"/>
          <w:szCs w:val="24"/>
        </w:rPr>
        <w:t xml:space="preserve">Part </w:t>
      </w:r>
      <w:r w:rsidR="004171E2">
        <w:rPr>
          <w:rFonts w:ascii="Arial" w:hAnsi="Arial" w:cs="Arial"/>
          <w:b/>
          <w:sz w:val="24"/>
          <w:szCs w:val="24"/>
        </w:rPr>
        <w:t>5</w:t>
      </w:r>
      <w:r w:rsidR="004171E2" w:rsidRPr="000706D1">
        <w:rPr>
          <w:rFonts w:ascii="Arial" w:hAnsi="Arial" w:cs="Arial"/>
          <w:b/>
          <w:sz w:val="24"/>
          <w:szCs w:val="24"/>
        </w:rPr>
        <w:t xml:space="preserve"> </w:t>
      </w:r>
      <w:r w:rsidRPr="000706D1">
        <w:rPr>
          <w:rFonts w:ascii="Arial" w:hAnsi="Arial" w:cs="Arial"/>
          <w:b/>
          <w:sz w:val="24"/>
          <w:szCs w:val="24"/>
        </w:rPr>
        <w:t>OMB Program Specific Requirements</w:t>
      </w:r>
    </w:p>
    <w:p w14:paraId="162C2761" w14:textId="77777777" w:rsidR="004171E2" w:rsidRPr="004171E2" w:rsidRDefault="004171E2" w:rsidP="004171E2">
      <w:pPr>
        <w:spacing w:after="240"/>
        <w:jc w:val="both"/>
        <w:rPr>
          <w:rFonts w:ascii="Arial" w:hAnsi="Arial" w:cs="Arial"/>
          <w:b/>
        </w:rPr>
      </w:pPr>
      <w:r w:rsidRPr="004171E2">
        <w:rPr>
          <w:rFonts w:ascii="Arial" w:hAnsi="Arial" w:cs="Arial"/>
          <w:b/>
        </w:rPr>
        <w:t>1.</w:t>
      </w:r>
      <w:r w:rsidRPr="004171E2">
        <w:rPr>
          <w:rFonts w:ascii="Arial" w:hAnsi="Arial" w:cs="Arial"/>
          <w:b/>
        </w:rPr>
        <w:tab/>
        <w:t>Financial Reporting</w:t>
      </w:r>
    </w:p>
    <w:p w14:paraId="36EF5ECC" w14:textId="77777777" w:rsidR="004171E2" w:rsidRPr="004171E2" w:rsidRDefault="004171E2" w:rsidP="004171E2">
      <w:pPr>
        <w:spacing w:after="240"/>
        <w:ind w:left="1440" w:hanging="720"/>
        <w:jc w:val="both"/>
        <w:rPr>
          <w:rFonts w:ascii="Arial" w:hAnsi="Arial" w:cs="Arial"/>
          <w:bCs/>
        </w:rPr>
      </w:pPr>
      <w:r w:rsidRPr="004171E2">
        <w:rPr>
          <w:rFonts w:ascii="Arial" w:hAnsi="Arial" w:cs="Arial"/>
          <w:bCs/>
        </w:rPr>
        <w:t>a.</w:t>
      </w:r>
      <w:r w:rsidRPr="004171E2">
        <w:rPr>
          <w:rFonts w:ascii="Arial" w:hAnsi="Arial" w:cs="Arial"/>
          <w:bCs/>
        </w:rPr>
        <w:tab/>
      </w:r>
      <w:r w:rsidRPr="004171E2">
        <w:rPr>
          <w:rFonts w:ascii="Arial" w:hAnsi="Arial" w:cs="Arial"/>
          <w:bCs/>
          <w:i/>
          <w:iCs/>
        </w:rPr>
        <w:t>SF-270, Request for Advance or Reimbursement (Form 270, Request for Title IV Reimbursement or Heightened Cash Monitoring 2 [OMB No. 1845-0089])</w:t>
      </w:r>
      <w:r w:rsidRPr="004171E2">
        <w:rPr>
          <w:rFonts w:ascii="Arial" w:hAnsi="Arial" w:cs="Arial"/>
          <w:bCs/>
        </w:rPr>
        <w:t xml:space="preserve"> – Not Applicable</w:t>
      </w:r>
    </w:p>
    <w:p w14:paraId="1814988B" w14:textId="77777777" w:rsidR="004171E2" w:rsidRPr="004171E2" w:rsidRDefault="004171E2" w:rsidP="004171E2">
      <w:pPr>
        <w:spacing w:after="240"/>
        <w:ind w:left="1440" w:hanging="720"/>
        <w:jc w:val="both"/>
        <w:rPr>
          <w:rFonts w:ascii="Arial" w:hAnsi="Arial" w:cs="Arial"/>
          <w:bCs/>
        </w:rPr>
      </w:pPr>
      <w:r w:rsidRPr="004171E2">
        <w:rPr>
          <w:rFonts w:ascii="Arial" w:hAnsi="Arial" w:cs="Arial"/>
          <w:bCs/>
        </w:rPr>
        <w:t>b.</w:t>
      </w:r>
      <w:r w:rsidRPr="004171E2">
        <w:rPr>
          <w:rFonts w:ascii="Arial" w:hAnsi="Arial" w:cs="Arial"/>
          <w:bCs/>
        </w:rPr>
        <w:tab/>
      </w:r>
      <w:r w:rsidRPr="004171E2">
        <w:rPr>
          <w:rFonts w:ascii="Arial" w:hAnsi="Arial" w:cs="Arial"/>
          <w:bCs/>
          <w:i/>
          <w:iCs/>
        </w:rPr>
        <w:t>SF-271, Outlay Report and Request for Reimbursement for Construction Programs</w:t>
      </w:r>
      <w:r w:rsidRPr="004171E2">
        <w:rPr>
          <w:rFonts w:ascii="Arial" w:hAnsi="Arial" w:cs="Arial"/>
          <w:bCs/>
        </w:rPr>
        <w:t xml:space="preserve"> – Not Applicable</w:t>
      </w:r>
    </w:p>
    <w:p w14:paraId="692CDD91" w14:textId="77777777" w:rsidR="004171E2" w:rsidRPr="004171E2" w:rsidRDefault="004171E2" w:rsidP="004171E2">
      <w:pPr>
        <w:spacing w:after="240"/>
        <w:ind w:left="720"/>
        <w:jc w:val="both"/>
        <w:rPr>
          <w:rFonts w:ascii="Arial" w:hAnsi="Arial" w:cs="Arial"/>
          <w:bCs/>
        </w:rPr>
      </w:pPr>
      <w:r w:rsidRPr="004171E2">
        <w:rPr>
          <w:rFonts w:ascii="Arial" w:hAnsi="Arial" w:cs="Arial"/>
          <w:bCs/>
        </w:rPr>
        <w:t>c.</w:t>
      </w:r>
      <w:r w:rsidRPr="004171E2">
        <w:rPr>
          <w:rFonts w:ascii="Arial" w:hAnsi="Arial" w:cs="Arial"/>
          <w:bCs/>
        </w:rPr>
        <w:tab/>
      </w:r>
      <w:r w:rsidRPr="004171E2">
        <w:rPr>
          <w:rFonts w:ascii="Arial" w:hAnsi="Arial" w:cs="Arial"/>
          <w:bCs/>
          <w:i/>
          <w:iCs/>
        </w:rPr>
        <w:t>SF-425, Federal Financial Report</w:t>
      </w:r>
      <w:r w:rsidRPr="004171E2">
        <w:rPr>
          <w:rFonts w:ascii="Arial" w:hAnsi="Arial" w:cs="Arial"/>
          <w:bCs/>
        </w:rPr>
        <w:t xml:space="preserve"> – Not Applicable</w:t>
      </w:r>
    </w:p>
    <w:p w14:paraId="793CF20B" w14:textId="77777777" w:rsidR="004171E2" w:rsidRPr="004171E2" w:rsidRDefault="004171E2" w:rsidP="004171E2">
      <w:pPr>
        <w:spacing w:after="240"/>
        <w:ind w:left="720"/>
        <w:jc w:val="both"/>
        <w:rPr>
          <w:rFonts w:ascii="Arial" w:hAnsi="Arial" w:cs="Arial"/>
          <w:bCs/>
        </w:rPr>
      </w:pPr>
      <w:r w:rsidRPr="004171E2">
        <w:rPr>
          <w:rFonts w:ascii="Arial" w:hAnsi="Arial" w:cs="Arial"/>
          <w:bCs/>
        </w:rPr>
        <w:t>d.</w:t>
      </w:r>
      <w:r w:rsidRPr="004171E2">
        <w:rPr>
          <w:rFonts w:ascii="Arial" w:hAnsi="Arial" w:cs="Arial"/>
          <w:bCs/>
        </w:rPr>
        <w:tab/>
      </w:r>
      <w:r w:rsidRPr="004171E2">
        <w:rPr>
          <w:rFonts w:ascii="Arial" w:hAnsi="Arial" w:cs="Arial"/>
          <w:bCs/>
          <w:i/>
          <w:iCs/>
        </w:rPr>
        <w:t>Common Origination and Disbursement (COD) System (OMB No. 1845- 0039)</w:t>
      </w:r>
      <w:r w:rsidRPr="004171E2">
        <w:rPr>
          <w:rFonts w:ascii="Arial" w:hAnsi="Arial" w:cs="Arial"/>
          <w:bCs/>
        </w:rPr>
        <w:t>.</w:t>
      </w:r>
    </w:p>
    <w:p w14:paraId="321E7F31" w14:textId="77777777" w:rsidR="004171E2" w:rsidRPr="004171E2" w:rsidRDefault="004171E2" w:rsidP="004171E2">
      <w:pPr>
        <w:spacing w:after="240"/>
        <w:ind w:left="720"/>
        <w:jc w:val="both"/>
        <w:rPr>
          <w:rFonts w:ascii="Arial" w:hAnsi="Arial" w:cs="Arial"/>
          <w:bCs/>
          <w:i/>
          <w:iCs/>
        </w:rPr>
      </w:pPr>
      <w:r w:rsidRPr="004171E2">
        <w:rPr>
          <w:rFonts w:ascii="Arial" w:hAnsi="Arial" w:cs="Arial"/>
          <w:bCs/>
          <w:i/>
          <w:iCs/>
        </w:rPr>
        <w:t>SFA – Title IV Programs</w:t>
      </w:r>
    </w:p>
    <w:p w14:paraId="5702438E" w14:textId="1720C82A" w:rsidR="004171E2" w:rsidRPr="004171E2" w:rsidRDefault="004171E2" w:rsidP="004171E2">
      <w:pPr>
        <w:spacing w:after="240"/>
        <w:ind w:left="720"/>
        <w:jc w:val="both"/>
        <w:rPr>
          <w:rFonts w:ascii="Arial" w:hAnsi="Arial" w:cs="Arial"/>
          <w:bCs/>
        </w:rPr>
      </w:pPr>
      <w:r w:rsidRPr="004171E2">
        <w:rPr>
          <w:rFonts w:ascii="Arial" w:hAnsi="Arial" w:cs="Arial"/>
        </w:rPr>
        <w:t xml:space="preserve">Institutions submit Direct Loan, Pell Grant, and TEACH Grant origination records and disbursement records to the COD system. Origination records can be sent well in advance of any disbursements, as early as the institution chooses to submit them for any student the institution reasonably believes will be eligible for a payment. An institution follows up with a disbursement record for that student no earlier than (1) seven calendar days prior to the disbursement date under the Advance or Heightened Cash Monitoring 1 payment methods, or (2) the date of the disbursement under the </w:t>
      </w:r>
      <w:r w:rsidRPr="004171E2">
        <w:rPr>
          <w:rFonts w:ascii="Arial" w:hAnsi="Arial" w:cs="Arial"/>
        </w:rPr>
        <w:lastRenderedPageBreak/>
        <w:t xml:space="preserve">Reimbursement or Heightened Cash Monitoring 2 Payment Method (see </w:t>
      </w:r>
      <w:hyperlink r:id="rId72">
        <w:r w:rsidRPr="004171E2">
          <w:rPr>
            <w:rFonts w:ascii="Arial" w:hAnsi="Arial" w:cs="Arial"/>
            <w:i/>
            <w:color w:val="2D74B5"/>
            <w:u w:val="single" w:color="2D74B5"/>
          </w:rPr>
          <w:t>Federal Register</w:t>
        </w:r>
        <w:r w:rsidRPr="004171E2">
          <w:rPr>
            <w:rFonts w:ascii="Arial" w:hAnsi="Arial" w:cs="Arial"/>
            <w:color w:val="2D74B5"/>
            <w:u w:val="single" w:color="2D74B5"/>
          </w:rPr>
          <w:t>, Volume 86, Number 119, June 24, 2021)</w:t>
        </w:r>
        <w:r w:rsidRPr="004171E2">
          <w:rPr>
            <w:rFonts w:ascii="Arial" w:hAnsi="Arial" w:cs="Arial"/>
          </w:rPr>
          <w:t>.</w:t>
        </w:r>
      </w:hyperlink>
      <w:r w:rsidRPr="004171E2">
        <w:rPr>
          <w:rFonts w:ascii="Arial" w:hAnsi="Arial" w:cs="Arial"/>
        </w:rPr>
        <w:t xml:space="preserve"> The disbursement record reports the actual disbursement date and the amount of the disbursement. ED processes origination and/or disbursement records and returns acknowledgments to the institution. The acknowledgments identify the processing status of each record: Rejected, Accepted with Corrections, or Accepted. In testing the origination and disbursement data, the auditor should be most concerned with the data ED has categorized as accepted or accepted with corrections. Institutions must report student disbursement data within 15 calendar days after the institution makes a disbursement or becomes aware of the need to make an adjustment to previously reported student disbursement data or expected student disbursement data. Institutions may do this by reporting once every 15 calendar days, bi-weekly or weekly, or may set up their own system to ensure that changes are reported in a timely manner. Please note that for the 2024-2025 award year, due to batch correction issues and the need for institutions to process corrections individually through FAFSA Partner Portal (FPP), institutions were not required to report disbursements made for the 2024-2025 award year until November 30, 2024, or 15 calendar days after the disbursement is made, whichever is later (see </w:t>
      </w:r>
      <w:hyperlink r:id="rId73">
        <w:r w:rsidRPr="004171E2">
          <w:rPr>
            <w:rFonts w:ascii="Arial" w:hAnsi="Arial" w:cs="Arial"/>
            <w:color w:val="2D74B5"/>
            <w:u w:val="single" w:color="2D74B5"/>
          </w:rPr>
          <w:t>GENERAL-24-96 Update on Batch Corrections for</w:t>
        </w:r>
      </w:hyperlink>
      <w:r w:rsidRPr="004171E2">
        <w:rPr>
          <w:rFonts w:ascii="Arial" w:hAnsi="Arial" w:cs="Arial"/>
          <w:color w:val="2D74B5"/>
        </w:rPr>
        <w:t xml:space="preserve"> </w:t>
      </w:r>
      <w:hyperlink r:id="rId74">
        <w:r w:rsidRPr="004171E2">
          <w:rPr>
            <w:rFonts w:ascii="Arial" w:hAnsi="Arial" w:cs="Arial"/>
            <w:color w:val="2D74B5"/>
            <w:u w:val="single" w:color="2D74B5"/>
          </w:rPr>
          <w:t>Institutions via the Electronic Data Exchange, Flexibilities, and Additional</w:t>
        </w:r>
      </w:hyperlink>
      <w:r w:rsidRPr="004171E2">
        <w:rPr>
          <w:rFonts w:ascii="Arial" w:hAnsi="Arial" w:cs="Arial"/>
          <w:color w:val="2D74B5"/>
        </w:rPr>
        <w:t xml:space="preserve"> </w:t>
      </w:r>
      <w:hyperlink r:id="rId75">
        <w:r w:rsidRPr="004171E2">
          <w:rPr>
            <w:rFonts w:ascii="Arial" w:hAnsi="Arial" w:cs="Arial"/>
            <w:color w:val="2D74B5"/>
            <w:u w:val="single" w:color="2D74B5"/>
          </w:rPr>
          <w:t>Support for the 2024-25 FAFSA Cycle | Knowledge Center</w:t>
        </w:r>
      </w:hyperlink>
      <w:r w:rsidRPr="004171E2">
        <w:rPr>
          <w:rFonts w:ascii="Arial" w:hAnsi="Arial" w:cs="Arial"/>
          <w:color w:val="2D74B5"/>
        </w:rPr>
        <w:t xml:space="preserve"> </w:t>
      </w:r>
      <w:hyperlink r:id="rId76" w:history="1">
        <w:r w:rsidR="00B74043" w:rsidRPr="009E1627">
          <w:rPr>
            <w:rStyle w:val="Hyperlink"/>
            <w:rFonts w:cs="Arial"/>
          </w:rPr>
          <w:t>https://fsapartners.ed.gov/knowledge-center/library/electronic-announcements/2024-07-30/update-batch-corrections-institutions-electronic-data-exchange-flexibilities-and-additional-support-2024-25-fafsa-cycle</w:t>
        </w:r>
      </w:hyperlink>
      <w:r w:rsidRPr="004171E2">
        <w:rPr>
          <w:rFonts w:ascii="Arial" w:hAnsi="Arial" w:cs="Arial"/>
        </w:rPr>
        <w:t>).</w:t>
      </w:r>
      <w:r w:rsidR="00B74043">
        <w:rPr>
          <w:rFonts w:ascii="Arial" w:hAnsi="Arial" w:cs="Arial"/>
        </w:rPr>
        <w:t xml:space="preserve">   </w:t>
      </w:r>
    </w:p>
    <w:p w14:paraId="0CE686BD" w14:textId="3B8145CF" w:rsidR="004171E2" w:rsidRPr="004171E2" w:rsidRDefault="004171E2" w:rsidP="004171E2">
      <w:pPr>
        <w:spacing w:after="240"/>
        <w:ind w:left="720"/>
        <w:jc w:val="both"/>
        <w:rPr>
          <w:rFonts w:ascii="Arial" w:hAnsi="Arial" w:cs="Arial"/>
          <w:bCs/>
        </w:rPr>
      </w:pPr>
      <w:r w:rsidRPr="004171E2">
        <w:rPr>
          <w:rFonts w:ascii="Arial" w:hAnsi="Arial" w:cs="Arial"/>
        </w:rPr>
        <w:t xml:space="preserve">Key items to test on origination records for the fiscal year are: award amount, enrollment date, verification status code (when the applicant is selected for verification), transaction number, cost of attendance, and the “Academic Start Date” and “Academic End Date”. Key items to test on disbursement records are disbursement date and amount. The information may be accessed by the institution for the auditor (34 CFR 690.83; </w:t>
      </w:r>
      <w:r w:rsidRPr="004171E2">
        <w:rPr>
          <w:rFonts w:ascii="Arial" w:hAnsi="Arial" w:cs="Arial"/>
          <w:i/>
        </w:rPr>
        <w:t xml:space="preserve">FSA Handbook, </w:t>
      </w:r>
      <w:r w:rsidRPr="004171E2">
        <w:rPr>
          <w:rFonts w:ascii="Arial" w:hAnsi="Arial" w:cs="Arial"/>
        </w:rPr>
        <w:t xml:space="preserve">technical references on COD Reports can be found in the </w:t>
      </w:r>
      <w:hyperlink r:id="rId77">
        <w:r w:rsidRPr="004171E2">
          <w:rPr>
            <w:rFonts w:ascii="Arial" w:hAnsi="Arial" w:cs="Arial"/>
            <w:color w:val="2D74B5"/>
            <w:u w:val="single" w:color="2D74B5"/>
          </w:rPr>
          <w:t>2024-2025 COD Technical Reference</w:t>
        </w:r>
      </w:hyperlink>
      <w:r w:rsidRPr="004171E2">
        <w:rPr>
          <w:rFonts w:ascii="Arial" w:hAnsi="Arial" w:cs="Arial"/>
          <w:color w:val="2D74B5"/>
        </w:rPr>
        <w:t xml:space="preserve"> </w:t>
      </w:r>
      <w:r w:rsidRPr="004171E2">
        <w:rPr>
          <w:rFonts w:ascii="Arial" w:hAnsi="Arial" w:cs="Arial"/>
        </w:rPr>
        <w:t>in Volume VI, Section 6.</w:t>
      </w:r>
    </w:p>
    <w:p w14:paraId="02CBC693" w14:textId="77777777" w:rsidR="004171E2" w:rsidRPr="004171E2" w:rsidRDefault="004171E2" w:rsidP="004171E2">
      <w:pPr>
        <w:spacing w:after="240"/>
        <w:jc w:val="both"/>
        <w:rPr>
          <w:rFonts w:ascii="Arial" w:hAnsi="Arial" w:cs="Arial"/>
          <w:bCs/>
        </w:rPr>
      </w:pPr>
      <w:r w:rsidRPr="004171E2">
        <w:rPr>
          <w:rFonts w:ascii="Arial" w:hAnsi="Arial" w:cs="Arial"/>
          <w:b/>
        </w:rPr>
        <w:t>2.</w:t>
      </w:r>
      <w:r w:rsidRPr="004171E2">
        <w:rPr>
          <w:rFonts w:ascii="Arial" w:hAnsi="Arial" w:cs="Arial"/>
          <w:b/>
        </w:rPr>
        <w:tab/>
        <w:t xml:space="preserve">Performance Reporting – </w:t>
      </w:r>
      <w:r w:rsidRPr="004171E2">
        <w:rPr>
          <w:rFonts w:ascii="Arial" w:hAnsi="Arial" w:cs="Arial"/>
          <w:bCs/>
        </w:rPr>
        <w:t>Not Applicable</w:t>
      </w:r>
    </w:p>
    <w:p w14:paraId="5E8D9492" w14:textId="77777777" w:rsidR="004171E2" w:rsidRPr="004171E2" w:rsidRDefault="004171E2" w:rsidP="004171E2">
      <w:pPr>
        <w:spacing w:after="240"/>
        <w:jc w:val="both"/>
        <w:rPr>
          <w:rFonts w:ascii="Arial" w:hAnsi="Arial" w:cs="Arial"/>
          <w:b/>
        </w:rPr>
      </w:pPr>
      <w:r w:rsidRPr="004171E2">
        <w:rPr>
          <w:rFonts w:ascii="Arial" w:hAnsi="Arial" w:cs="Arial"/>
          <w:b/>
        </w:rPr>
        <w:t>3.</w:t>
      </w:r>
      <w:r w:rsidRPr="004171E2">
        <w:rPr>
          <w:rFonts w:ascii="Arial" w:hAnsi="Arial" w:cs="Arial"/>
          <w:b/>
        </w:rPr>
        <w:tab/>
        <w:t>Special Reporting</w:t>
      </w:r>
    </w:p>
    <w:p w14:paraId="7F44EC4C" w14:textId="77777777" w:rsidR="004171E2" w:rsidRPr="004171E2" w:rsidRDefault="004171E2" w:rsidP="004171E2">
      <w:pPr>
        <w:spacing w:after="240"/>
        <w:ind w:left="720" w:right="774"/>
        <w:jc w:val="both"/>
        <w:rPr>
          <w:rFonts w:ascii="Arial" w:hAnsi="Arial" w:cs="Arial"/>
          <w:i/>
        </w:rPr>
      </w:pPr>
      <w:r w:rsidRPr="004171E2">
        <w:rPr>
          <w:rFonts w:ascii="Arial" w:hAnsi="Arial" w:cs="Arial"/>
        </w:rPr>
        <w:t xml:space="preserve">Report Title: </w:t>
      </w:r>
      <w:r w:rsidRPr="004171E2">
        <w:rPr>
          <w:rFonts w:ascii="Arial" w:hAnsi="Arial" w:cs="Arial"/>
          <w:i/>
        </w:rPr>
        <w:t>ED Form 646-1, Fiscal Operations Report and Application to Participate (FISAP)</w:t>
      </w:r>
    </w:p>
    <w:p w14:paraId="122A2DC0" w14:textId="77777777" w:rsidR="004171E2" w:rsidRPr="004171E2" w:rsidRDefault="004171E2" w:rsidP="004171E2">
      <w:pPr>
        <w:spacing w:after="240"/>
        <w:ind w:left="720"/>
        <w:jc w:val="both"/>
        <w:rPr>
          <w:rFonts w:ascii="Arial" w:hAnsi="Arial" w:cs="Arial"/>
          <w:i/>
        </w:rPr>
      </w:pPr>
      <w:r w:rsidRPr="004171E2">
        <w:rPr>
          <w:rFonts w:ascii="Arial" w:hAnsi="Arial" w:cs="Arial"/>
        </w:rPr>
        <w:t xml:space="preserve">OMB PRA Number: </w:t>
      </w:r>
      <w:r w:rsidRPr="004171E2">
        <w:rPr>
          <w:rFonts w:ascii="Arial" w:hAnsi="Arial" w:cs="Arial"/>
          <w:i/>
        </w:rPr>
        <w:t>OMB No. 1845-0030</w:t>
      </w:r>
    </w:p>
    <w:p w14:paraId="1DBFE6B9" w14:textId="5FABA83B" w:rsidR="004171E2" w:rsidRPr="004171E2" w:rsidRDefault="004171E2" w:rsidP="00B74043">
      <w:pPr>
        <w:spacing w:after="240"/>
        <w:ind w:left="720"/>
        <w:jc w:val="both"/>
        <w:rPr>
          <w:rFonts w:ascii="Arial" w:hAnsi="Arial" w:cs="Arial"/>
          <w:i/>
        </w:rPr>
      </w:pPr>
      <w:r w:rsidRPr="004171E2">
        <w:rPr>
          <w:rFonts w:ascii="Arial" w:hAnsi="Arial" w:cs="Arial"/>
        </w:rPr>
        <w:t xml:space="preserve">Report Authority: </w:t>
      </w:r>
      <w:r w:rsidRPr="004171E2">
        <w:rPr>
          <w:rFonts w:ascii="Arial" w:hAnsi="Arial" w:cs="Arial"/>
          <w:i/>
        </w:rPr>
        <w:t>34 CFR 674.19 (Federal Perkins Loan), 34 CFR 675.19 (FWS),</w:t>
      </w:r>
      <w:r w:rsidR="00B74043">
        <w:rPr>
          <w:rFonts w:ascii="Arial" w:hAnsi="Arial" w:cs="Arial"/>
          <w:i/>
        </w:rPr>
        <w:t xml:space="preserve"> </w:t>
      </w:r>
      <w:r w:rsidRPr="004171E2">
        <w:rPr>
          <w:rFonts w:ascii="Arial" w:hAnsi="Arial" w:cs="Arial"/>
          <w:i/>
        </w:rPr>
        <w:t>and 34 CFR 676.19 and 20 U.S.C. 1094 (FSEOG)</w:t>
      </w:r>
    </w:p>
    <w:p w14:paraId="66030A44" w14:textId="77777777" w:rsidR="004171E2" w:rsidRPr="004171E2" w:rsidRDefault="004171E2" w:rsidP="004171E2">
      <w:pPr>
        <w:spacing w:after="240"/>
        <w:ind w:left="720" w:right="248"/>
        <w:jc w:val="both"/>
        <w:rPr>
          <w:rFonts w:ascii="Arial" w:hAnsi="Arial" w:cs="Arial"/>
          <w:i/>
        </w:rPr>
      </w:pPr>
      <w:r w:rsidRPr="004171E2">
        <w:rPr>
          <w:rFonts w:ascii="Arial" w:hAnsi="Arial" w:cs="Arial"/>
        </w:rPr>
        <w:t xml:space="preserve">Reporting Period: </w:t>
      </w:r>
      <w:r w:rsidRPr="004171E2">
        <w:rPr>
          <w:rFonts w:ascii="Arial" w:hAnsi="Arial" w:cs="Arial"/>
          <w:i/>
        </w:rPr>
        <w:t>By October 1</w:t>
      </w:r>
      <w:r w:rsidRPr="004171E2">
        <w:rPr>
          <w:rFonts w:ascii="Arial" w:hAnsi="Arial" w:cs="Arial"/>
          <w:i/>
          <w:position w:val="8"/>
        </w:rPr>
        <w:t xml:space="preserve">st </w:t>
      </w:r>
      <w:r w:rsidRPr="004171E2">
        <w:rPr>
          <w:rFonts w:ascii="Arial" w:hAnsi="Arial" w:cs="Arial"/>
          <w:i/>
        </w:rPr>
        <w:t>of each year (or the date established by a Federal Register announcement), an institution must electronically submit its FISAP via the COD website. The Fiscal Operations Report will cover the most recently completed award year (award years run from July 1 to June 30) and the Application to Participate is for the award year subsequent to the current award year.</w:t>
      </w:r>
    </w:p>
    <w:p w14:paraId="1DADC259" w14:textId="77777777" w:rsidR="004171E2" w:rsidRPr="004171E2" w:rsidRDefault="004171E2" w:rsidP="004171E2">
      <w:pPr>
        <w:spacing w:after="240"/>
        <w:ind w:left="720" w:right="334"/>
        <w:jc w:val="both"/>
        <w:rPr>
          <w:rFonts w:ascii="Arial" w:hAnsi="Arial" w:cs="Arial"/>
        </w:rPr>
      </w:pPr>
      <w:r w:rsidRPr="004171E2">
        <w:rPr>
          <w:rFonts w:ascii="Arial" w:hAnsi="Arial" w:cs="Arial"/>
        </w:rPr>
        <w:t xml:space="preserve">Link to report and report instructions: </w:t>
      </w:r>
      <w:hyperlink r:id="rId78">
        <w:r w:rsidRPr="004171E2">
          <w:rPr>
            <w:rFonts w:ascii="Arial" w:hAnsi="Arial" w:cs="Arial"/>
            <w:i/>
            <w:color w:val="2D74B5"/>
            <w:u w:val="single" w:color="2D74B5"/>
          </w:rPr>
          <w:t>https://fsapartners.ed.gov/knowledge-</w:t>
        </w:r>
      </w:hyperlink>
      <w:r w:rsidRPr="004171E2">
        <w:rPr>
          <w:rFonts w:ascii="Arial" w:hAnsi="Arial" w:cs="Arial"/>
          <w:i/>
          <w:color w:val="2D74B5"/>
        </w:rPr>
        <w:t xml:space="preserve"> </w:t>
      </w:r>
      <w:hyperlink r:id="rId79">
        <w:r w:rsidRPr="004171E2">
          <w:rPr>
            <w:rFonts w:ascii="Arial" w:hAnsi="Arial" w:cs="Arial"/>
            <w:i/>
            <w:color w:val="2D74B5"/>
            <w:u w:val="single" w:color="2D74B5"/>
          </w:rPr>
          <w:t>center/library/resource-type/FISAP%20Form%20and%20Instructions</w:t>
        </w:r>
        <w:r w:rsidRPr="004171E2">
          <w:rPr>
            <w:rFonts w:ascii="Arial" w:hAnsi="Arial" w:cs="Arial"/>
            <w:i/>
            <w:color w:val="2D74B5"/>
          </w:rPr>
          <w:t xml:space="preserve"> </w:t>
        </w:r>
      </w:hyperlink>
      <w:r w:rsidRPr="004171E2">
        <w:rPr>
          <w:rFonts w:ascii="Arial" w:hAnsi="Arial" w:cs="Arial"/>
        </w:rPr>
        <w:t>The auditor must obtain a copy of the most recently submitted electronic report from the institution.</w:t>
      </w:r>
    </w:p>
    <w:p w14:paraId="28530332" w14:textId="77777777" w:rsidR="004171E2" w:rsidRPr="004171E2" w:rsidRDefault="004171E2" w:rsidP="004171E2">
      <w:pPr>
        <w:pStyle w:val="BodyText"/>
        <w:ind w:left="720"/>
        <w:jc w:val="both"/>
        <w:rPr>
          <w:rFonts w:ascii="Arial" w:hAnsi="Arial" w:cs="Arial"/>
          <w:szCs w:val="20"/>
        </w:rPr>
      </w:pPr>
      <w:r w:rsidRPr="004171E2">
        <w:rPr>
          <w:rFonts w:ascii="Arial" w:hAnsi="Arial" w:cs="Arial"/>
          <w:szCs w:val="20"/>
        </w:rPr>
        <w:t>Key Line Items – The following line items contain critical information:</w:t>
      </w:r>
    </w:p>
    <w:p w14:paraId="233EE98F" w14:textId="77777777" w:rsidR="004171E2" w:rsidRPr="004171E2" w:rsidRDefault="004171E2" w:rsidP="008827D6">
      <w:pPr>
        <w:pStyle w:val="ListParagraph"/>
        <w:widowControl w:val="0"/>
        <w:numPr>
          <w:ilvl w:val="0"/>
          <w:numId w:val="56"/>
        </w:numPr>
        <w:tabs>
          <w:tab w:val="left" w:pos="2279"/>
          <w:tab w:val="left" w:pos="2280"/>
        </w:tabs>
        <w:suppressAutoHyphens w:val="0"/>
        <w:adjustRightInd/>
        <w:spacing w:after="240"/>
        <w:ind w:left="1440" w:right="118"/>
        <w:jc w:val="both"/>
        <w:rPr>
          <w:rFonts w:ascii="Arial" w:hAnsi="Arial" w:cs="Arial"/>
        </w:rPr>
      </w:pPr>
      <w:r w:rsidRPr="004171E2">
        <w:rPr>
          <w:rFonts w:ascii="Arial" w:hAnsi="Arial" w:cs="Arial"/>
        </w:rPr>
        <w:t>Part II (Application), Section D, Line 7: Total number of students for schools with a traditional</w:t>
      </w:r>
      <w:r w:rsidRPr="004171E2">
        <w:rPr>
          <w:rFonts w:ascii="Arial" w:hAnsi="Arial" w:cs="Arial"/>
          <w:spacing w:val="-4"/>
        </w:rPr>
        <w:t xml:space="preserve"> </w:t>
      </w:r>
      <w:r w:rsidRPr="004171E2">
        <w:rPr>
          <w:rFonts w:ascii="Arial" w:hAnsi="Arial" w:cs="Arial"/>
        </w:rPr>
        <w:t>calendar.</w:t>
      </w:r>
    </w:p>
    <w:p w14:paraId="3F92D376" w14:textId="77777777" w:rsidR="004171E2" w:rsidRPr="004171E2" w:rsidRDefault="004171E2" w:rsidP="008827D6">
      <w:pPr>
        <w:pStyle w:val="ListParagraph"/>
        <w:widowControl w:val="0"/>
        <w:numPr>
          <w:ilvl w:val="0"/>
          <w:numId w:val="56"/>
        </w:numPr>
        <w:tabs>
          <w:tab w:val="left" w:pos="2279"/>
          <w:tab w:val="left" w:pos="2280"/>
        </w:tabs>
        <w:suppressAutoHyphens w:val="0"/>
        <w:adjustRightInd/>
        <w:spacing w:after="240"/>
        <w:ind w:left="1440" w:right="118"/>
        <w:jc w:val="both"/>
        <w:rPr>
          <w:rFonts w:ascii="Arial" w:hAnsi="Arial" w:cs="Arial"/>
        </w:rPr>
      </w:pPr>
      <w:r w:rsidRPr="004171E2">
        <w:rPr>
          <w:rFonts w:ascii="Arial" w:hAnsi="Arial" w:cs="Arial"/>
        </w:rPr>
        <w:t xml:space="preserve">Part II (Application), Section D, Lines 9-20: Total number of students for schools with a </w:t>
      </w:r>
      <w:r w:rsidRPr="004171E2">
        <w:rPr>
          <w:rFonts w:ascii="Arial" w:hAnsi="Arial" w:cs="Arial"/>
        </w:rPr>
        <w:lastRenderedPageBreak/>
        <w:t>non-traditional</w:t>
      </w:r>
      <w:r w:rsidRPr="004171E2">
        <w:rPr>
          <w:rFonts w:ascii="Arial" w:hAnsi="Arial" w:cs="Arial"/>
          <w:spacing w:val="-3"/>
        </w:rPr>
        <w:t xml:space="preserve"> </w:t>
      </w:r>
      <w:r w:rsidRPr="004171E2">
        <w:rPr>
          <w:rFonts w:ascii="Arial" w:hAnsi="Arial" w:cs="Arial"/>
        </w:rPr>
        <w:t>calendar.</w:t>
      </w:r>
    </w:p>
    <w:p w14:paraId="7EC73EC3" w14:textId="77777777" w:rsidR="004171E2" w:rsidRPr="004171E2" w:rsidRDefault="004171E2" w:rsidP="008827D6">
      <w:pPr>
        <w:pStyle w:val="ListParagraph"/>
        <w:widowControl w:val="0"/>
        <w:numPr>
          <w:ilvl w:val="0"/>
          <w:numId w:val="56"/>
        </w:numPr>
        <w:tabs>
          <w:tab w:val="left" w:pos="2279"/>
          <w:tab w:val="left" w:pos="2280"/>
        </w:tabs>
        <w:suppressAutoHyphens w:val="0"/>
        <w:adjustRightInd/>
        <w:spacing w:after="240"/>
        <w:ind w:left="1440" w:hanging="721"/>
        <w:jc w:val="both"/>
        <w:rPr>
          <w:rFonts w:ascii="Arial" w:hAnsi="Arial" w:cs="Arial"/>
        </w:rPr>
      </w:pPr>
      <w:r w:rsidRPr="004171E2">
        <w:rPr>
          <w:rFonts w:ascii="Arial" w:hAnsi="Arial" w:cs="Arial"/>
        </w:rPr>
        <w:t>Part II (Application), Section E, Line 22: Total tuition and</w:t>
      </w:r>
      <w:r w:rsidRPr="004171E2">
        <w:rPr>
          <w:rFonts w:ascii="Arial" w:hAnsi="Arial" w:cs="Arial"/>
          <w:spacing w:val="-8"/>
        </w:rPr>
        <w:t xml:space="preserve"> </w:t>
      </w:r>
      <w:r w:rsidRPr="004171E2">
        <w:rPr>
          <w:rFonts w:ascii="Arial" w:hAnsi="Arial" w:cs="Arial"/>
        </w:rPr>
        <w:t>fees</w:t>
      </w:r>
    </w:p>
    <w:p w14:paraId="3CBFCA6F" w14:textId="77777777" w:rsidR="004171E2" w:rsidRPr="004171E2" w:rsidRDefault="004171E2" w:rsidP="008827D6">
      <w:pPr>
        <w:pStyle w:val="ListParagraph"/>
        <w:widowControl w:val="0"/>
        <w:numPr>
          <w:ilvl w:val="0"/>
          <w:numId w:val="56"/>
        </w:numPr>
        <w:tabs>
          <w:tab w:val="left" w:pos="2279"/>
          <w:tab w:val="left" w:pos="2280"/>
        </w:tabs>
        <w:suppressAutoHyphens w:val="0"/>
        <w:adjustRightInd/>
        <w:spacing w:after="240"/>
        <w:ind w:left="1440" w:right="118"/>
        <w:jc w:val="both"/>
        <w:rPr>
          <w:rFonts w:ascii="Arial" w:hAnsi="Arial" w:cs="Arial"/>
        </w:rPr>
      </w:pPr>
      <w:r w:rsidRPr="004171E2">
        <w:rPr>
          <w:rFonts w:ascii="Arial" w:hAnsi="Arial" w:cs="Arial"/>
        </w:rPr>
        <w:t>Part II (Application), Section E, Line 23: Total Federal Pell Grant expenditures</w:t>
      </w:r>
    </w:p>
    <w:p w14:paraId="24C5C716" w14:textId="77777777" w:rsidR="004171E2" w:rsidRPr="004171E2" w:rsidRDefault="004171E2" w:rsidP="008827D6">
      <w:pPr>
        <w:pStyle w:val="ListParagraph"/>
        <w:widowControl w:val="0"/>
        <w:numPr>
          <w:ilvl w:val="0"/>
          <w:numId w:val="56"/>
        </w:numPr>
        <w:tabs>
          <w:tab w:val="left" w:pos="2279"/>
          <w:tab w:val="left" w:pos="2280"/>
        </w:tabs>
        <w:suppressAutoHyphens w:val="0"/>
        <w:adjustRightInd/>
        <w:spacing w:after="240"/>
        <w:ind w:left="1440" w:right="119"/>
        <w:jc w:val="both"/>
        <w:rPr>
          <w:rFonts w:ascii="Arial" w:hAnsi="Arial" w:cs="Arial"/>
        </w:rPr>
      </w:pPr>
      <w:r w:rsidRPr="004171E2">
        <w:rPr>
          <w:rFonts w:ascii="Arial" w:hAnsi="Arial" w:cs="Arial"/>
        </w:rPr>
        <w:t>Part II (Application), Section F, Lines 25-39: Information on eligible aid applicants</w:t>
      </w:r>
    </w:p>
    <w:p w14:paraId="52736AC3" w14:textId="77777777" w:rsidR="004171E2" w:rsidRPr="004171E2" w:rsidRDefault="004171E2" w:rsidP="008827D6">
      <w:pPr>
        <w:pStyle w:val="ListParagraph"/>
        <w:widowControl w:val="0"/>
        <w:numPr>
          <w:ilvl w:val="0"/>
          <w:numId w:val="56"/>
        </w:numPr>
        <w:tabs>
          <w:tab w:val="left" w:pos="2279"/>
          <w:tab w:val="left" w:pos="2280"/>
        </w:tabs>
        <w:suppressAutoHyphens w:val="0"/>
        <w:adjustRightInd/>
        <w:spacing w:after="240"/>
        <w:ind w:left="1440" w:hanging="721"/>
        <w:jc w:val="both"/>
        <w:rPr>
          <w:rFonts w:ascii="Arial" w:hAnsi="Arial" w:cs="Arial"/>
        </w:rPr>
      </w:pPr>
      <w:r w:rsidRPr="004171E2">
        <w:rPr>
          <w:rFonts w:ascii="Arial" w:hAnsi="Arial" w:cs="Arial"/>
        </w:rPr>
        <w:t>Part III (Perkins): Section A, Line 1.1 Cash on hand and in</w:t>
      </w:r>
      <w:r w:rsidRPr="004171E2">
        <w:rPr>
          <w:rFonts w:ascii="Arial" w:hAnsi="Arial" w:cs="Arial"/>
          <w:spacing w:val="-10"/>
        </w:rPr>
        <w:t xml:space="preserve"> </w:t>
      </w:r>
      <w:r w:rsidRPr="004171E2">
        <w:rPr>
          <w:rFonts w:ascii="Arial" w:hAnsi="Arial" w:cs="Arial"/>
        </w:rPr>
        <w:t>depository</w:t>
      </w:r>
    </w:p>
    <w:p w14:paraId="30D39787" w14:textId="77777777" w:rsidR="004171E2" w:rsidRPr="004171E2" w:rsidRDefault="004171E2" w:rsidP="008827D6">
      <w:pPr>
        <w:pStyle w:val="ListParagraph"/>
        <w:widowControl w:val="0"/>
        <w:numPr>
          <w:ilvl w:val="0"/>
          <w:numId w:val="56"/>
        </w:numPr>
        <w:tabs>
          <w:tab w:val="left" w:pos="2279"/>
          <w:tab w:val="left" w:pos="2280"/>
        </w:tabs>
        <w:suppressAutoHyphens w:val="0"/>
        <w:adjustRightInd/>
        <w:spacing w:after="240"/>
        <w:ind w:left="1440" w:hanging="721"/>
        <w:jc w:val="both"/>
        <w:rPr>
          <w:rFonts w:ascii="Arial" w:hAnsi="Arial" w:cs="Arial"/>
        </w:rPr>
      </w:pPr>
      <w:r w:rsidRPr="004171E2">
        <w:rPr>
          <w:rFonts w:ascii="Arial" w:hAnsi="Arial" w:cs="Arial"/>
        </w:rPr>
        <w:t>Part IV (FSEOG): Section C, Lines 12-14: Funds to FSEOG</w:t>
      </w:r>
      <w:r w:rsidRPr="004171E2">
        <w:rPr>
          <w:rFonts w:ascii="Arial" w:hAnsi="Arial" w:cs="Arial"/>
          <w:spacing w:val="-13"/>
        </w:rPr>
        <w:t xml:space="preserve"> </w:t>
      </w:r>
      <w:r w:rsidRPr="004171E2">
        <w:rPr>
          <w:rFonts w:ascii="Arial" w:hAnsi="Arial" w:cs="Arial"/>
        </w:rPr>
        <w:t>recipients</w:t>
      </w:r>
    </w:p>
    <w:p w14:paraId="4068E3F8" w14:textId="77777777" w:rsidR="004171E2" w:rsidRPr="004171E2" w:rsidRDefault="004171E2" w:rsidP="008827D6">
      <w:pPr>
        <w:pStyle w:val="ListParagraph"/>
        <w:widowControl w:val="0"/>
        <w:numPr>
          <w:ilvl w:val="0"/>
          <w:numId w:val="56"/>
        </w:numPr>
        <w:tabs>
          <w:tab w:val="left" w:pos="2279"/>
          <w:tab w:val="left" w:pos="2280"/>
        </w:tabs>
        <w:suppressAutoHyphens w:val="0"/>
        <w:adjustRightInd/>
        <w:spacing w:after="240"/>
        <w:ind w:left="1440" w:hanging="721"/>
        <w:jc w:val="both"/>
        <w:rPr>
          <w:rFonts w:ascii="Arial" w:hAnsi="Arial" w:cs="Arial"/>
        </w:rPr>
      </w:pPr>
      <w:r w:rsidRPr="004171E2">
        <w:rPr>
          <w:rFonts w:ascii="Arial" w:hAnsi="Arial" w:cs="Arial"/>
        </w:rPr>
        <w:t>Part V (FWS): Section C, Lines 12-14: Total compensation for</w:t>
      </w:r>
      <w:r w:rsidRPr="004171E2">
        <w:rPr>
          <w:rFonts w:ascii="Arial" w:hAnsi="Arial" w:cs="Arial"/>
          <w:spacing w:val="-13"/>
        </w:rPr>
        <w:t xml:space="preserve"> </w:t>
      </w:r>
      <w:r w:rsidRPr="004171E2">
        <w:rPr>
          <w:rFonts w:ascii="Arial" w:hAnsi="Arial" w:cs="Arial"/>
        </w:rPr>
        <w:t>FWS</w:t>
      </w:r>
    </w:p>
    <w:p w14:paraId="1900EA0C" w14:textId="77777777" w:rsidR="004171E2" w:rsidRPr="00A46E39" w:rsidRDefault="004171E2" w:rsidP="004171E2">
      <w:pPr>
        <w:spacing w:after="240"/>
        <w:jc w:val="both"/>
        <w:rPr>
          <w:rFonts w:ascii="Arial" w:hAnsi="Arial" w:cs="Arial"/>
          <w:bCs/>
        </w:rPr>
      </w:pPr>
      <w:r w:rsidRPr="00BF669C">
        <w:rPr>
          <w:rFonts w:ascii="Arial" w:hAnsi="Arial" w:cs="Arial"/>
          <w:b/>
        </w:rPr>
        <w:t>4.</w:t>
      </w:r>
      <w:r w:rsidRPr="00BF669C">
        <w:rPr>
          <w:rFonts w:ascii="Arial" w:hAnsi="Arial" w:cs="Arial"/>
          <w:b/>
        </w:rPr>
        <w:tab/>
        <w:t>Special Reporting for Federal Funding Accountability and Transparency Act</w:t>
      </w:r>
      <w:r>
        <w:rPr>
          <w:rFonts w:ascii="Arial" w:hAnsi="Arial" w:cs="Arial"/>
          <w:b/>
        </w:rPr>
        <w:t xml:space="preserve"> – </w:t>
      </w:r>
      <w:r>
        <w:rPr>
          <w:rFonts w:ascii="Arial" w:hAnsi="Arial" w:cs="Arial"/>
          <w:bCs/>
        </w:rPr>
        <w:t>Not Applicable</w:t>
      </w:r>
    </w:p>
    <w:p w14:paraId="4E6DBA68" w14:textId="1E8E1FE1" w:rsidR="00D74E6A" w:rsidRPr="004A0AB6" w:rsidRDefault="004171E2" w:rsidP="004171E2">
      <w:pPr>
        <w:spacing w:after="240"/>
        <w:jc w:val="both"/>
        <w:rPr>
          <w:rFonts w:ascii="Arial" w:hAnsi="Arial" w:cs="Arial"/>
          <w:b/>
          <w:highlight w:val="yellow"/>
        </w:rPr>
      </w:pPr>
      <w:r>
        <w:rPr>
          <w:rFonts w:ascii="Arial" w:hAnsi="Arial" w:cs="Arial"/>
          <w:bCs/>
          <w:i/>
        </w:rPr>
        <w:t>(Source: 2025</w:t>
      </w:r>
      <w:r w:rsidRPr="005802DF">
        <w:rPr>
          <w:rFonts w:ascii="Arial" w:hAnsi="Arial" w:cs="Arial"/>
          <w:bCs/>
          <w:i/>
        </w:rPr>
        <w:t xml:space="preserve"> OMB Compliance Supplement, Part 5, Student Financial Assistance Cluster)</w:t>
      </w:r>
    </w:p>
    <w:p w14:paraId="5979A865" w14:textId="77777777" w:rsidR="00703F98" w:rsidRPr="000706D1" w:rsidRDefault="00703F98" w:rsidP="006672EA">
      <w:pPr>
        <w:pStyle w:val="Heading3"/>
        <w:jc w:val="both"/>
        <w:rPr>
          <w:rFonts w:cs="Arial"/>
          <w:sz w:val="24"/>
          <w:szCs w:val="24"/>
        </w:rPr>
      </w:pPr>
      <w:bookmarkStart w:id="47" w:name="_Toc210306816"/>
      <w:r w:rsidRPr="000706D1">
        <w:rPr>
          <w:rFonts w:cs="Arial"/>
          <w:sz w:val="24"/>
          <w:szCs w:val="24"/>
        </w:rPr>
        <w:t>Additional Program Specific Information</w:t>
      </w:r>
      <w:bookmarkEnd w:id="47"/>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4D69CA29" w:rsidR="00CD5DC7" w:rsidRPr="00AA5B05" w:rsidRDefault="00CD5DC7"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4171E2">
        <w:rPr>
          <w:rFonts w:ascii="Arial" w:hAnsi="Arial" w:cs="Arial"/>
          <w:b/>
          <w:highlight w:val="yellow"/>
        </w:rPr>
        <w:t xml:space="preserve"> and</w:t>
      </w:r>
    </w:p>
    <w:p w14:paraId="6D1FCF37" w14:textId="28501B24" w:rsidR="006E46AD" w:rsidRPr="00AA5B05" w:rsidRDefault="006E46AD"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48" w:name="_Toc210306817"/>
      <w:r w:rsidRPr="000706D1">
        <w:rPr>
          <w:rFonts w:cs="Arial"/>
          <w:sz w:val="24"/>
          <w:szCs w:val="24"/>
        </w:rPr>
        <w:t>Audit Objectives</w:t>
      </w:r>
      <w:r w:rsidR="00F87F25" w:rsidRPr="000706D1">
        <w:rPr>
          <w:rFonts w:cs="Arial"/>
          <w:sz w:val="24"/>
          <w:szCs w:val="24"/>
        </w:rPr>
        <w:t xml:space="preserve"> and Control Testing</w:t>
      </w:r>
      <w:bookmarkEnd w:id="48"/>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49" w:name="_Toc21030681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49"/>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lastRenderedPageBreak/>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5E10F1CE"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w:t>
            </w:r>
            <w:r w:rsidR="00354D4C">
              <w:rPr>
                <w:rFonts w:ascii="Arial" w:hAnsi="Arial" w:cs="Arial"/>
                <w:i/>
                <w:iCs/>
                <w:color w:val="002060"/>
                <w:sz w:val="20"/>
                <w:szCs w:val="20"/>
              </w:rPr>
              <w:t xml:space="preserve">5 </w:t>
            </w:r>
            <w:r>
              <w:rPr>
                <w:rFonts w:ascii="Arial" w:hAnsi="Arial" w:cs="Arial"/>
                <w:i/>
                <w:iCs/>
                <w:color w:val="002060"/>
                <w:sz w:val="20"/>
                <w:szCs w:val="20"/>
              </w:rPr>
              <w:t xml:space="preserve">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 xml:space="preserve">If the program is not included in Part </w:t>
            </w:r>
            <w:r w:rsidR="00354D4C">
              <w:rPr>
                <w:rFonts w:ascii="Arial" w:hAnsi="Arial" w:cs="Arial"/>
                <w:i/>
                <w:iCs/>
                <w:color w:val="002060"/>
                <w:sz w:val="20"/>
                <w:szCs w:val="20"/>
              </w:rPr>
              <w:t xml:space="preserve">5 </w:t>
            </w:r>
            <w:r>
              <w:rPr>
                <w:rFonts w:ascii="Arial" w:hAnsi="Arial" w:cs="Arial"/>
                <w:i/>
                <w:iCs/>
                <w:color w:val="002060"/>
                <w:sz w:val="20"/>
                <w:szCs w:val="20"/>
              </w:rPr>
              <w:t>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5729308F"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4171E2">
              <w:rPr>
                <w:rFonts w:ascii="Arial" w:hAnsi="Arial" w:cs="Arial"/>
                <w:i/>
                <w:iCs/>
                <w:color w:val="002060"/>
                <w:sz w:val="20"/>
              </w:rPr>
              <w:t xml:space="preserve"> – Not Applicable to this Cluster</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50" w:name="_Toc210306819"/>
      <w:r w:rsidRPr="000706D1">
        <w:rPr>
          <w:rFonts w:cs="Arial"/>
          <w:sz w:val="24"/>
          <w:szCs w:val="24"/>
        </w:rPr>
        <w:t>Audit Implications Summary</w:t>
      </w:r>
      <w:bookmarkEnd w:id="50"/>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539BE10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8827D6">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8827D6">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8827D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8827D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8827D6">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81"/>
          <w:pgSz w:w="12240" w:h="15840" w:code="1"/>
          <w:pgMar w:top="1440" w:right="1440" w:bottom="1440" w:left="1440" w:header="720" w:footer="720" w:gutter="0"/>
          <w:cols w:space="720"/>
          <w:noEndnote/>
        </w:sectPr>
      </w:pPr>
    </w:p>
    <w:p w14:paraId="4D2A975C" w14:textId="4B530DE1" w:rsidR="007E5B12" w:rsidRPr="000706D1" w:rsidRDefault="007E5B12" w:rsidP="006672EA">
      <w:pPr>
        <w:pStyle w:val="Heading2"/>
        <w:jc w:val="both"/>
        <w:rPr>
          <w:rFonts w:cs="Arial"/>
          <w:sz w:val="24"/>
        </w:rPr>
      </w:pPr>
      <w:bookmarkStart w:id="51" w:name="M___SUBRECIPIENT_MONITORING__"/>
      <w:bookmarkStart w:id="52" w:name="_Toc442267703"/>
      <w:bookmarkStart w:id="53" w:name="_Toc210306820"/>
      <w:bookmarkEnd w:id="51"/>
      <w:r w:rsidRPr="000706D1">
        <w:rPr>
          <w:rFonts w:cs="Arial"/>
          <w:sz w:val="24"/>
        </w:rPr>
        <w:lastRenderedPageBreak/>
        <w:t>N</w:t>
      </w:r>
      <w:r w:rsidR="008827D6">
        <w:rPr>
          <w:rFonts w:cs="Arial"/>
          <w:sz w:val="24"/>
        </w:rPr>
        <w:t>1</w:t>
      </w:r>
      <w:r w:rsidRPr="000706D1">
        <w:rPr>
          <w:rFonts w:cs="Arial"/>
          <w:sz w:val="24"/>
        </w:rPr>
        <w:t>.  SPECIAL TESTS AND PROVISIONS</w:t>
      </w:r>
      <w:bookmarkEnd w:id="52"/>
      <w:r w:rsidR="004171E2" w:rsidRPr="004171E2">
        <w:rPr>
          <w:rFonts w:cs="Arial"/>
          <w:sz w:val="24"/>
        </w:rPr>
        <w:t xml:space="preserve"> – Institutional Eligibility</w:t>
      </w:r>
      <w:bookmarkEnd w:id="53"/>
    </w:p>
    <w:p w14:paraId="75FD95EF" w14:textId="77777777" w:rsidR="007E5B12" w:rsidRPr="000706D1" w:rsidRDefault="00D15062" w:rsidP="006672EA">
      <w:pPr>
        <w:pStyle w:val="Heading3"/>
        <w:jc w:val="both"/>
        <w:rPr>
          <w:rFonts w:cs="Arial"/>
          <w:sz w:val="24"/>
          <w:szCs w:val="24"/>
        </w:rPr>
      </w:pPr>
      <w:bookmarkStart w:id="54" w:name="_Toc210306821"/>
      <w:r w:rsidRPr="000706D1">
        <w:rPr>
          <w:rFonts w:cs="Arial"/>
          <w:sz w:val="24"/>
          <w:szCs w:val="24"/>
        </w:rPr>
        <w:t xml:space="preserve">OMB </w:t>
      </w:r>
      <w:r w:rsidR="007E5B12" w:rsidRPr="000706D1">
        <w:rPr>
          <w:rFonts w:cs="Arial"/>
          <w:sz w:val="24"/>
          <w:szCs w:val="24"/>
        </w:rPr>
        <w:t>Compliance Requirements</w:t>
      </w:r>
      <w:bookmarkEnd w:id="54"/>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18936BF4"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 xml:space="preserve">Part </w:t>
      </w:r>
      <w:r w:rsidR="004171E2">
        <w:rPr>
          <w:rFonts w:ascii="Arial" w:hAnsi="Arial" w:cs="Arial"/>
          <w:b/>
          <w:sz w:val="24"/>
          <w:szCs w:val="24"/>
        </w:rPr>
        <w:t>5</w:t>
      </w:r>
      <w:r w:rsidR="004171E2" w:rsidRPr="000706D1">
        <w:rPr>
          <w:rFonts w:ascii="Arial" w:hAnsi="Arial" w:cs="Arial"/>
          <w:b/>
          <w:sz w:val="24"/>
          <w:szCs w:val="24"/>
        </w:rPr>
        <w:t xml:space="preserve"> </w:t>
      </w:r>
      <w:r w:rsidRPr="000706D1">
        <w:rPr>
          <w:rFonts w:ascii="Arial" w:hAnsi="Arial" w:cs="Arial"/>
          <w:b/>
          <w:sz w:val="24"/>
          <w:szCs w:val="24"/>
        </w:rPr>
        <w:t>OMB Program Specific Requirements</w:t>
      </w:r>
    </w:p>
    <w:p w14:paraId="674DE3C5" w14:textId="77777777" w:rsidR="004171E2" w:rsidRPr="004171E2" w:rsidRDefault="004171E2" w:rsidP="004171E2">
      <w:pPr>
        <w:pStyle w:val="BodyText"/>
        <w:ind w:right="440"/>
        <w:jc w:val="both"/>
        <w:rPr>
          <w:rFonts w:ascii="Arial" w:hAnsi="Arial" w:cs="Arial"/>
          <w:szCs w:val="20"/>
        </w:rPr>
      </w:pPr>
      <w:r w:rsidRPr="004171E2">
        <w:rPr>
          <w:rFonts w:ascii="Arial" w:hAnsi="Arial" w:cs="Arial"/>
          <w:szCs w:val="20"/>
        </w:rPr>
        <w:t>An institution is not an eligible institution under 34 CFR 600.7(a)(1) if in its latest complete award year (an award year is July 1 to June 30) –</w:t>
      </w:r>
    </w:p>
    <w:p w14:paraId="3E367B7F" w14:textId="77777777" w:rsidR="004171E2" w:rsidRPr="004171E2" w:rsidRDefault="004171E2" w:rsidP="008827D6">
      <w:pPr>
        <w:pStyle w:val="ListParagraph"/>
        <w:widowControl w:val="0"/>
        <w:numPr>
          <w:ilvl w:val="2"/>
          <w:numId w:val="57"/>
        </w:numPr>
        <w:suppressAutoHyphens w:val="0"/>
        <w:adjustRightInd/>
        <w:spacing w:after="240"/>
        <w:ind w:left="720" w:right="789" w:hanging="720"/>
        <w:jc w:val="both"/>
        <w:rPr>
          <w:rFonts w:ascii="Arial" w:hAnsi="Arial" w:cs="Arial"/>
        </w:rPr>
      </w:pPr>
      <w:r w:rsidRPr="004171E2">
        <w:rPr>
          <w:rFonts w:ascii="Arial" w:hAnsi="Arial" w:cs="Arial"/>
        </w:rPr>
        <w:t>More than fifty percent of the institution's courses were correspondence courses (</w:t>
      </w:r>
      <w:hyperlink r:id="rId82" w:anchor="p-600.7(b)">
        <w:r w:rsidRPr="004171E2">
          <w:rPr>
            <w:rFonts w:ascii="Arial" w:hAnsi="Arial" w:cs="Arial"/>
            <w:color w:val="2D74B5"/>
            <w:u w:val="single" w:color="2D74B5"/>
          </w:rPr>
          <w:t>34 CFR</w:t>
        </w:r>
        <w:r w:rsidRPr="004171E2">
          <w:rPr>
            <w:rFonts w:ascii="Arial" w:hAnsi="Arial" w:cs="Arial"/>
            <w:color w:val="2D74B5"/>
            <w:spacing w:val="-6"/>
            <w:u w:val="single" w:color="2D74B5"/>
          </w:rPr>
          <w:t xml:space="preserve"> </w:t>
        </w:r>
        <w:r w:rsidRPr="004171E2">
          <w:rPr>
            <w:rFonts w:ascii="Arial" w:hAnsi="Arial" w:cs="Arial"/>
            <w:color w:val="2D74B5"/>
            <w:u w:val="single" w:color="2D74B5"/>
          </w:rPr>
          <w:t>600.7(a)(1)(i)</w:t>
        </w:r>
      </w:hyperlink>
      <w:r w:rsidRPr="004171E2">
        <w:rPr>
          <w:rFonts w:ascii="Arial" w:hAnsi="Arial" w:cs="Arial"/>
          <w:color w:val="2D74B5"/>
          <w:u w:val="single" w:color="2D74B5"/>
        </w:rPr>
        <w:t>)</w:t>
      </w:r>
      <w:r w:rsidRPr="004171E2">
        <w:rPr>
          <w:rFonts w:ascii="Arial" w:hAnsi="Arial" w:cs="Arial"/>
        </w:rPr>
        <w:t>;</w:t>
      </w:r>
    </w:p>
    <w:p w14:paraId="4B2C861C" w14:textId="77777777" w:rsidR="004171E2" w:rsidRPr="004171E2" w:rsidRDefault="004171E2" w:rsidP="008827D6">
      <w:pPr>
        <w:pStyle w:val="ListParagraph"/>
        <w:widowControl w:val="0"/>
        <w:numPr>
          <w:ilvl w:val="2"/>
          <w:numId w:val="57"/>
        </w:numPr>
        <w:suppressAutoHyphens w:val="0"/>
        <w:adjustRightInd/>
        <w:spacing w:after="240"/>
        <w:ind w:left="720" w:right="886" w:hanging="720"/>
        <w:jc w:val="both"/>
        <w:rPr>
          <w:rFonts w:ascii="Arial" w:hAnsi="Arial" w:cs="Arial"/>
        </w:rPr>
      </w:pPr>
      <w:r w:rsidRPr="004171E2">
        <w:rPr>
          <w:rFonts w:ascii="Arial" w:hAnsi="Arial" w:cs="Arial"/>
        </w:rPr>
        <w:t>Fifty percent or more of the institution's regular enrolled students were enrolled in correspondence courses (34 C.F.R,</w:t>
      </w:r>
      <w:r w:rsidRPr="004171E2">
        <w:rPr>
          <w:rFonts w:ascii="Arial" w:hAnsi="Arial" w:cs="Arial"/>
          <w:spacing w:val="-4"/>
        </w:rPr>
        <w:t xml:space="preserve"> </w:t>
      </w:r>
      <w:r w:rsidRPr="004171E2">
        <w:rPr>
          <w:rFonts w:ascii="Arial" w:hAnsi="Arial" w:cs="Arial"/>
        </w:rPr>
        <w:t>600.7(a)(1)(ii));</w:t>
      </w:r>
    </w:p>
    <w:p w14:paraId="0621CB40" w14:textId="77777777" w:rsidR="004171E2" w:rsidRPr="004171E2" w:rsidRDefault="004171E2" w:rsidP="008827D6">
      <w:pPr>
        <w:pStyle w:val="ListParagraph"/>
        <w:widowControl w:val="0"/>
        <w:numPr>
          <w:ilvl w:val="2"/>
          <w:numId w:val="57"/>
        </w:numPr>
        <w:suppressAutoHyphens w:val="0"/>
        <w:adjustRightInd/>
        <w:spacing w:after="240"/>
        <w:ind w:left="720" w:right="537" w:hanging="720"/>
        <w:jc w:val="both"/>
        <w:rPr>
          <w:rFonts w:ascii="Arial" w:hAnsi="Arial" w:cs="Arial"/>
        </w:rPr>
      </w:pPr>
      <w:r w:rsidRPr="004171E2">
        <w:rPr>
          <w:rFonts w:ascii="Arial" w:hAnsi="Arial" w:cs="Arial"/>
        </w:rPr>
        <w:t>More than twenty-five percent of the institution's regular enrolled</w:t>
      </w:r>
      <w:r w:rsidRPr="004171E2">
        <w:rPr>
          <w:rFonts w:ascii="Arial" w:hAnsi="Arial" w:cs="Arial"/>
          <w:spacing w:val="-24"/>
        </w:rPr>
        <w:t xml:space="preserve"> </w:t>
      </w:r>
      <w:r w:rsidRPr="004171E2">
        <w:rPr>
          <w:rFonts w:ascii="Arial" w:hAnsi="Arial" w:cs="Arial"/>
        </w:rPr>
        <w:t>students were incarcerated (34 C.F.R.</w:t>
      </w:r>
      <w:r w:rsidRPr="004171E2">
        <w:rPr>
          <w:rFonts w:ascii="Arial" w:hAnsi="Arial" w:cs="Arial"/>
          <w:spacing w:val="-3"/>
        </w:rPr>
        <w:t xml:space="preserve"> </w:t>
      </w:r>
      <w:r w:rsidRPr="004171E2">
        <w:rPr>
          <w:rFonts w:ascii="Arial" w:hAnsi="Arial" w:cs="Arial"/>
        </w:rPr>
        <w:t>600.7(a)(1)(iii));</w:t>
      </w:r>
    </w:p>
    <w:p w14:paraId="597EF904" w14:textId="77777777" w:rsidR="004171E2" w:rsidRPr="004171E2" w:rsidRDefault="004171E2" w:rsidP="008827D6">
      <w:pPr>
        <w:pStyle w:val="ListParagraph"/>
        <w:widowControl w:val="0"/>
        <w:numPr>
          <w:ilvl w:val="2"/>
          <w:numId w:val="57"/>
        </w:numPr>
        <w:suppressAutoHyphens w:val="0"/>
        <w:adjustRightInd/>
        <w:spacing w:after="240"/>
        <w:ind w:left="720" w:right="359" w:hanging="720"/>
        <w:jc w:val="both"/>
        <w:rPr>
          <w:rFonts w:ascii="Arial" w:hAnsi="Arial" w:cs="Arial"/>
        </w:rPr>
      </w:pPr>
      <w:r w:rsidRPr="004171E2">
        <w:rPr>
          <w:rFonts w:ascii="Arial" w:hAnsi="Arial" w:cs="Arial"/>
        </w:rPr>
        <w:t>More than fifty percent of its regular enrolled students had neither a high school diploma nor the recognized equivalent of a high school diploma, and the institution does not provide a four-year or two-year educational program for which it awards a bachelor's degree or an associate degree, respectively (34 CFR</w:t>
      </w:r>
      <w:r w:rsidRPr="004171E2">
        <w:rPr>
          <w:rFonts w:ascii="Arial" w:hAnsi="Arial" w:cs="Arial"/>
          <w:spacing w:val="-2"/>
        </w:rPr>
        <w:t xml:space="preserve"> </w:t>
      </w:r>
      <w:r w:rsidRPr="004171E2">
        <w:rPr>
          <w:rFonts w:ascii="Arial" w:hAnsi="Arial" w:cs="Arial"/>
        </w:rPr>
        <w:t>600.7(a)(1)(iv)).</w:t>
      </w:r>
    </w:p>
    <w:p w14:paraId="3931444C" w14:textId="77777777" w:rsidR="004171E2" w:rsidRPr="004171E2" w:rsidRDefault="004171E2" w:rsidP="004171E2">
      <w:pPr>
        <w:pStyle w:val="BodyText"/>
        <w:ind w:right="132"/>
        <w:jc w:val="both"/>
        <w:rPr>
          <w:rFonts w:ascii="Arial" w:hAnsi="Arial" w:cs="Arial"/>
          <w:szCs w:val="20"/>
        </w:rPr>
      </w:pPr>
      <w:r w:rsidRPr="004171E2">
        <w:rPr>
          <w:rFonts w:ascii="Arial" w:hAnsi="Arial" w:cs="Arial"/>
          <w:szCs w:val="20"/>
        </w:rPr>
        <w:t xml:space="preserve">Institutions are not required to report this information to ED, however; an institution must maintain documentation of its compliance with the requirements. The regulations require an annual attestation on compliance with these institutional eligibility requirements. ED issued an Electronic Announcement on how this requirement should be applied to Single Audit institutions on December 21, 2023. ED’s regulations describe the auditor’s substantiation of these calculations, and reporting thereon, as an attestation performed in accordance with the American Institute of Certified Public Accountant’s Statement on Standards for Attestation Engagements. However, ED does accept coverage of these calculations through an institution’s annual Title IV compliance audit or Single Audit submission, even if that audit is </w:t>
      </w:r>
      <w:r w:rsidRPr="004171E2">
        <w:rPr>
          <w:rFonts w:ascii="Arial" w:hAnsi="Arial" w:cs="Arial"/>
          <w:szCs w:val="20"/>
        </w:rPr>
        <w:lastRenderedPageBreak/>
        <w:t xml:space="preserve">performed in accordance with auditing standards rather than attestation standards. These annual attestation requirements are required except to the extent that: (1) an institution is granted a waiver or exemption from the annual compliance audit requirement, or (2) in the case of an institution that, under the Single Audit, did not have its Title IV programs audited, either because the audited entity’s SFA Cluster was not a major program or because the institution was not included by the auditor for audit evaluation and testing of the administration of the Title IV programs consistent with Single Audit Act requirements under 2 CFR 200 Subpart F. However, if the institution’s Title IV programs either were audited or were required to be audited for any fiscal year, the attestations described above must be performed for that fiscal year, see </w:t>
      </w:r>
      <w:hyperlink r:id="rId83">
        <w:r w:rsidRPr="004171E2">
          <w:rPr>
            <w:rFonts w:ascii="Arial" w:hAnsi="Arial" w:cs="Arial"/>
            <w:color w:val="2D74B5"/>
            <w:szCs w:val="20"/>
            <w:u w:val="single" w:color="2D74B5"/>
          </w:rPr>
          <w:t>(GENERAL-23-121) Requirement for Institutions to Have Certain Calculations</w:t>
        </w:r>
      </w:hyperlink>
      <w:r w:rsidRPr="004171E2">
        <w:rPr>
          <w:rFonts w:ascii="Arial" w:hAnsi="Arial" w:cs="Arial"/>
          <w:color w:val="2D74B5"/>
          <w:szCs w:val="20"/>
        </w:rPr>
        <w:t xml:space="preserve"> </w:t>
      </w:r>
      <w:hyperlink r:id="rId84">
        <w:r w:rsidRPr="004171E2">
          <w:rPr>
            <w:rFonts w:ascii="Arial" w:hAnsi="Arial" w:cs="Arial"/>
            <w:color w:val="2D74B5"/>
            <w:szCs w:val="20"/>
            <w:u w:val="single" w:color="2D74B5"/>
          </w:rPr>
          <w:t>Related to Institutional and Program Eligibility Substantiated by an Independent Auditor</w:t>
        </w:r>
      </w:hyperlink>
      <w:r w:rsidRPr="004171E2">
        <w:rPr>
          <w:rFonts w:ascii="Arial" w:hAnsi="Arial" w:cs="Arial"/>
          <w:color w:val="2D74B5"/>
          <w:szCs w:val="20"/>
        </w:rPr>
        <w:t xml:space="preserve"> </w:t>
      </w:r>
      <w:r w:rsidRPr="004171E2">
        <w:rPr>
          <w:rFonts w:ascii="Arial" w:hAnsi="Arial" w:cs="Arial"/>
          <w:szCs w:val="20"/>
        </w:rPr>
        <w:t>for additional</w:t>
      </w:r>
      <w:r w:rsidRPr="004171E2">
        <w:rPr>
          <w:rFonts w:ascii="Arial" w:hAnsi="Arial" w:cs="Arial"/>
          <w:spacing w:val="-1"/>
          <w:szCs w:val="20"/>
        </w:rPr>
        <w:t xml:space="preserve"> </w:t>
      </w:r>
      <w:r w:rsidRPr="004171E2">
        <w:rPr>
          <w:rFonts w:ascii="Arial" w:hAnsi="Arial" w:cs="Arial"/>
          <w:szCs w:val="20"/>
        </w:rPr>
        <w:t>information.</w:t>
      </w:r>
    </w:p>
    <w:p w14:paraId="2E3F0605" w14:textId="0C1F3A02" w:rsidR="004171E2" w:rsidRPr="004171E2" w:rsidRDefault="004171E2" w:rsidP="004171E2">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171E2">
        <w:rPr>
          <w:rFonts w:ascii="Arial" w:hAnsi="Arial" w:cs="Arial"/>
        </w:rPr>
        <w:t>For purposes of the institutional eligibility percentages at 34 CFR 600.7(a)(1)(ii), (iii), and (iv); a regular enrolled student is a person who is enrolled at an institution for the purpose of obtaining a degree, certificate, or other recognized educational credential offered by that institution.</w:t>
      </w:r>
    </w:p>
    <w:p w14:paraId="363F0D32" w14:textId="77777777" w:rsidR="004171E2" w:rsidRPr="004171E2" w:rsidRDefault="004171E2" w:rsidP="004171E2">
      <w:pPr>
        <w:pStyle w:val="BodyText"/>
        <w:ind w:right="835"/>
        <w:jc w:val="both"/>
        <w:rPr>
          <w:rFonts w:ascii="Arial" w:hAnsi="Arial" w:cs="Arial"/>
          <w:szCs w:val="20"/>
        </w:rPr>
      </w:pPr>
      <w:r w:rsidRPr="004171E2">
        <w:rPr>
          <w:rFonts w:ascii="Arial" w:hAnsi="Arial" w:cs="Arial"/>
          <w:szCs w:val="20"/>
        </w:rPr>
        <w:t>When counting regular enrolled students for the required calculations in 34 C.F.R. 600.7(a)(1)(ii), (iii) and (iv); the institution is required to —</w:t>
      </w:r>
    </w:p>
    <w:p w14:paraId="4AEF03D0" w14:textId="77777777" w:rsidR="004171E2" w:rsidRPr="004171E2" w:rsidRDefault="004171E2" w:rsidP="008827D6">
      <w:pPr>
        <w:pStyle w:val="ListParagraph"/>
        <w:widowControl w:val="0"/>
        <w:numPr>
          <w:ilvl w:val="0"/>
          <w:numId w:val="58"/>
        </w:numPr>
        <w:suppressAutoHyphens w:val="0"/>
        <w:adjustRightInd/>
        <w:spacing w:after="240"/>
        <w:ind w:left="720" w:right="447" w:hanging="720"/>
        <w:jc w:val="both"/>
        <w:rPr>
          <w:rFonts w:ascii="Arial" w:hAnsi="Arial" w:cs="Arial"/>
        </w:rPr>
      </w:pPr>
      <w:r w:rsidRPr="004171E2">
        <w:rPr>
          <w:rFonts w:ascii="Arial" w:hAnsi="Arial" w:cs="Arial"/>
        </w:rPr>
        <w:t>Count each regular enrolled student without regard to the full-time or part-time nature of the student's attendance (i.e., “head count” rather than “full-time equivalent”);</w:t>
      </w:r>
    </w:p>
    <w:p w14:paraId="4E7231AE" w14:textId="77777777" w:rsidR="004171E2" w:rsidRPr="004171E2" w:rsidRDefault="004171E2" w:rsidP="008827D6">
      <w:pPr>
        <w:pStyle w:val="ListParagraph"/>
        <w:widowControl w:val="0"/>
        <w:numPr>
          <w:ilvl w:val="0"/>
          <w:numId w:val="58"/>
        </w:numPr>
        <w:suppressAutoHyphens w:val="0"/>
        <w:adjustRightInd/>
        <w:spacing w:after="240"/>
        <w:ind w:left="720" w:right="802" w:hanging="720"/>
        <w:jc w:val="both"/>
        <w:rPr>
          <w:rFonts w:ascii="Arial" w:hAnsi="Arial" w:cs="Arial"/>
        </w:rPr>
      </w:pPr>
      <w:r w:rsidRPr="004171E2">
        <w:rPr>
          <w:rFonts w:ascii="Arial" w:hAnsi="Arial" w:cs="Arial"/>
        </w:rPr>
        <w:t>Count a regular enrolled student once regardless of the number of times</w:t>
      </w:r>
      <w:r w:rsidRPr="004171E2">
        <w:rPr>
          <w:rFonts w:ascii="Arial" w:hAnsi="Arial" w:cs="Arial"/>
          <w:spacing w:val="-21"/>
        </w:rPr>
        <w:t xml:space="preserve"> </w:t>
      </w:r>
      <w:r w:rsidRPr="004171E2">
        <w:rPr>
          <w:rFonts w:ascii="Arial" w:hAnsi="Arial" w:cs="Arial"/>
        </w:rPr>
        <w:t>the student enrolls during an award year;</w:t>
      </w:r>
      <w:r w:rsidRPr="004171E2">
        <w:rPr>
          <w:rFonts w:ascii="Arial" w:hAnsi="Arial" w:cs="Arial"/>
          <w:spacing w:val="-5"/>
        </w:rPr>
        <w:t xml:space="preserve"> </w:t>
      </w:r>
      <w:r w:rsidRPr="004171E2">
        <w:rPr>
          <w:rFonts w:ascii="Arial" w:hAnsi="Arial" w:cs="Arial"/>
        </w:rPr>
        <w:t>and</w:t>
      </w:r>
    </w:p>
    <w:p w14:paraId="0DE8C85D" w14:textId="77777777" w:rsidR="004171E2" w:rsidRPr="004171E2" w:rsidRDefault="004171E2" w:rsidP="008827D6">
      <w:pPr>
        <w:pStyle w:val="ListParagraph"/>
        <w:widowControl w:val="0"/>
        <w:numPr>
          <w:ilvl w:val="0"/>
          <w:numId w:val="58"/>
        </w:numPr>
        <w:suppressAutoHyphens w:val="0"/>
        <w:adjustRightInd/>
        <w:spacing w:after="240"/>
        <w:ind w:left="720" w:right="287" w:hanging="720"/>
        <w:jc w:val="both"/>
        <w:rPr>
          <w:rFonts w:ascii="Arial" w:hAnsi="Arial" w:cs="Arial"/>
        </w:rPr>
      </w:pPr>
      <w:r w:rsidRPr="004171E2">
        <w:rPr>
          <w:rFonts w:ascii="Arial" w:hAnsi="Arial" w:cs="Arial"/>
        </w:rPr>
        <w:t>Determine the number of regular students who enrolled in the institution during the relevant award year by calculating the number of regular students who enrolled during that award year as specified above; and excluding from this number, the number of regular students who enrolled but subsequently</w:t>
      </w:r>
      <w:r w:rsidRPr="004171E2">
        <w:rPr>
          <w:rFonts w:ascii="Arial" w:hAnsi="Arial" w:cs="Arial"/>
          <w:spacing w:val="-17"/>
        </w:rPr>
        <w:t xml:space="preserve"> </w:t>
      </w:r>
      <w:r w:rsidRPr="004171E2">
        <w:rPr>
          <w:rFonts w:ascii="Arial" w:hAnsi="Arial" w:cs="Arial"/>
        </w:rPr>
        <w:t>withdrew or were expelled from the institution and were entitled to receive a 100 percent refund of their tuition and fees less any administrative fee that the institution is permitted to keep under its fair and equitable refund policy (34 C.F.R. 600.7(e)(1)).</w:t>
      </w:r>
    </w:p>
    <w:p w14:paraId="6A263B32" w14:textId="77777777" w:rsidR="004171E2" w:rsidRPr="004171E2" w:rsidRDefault="004171E2" w:rsidP="004171E2">
      <w:pPr>
        <w:spacing w:after="240"/>
        <w:jc w:val="both"/>
        <w:rPr>
          <w:rFonts w:ascii="Arial" w:hAnsi="Arial" w:cs="Arial"/>
          <w:i/>
        </w:rPr>
      </w:pPr>
      <w:r w:rsidRPr="004171E2">
        <w:rPr>
          <w:rFonts w:ascii="Arial" w:hAnsi="Arial" w:cs="Arial"/>
          <w:i/>
        </w:rPr>
        <w:t>Correspondence courses and Correspondence Students</w:t>
      </w:r>
    </w:p>
    <w:p w14:paraId="10501DCB" w14:textId="77777777" w:rsidR="004171E2" w:rsidRPr="004171E2" w:rsidRDefault="004171E2" w:rsidP="004171E2">
      <w:pPr>
        <w:pStyle w:val="BodyText"/>
        <w:ind w:right="196"/>
        <w:jc w:val="both"/>
        <w:rPr>
          <w:rFonts w:ascii="Arial" w:hAnsi="Arial" w:cs="Arial"/>
          <w:szCs w:val="20"/>
        </w:rPr>
      </w:pPr>
      <w:r w:rsidRPr="004171E2">
        <w:rPr>
          <w:rFonts w:ascii="Arial" w:hAnsi="Arial" w:cs="Arial"/>
          <w:szCs w:val="20"/>
        </w:rPr>
        <w:t>A course offered through correspondence is a course in which the institution provides instructional materials, by mail or electronic transmission, including examinations on the materials, to students who are separated from the instructors. Interaction between instructors and students in a correspondence course is limited, is not regular and substantive, and is primarily initiated by the student. If a course is part correspondence and part residential training, the Secretary considers the course to be a correspondence course. A correspondence course is not considered distance education (34 CFR 600.2 Correspondence Course).</w:t>
      </w:r>
    </w:p>
    <w:p w14:paraId="77F42103" w14:textId="77777777" w:rsidR="004171E2" w:rsidRPr="004171E2" w:rsidRDefault="004171E2" w:rsidP="004171E2">
      <w:pPr>
        <w:pStyle w:val="BodyText"/>
        <w:ind w:right="179"/>
        <w:jc w:val="both"/>
        <w:rPr>
          <w:rFonts w:ascii="Arial" w:hAnsi="Arial" w:cs="Arial"/>
          <w:szCs w:val="20"/>
        </w:rPr>
      </w:pPr>
      <w:r w:rsidRPr="004171E2">
        <w:rPr>
          <w:rFonts w:ascii="Arial" w:hAnsi="Arial" w:cs="Arial"/>
          <w:szCs w:val="20"/>
        </w:rPr>
        <w:t>If a course is offered where students are separated from the instructor and are not being taught in the same physical space, the course is considered a correspondence course if it does not meet the requirements for distance education. Under the administrative capability regulations at 34 C.F.R. 668.16(c) an institution participating in the Title IV, HEA programs must have an adequate system of internal control. An adequate system of internal control would include internal controls to ensure that any courses identified as distance education courses meet the regulatory requirements to qualify as distance education courses and should not be classified as correspondence courses. If an institution cannot document that a course meets the requirements for distance education, it should be considered a correspondence</w:t>
      </w:r>
      <w:r w:rsidRPr="004171E2">
        <w:rPr>
          <w:rFonts w:ascii="Arial" w:hAnsi="Arial" w:cs="Arial"/>
          <w:spacing w:val="-5"/>
          <w:szCs w:val="20"/>
        </w:rPr>
        <w:t xml:space="preserve"> </w:t>
      </w:r>
      <w:r w:rsidRPr="004171E2">
        <w:rPr>
          <w:rFonts w:ascii="Arial" w:hAnsi="Arial" w:cs="Arial"/>
          <w:szCs w:val="20"/>
        </w:rPr>
        <w:t>course.</w:t>
      </w:r>
    </w:p>
    <w:p w14:paraId="0FB62A86" w14:textId="77777777" w:rsidR="004171E2" w:rsidRPr="004171E2" w:rsidRDefault="004171E2" w:rsidP="004171E2">
      <w:pPr>
        <w:pStyle w:val="BodyText"/>
        <w:ind w:right="141"/>
        <w:jc w:val="both"/>
        <w:rPr>
          <w:rFonts w:ascii="Arial" w:hAnsi="Arial" w:cs="Arial"/>
          <w:szCs w:val="20"/>
        </w:rPr>
      </w:pPr>
      <w:r w:rsidRPr="004171E2">
        <w:rPr>
          <w:rFonts w:ascii="Arial" w:hAnsi="Arial" w:cs="Arial"/>
          <w:szCs w:val="20"/>
        </w:rPr>
        <w:t xml:space="preserve">Delivery of education through distance education has a number of requirements for courses offered through this mode of educational delivery to not be considered correspondence courses.  Distance </w:t>
      </w:r>
      <w:r w:rsidRPr="004171E2">
        <w:rPr>
          <w:rFonts w:ascii="Arial" w:hAnsi="Arial" w:cs="Arial"/>
          <w:szCs w:val="20"/>
        </w:rPr>
        <w:lastRenderedPageBreak/>
        <w:t>education uses one or more  technologies including the internet; one-way and two-way transmissions through open broadcast, closed circuit, cable, microwave, broadband lines, fiber optics, satellite, or wireless communications devices; audio conference; or a combination of technologies with other media used in a course to deliver instruction to students who are separated from the instructor or instructors and to support regular and substantive interaction between the students and</w:t>
      </w:r>
      <w:r w:rsidRPr="004171E2">
        <w:rPr>
          <w:rFonts w:ascii="Arial" w:hAnsi="Arial" w:cs="Arial"/>
          <w:spacing w:val="-21"/>
          <w:szCs w:val="20"/>
        </w:rPr>
        <w:t xml:space="preserve"> </w:t>
      </w:r>
      <w:r w:rsidRPr="004171E2">
        <w:rPr>
          <w:rFonts w:ascii="Arial" w:hAnsi="Arial" w:cs="Arial"/>
          <w:szCs w:val="20"/>
        </w:rPr>
        <w:t>the instructor or instructors, either synchronously or asynchronously (34 CFR 600.2 Distance education (1) and (2)).</w:t>
      </w:r>
    </w:p>
    <w:p w14:paraId="7FD38E3F" w14:textId="77777777" w:rsidR="004171E2" w:rsidRPr="004171E2" w:rsidRDefault="004171E2" w:rsidP="004171E2">
      <w:pPr>
        <w:pStyle w:val="BodyText"/>
        <w:ind w:right="242"/>
        <w:jc w:val="both"/>
        <w:rPr>
          <w:rFonts w:ascii="Arial" w:hAnsi="Arial" w:cs="Arial"/>
          <w:szCs w:val="20"/>
        </w:rPr>
      </w:pPr>
      <w:r w:rsidRPr="004171E2">
        <w:rPr>
          <w:rFonts w:ascii="Arial" w:hAnsi="Arial" w:cs="Arial"/>
          <w:szCs w:val="20"/>
        </w:rPr>
        <w:t>For purposes of distance education, an instructor is an individual responsible for delivering course content and who meets the qualifications for instruction established by an institution's accrediting agency (34 CFR 600.2 Distance education (3)).</w:t>
      </w:r>
    </w:p>
    <w:p w14:paraId="46A5C6D3" w14:textId="77777777" w:rsidR="004171E2" w:rsidRPr="004171E2" w:rsidRDefault="004171E2" w:rsidP="004171E2">
      <w:pPr>
        <w:pStyle w:val="BodyText"/>
        <w:ind w:right="195"/>
        <w:jc w:val="both"/>
        <w:rPr>
          <w:rFonts w:ascii="Arial" w:hAnsi="Arial" w:cs="Arial"/>
          <w:szCs w:val="20"/>
        </w:rPr>
      </w:pPr>
      <w:r w:rsidRPr="004171E2">
        <w:rPr>
          <w:rFonts w:ascii="Arial" w:hAnsi="Arial" w:cs="Arial"/>
          <w:szCs w:val="20"/>
        </w:rPr>
        <w:t>A course offered through distance education must support regular and substantive interaction between the students and the instructor or instructors, either synchronously or asynchronously. An institution demonstrates that a course supports regular interaction between a student and an instructor or instructors by, prior to the student's completion of a course or competency:</w:t>
      </w:r>
    </w:p>
    <w:p w14:paraId="2B22ADCA" w14:textId="77777777" w:rsidR="004171E2" w:rsidRPr="004171E2" w:rsidRDefault="004171E2" w:rsidP="008827D6">
      <w:pPr>
        <w:pStyle w:val="ListParagraph"/>
        <w:widowControl w:val="0"/>
        <w:numPr>
          <w:ilvl w:val="0"/>
          <w:numId w:val="59"/>
        </w:numPr>
        <w:suppressAutoHyphens w:val="0"/>
        <w:adjustRightInd/>
        <w:spacing w:after="240"/>
        <w:ind w:left="720" w:right="540"/>
        <w:jc w:val="both"/>
        <w:rPr>
          <w:rFonts w:ascii="Arial" w:hAnsi="Arial" w:cs="Arial"/>
        </w:rPr>
      </w:pPr>
      <w:r w:rsidRPr="004171E2">
        <w:rPr>
          <w:rFonts w:ascii="Arial" w:hAnsi="Arial" w:cs="Arial"/>
        </w:rPr>
        <w:t>Providing the opportunity for substantive interactions with the student on a predictable and scheduled basis commensurate with the length of time and the amount of content in the course or competency;</w:t>
      </w:r>
      <w:r w:rsidRPr="004171E2">
        <w:rPr>
          <w:rFonts w:ascii="Arial" w:hAnsi="Arial" w:cs="Arial"/>
          <w:spacing w:val="-5"/>
        </w:rPr>
        <w:t xml:space="preserve"> </w:t>
      </w:r>
      <w:r w:rsidRPr="004171E2">
        <w:rPr>
          <w:rFonts w:ascii="Arial" w:hAnsi="Arial" w:cs="Arial"/>
        </w:rPr>
        <w:t>and</w:t>
      </w:r>
    </w:p>
    <w:p w14:paraId="6C71EB2F" w14:textId="77777777" w:rsidR="004171E2" w:rsidRPr="004171E2" w:rsidRDefault="004171E2" w:rsidP="008827D6">
      <w:pPr>
        <w:pStyle w:val="ListParagraph"/>
        <w:widowControl w:val="0"/>
        <w:numPr>
          <w:ilvl w:val="0"/>
          <w:numId w:val="59"/>
        </w:numPr>
        <w:suppressAutoHyphens w:val="0"/>
        <w:adjustRightInd/>
        <w:spacing w:after="240"/>
        <w:ind w:left="720" w:right="159"/>
        <w:jc w:val="both"/>
        <w:rPr>
          <w:rFonts w:ascii="Arial" w:hAnsi="Arial" w:cs="Arial"/>
        </w:rPr>
      </w:pPr>
      <w:r w:rsidRPr="004171E2">
        <w:rPr>
          <w:rFonts w:ascii="Arial" w:hAnsi="Arial" w:cs="Arial"/>
        </w:rPr>
        <w:t>monitoring the student's academic engagement and success and ensuring that an instructor is responsible for promptly and proactively engaging in substantive interaction with the student when needed on the basis of such monitoring, or upon request by the student (34 CFR 600.2 Distance education</w:t>
      </w:r>
      <w:r w:rsidRPr="004171E2">
        <w:rPr>
          <w:rFonts w:ascii="Arial" w:hAnsi="Arial" w:cs="Arial"/>
          <w:spacing w:val="-6"/>
        </w:rPr>
        <w:t xml:space="preserve"> </w:t>
      </w:r>
      <w:r w:rsidRPr="004171E2">
        <w:rPr>
          <w:rFonts w:ascii="Arial" w:hAnsi="Arial" w:cs="Arial"/>
        </w:rPr>
        <w:t>(5)).</w:t>
      </w:r>
    </w:p>
    <w:p w14:paraId="7B3D8DA6" w14:textId="77777777" w:rsidR="004171E2" w:rsidRPr="004171E2" w:rsidRDefault="004171E2" w:rsidP="004171E2">
      <w:pPr>
        <w:pStyle w:val="BodyText"/>
        <w:ind w:right="442"/>
        <w:jc w:val="both"/>
        <w:rPr>
          <w:rFonts w:ascii="Arial" w:hAnsi="Arial" w:cs="Arial"/>
          <w:szCs w:val="20"/>
        </w:rPr>
      </w:pPr>
      <w:r w:rsidRPr="004171E2">
        <w:rPr>
          <w:rFonts w:ascii="Arial" w:hAnsi="Arial" w:cs="Arial"/>
          <w:szCs w:val="20"/>
        </w:rPr>
        <w:t>Substantive interaction for education delivered through distance education is engaging students in teaching, learning, and assessment, consistent with the content under discussion. In order for a course to be considered offered through distance education, substantive interaction must include at least two of the following –</w:t>
      </w:r>
    </w:p>
    <w:p w14:paraId="7E8C822D" w14:textId="77777777" w:rsidR="004171E2" w:rsidRPr="004171E2" w:rsidRDefault="004171E2" w:rsidP="008827D6">
      <w:pPr>
        <w:pStyle w:val="ListParagraph"/>
        <w:widowControl w:val="0"/>
        <w:numPr>
          <w:ilvl w:val="0"/>
          <w:numId w:val="59"/>
        </w:numPr>
        <w:suppressAutoHyphens w:val="0"/>
        <w:adjustRightInd/>
        <w:spacing w:after="240"/>
        <w:ind w:left="720"/>
        <w:jc w:val="both"/>
        <w:rPr>
          <w:rFonts w:ascii="Arial" w:hAnsi="Arial" w:cs="Arial"/>
        </w:rPr>
      </w:pPr>
      <w:r w:rsidRPr="004171E2">
        <w:rPr>
          <w:rFonts w:ascii="Arial" w:hAnsi="Arial" w:cs="Arial"/>
        </w:rPr>
        <w:t>Providing direct</w:t>
      </w:r>
      <w:r w:rsidRPr="004171E2">
        <w:rPr>
          <w:rFonts w:ascii="Arial" w:hAnsi="Arial" w:cs="Arial"/>
          <w:spacing w:val="-2"/>
        </w:rPr>
        <w:t xml:space="preserve"> </w:t>
      </w:r>
      <w:r w:rsidRPr="004171E2">
        <w:rPr>
          <w:rFonts w:ascii="Arial" w:hAnsi="Arial" w:cs="Arial"/>
        </w:rPr>
        <w:t>instruction;</w:t>
      </w:r>
    </w:p>
    <w:p w14:paraId="6F6AE3CB" w14:textId="77777777" w:rsidR="004171E2" w:rsidRPr="004171E2" w:rsidRDefault="004171E2" w:rsidP="008827D6">
      <w:pPr>
        <w:pStyle w:val="ListParagraph"/>
        <w:widowControl w:val="0"/>
        <w:numPr>
          <w:ilvl w:val="0"/>
          <w:numId w:val="59"/>
        </w:numPr>
        <w:suppressAutoHyphens w:val="0"/>
        <w:adjustRightInd/>
        <w:spacing w:after="240" w:line="293" w:lineRule="exact"/>
        <w:ind w:left="720"/>
        <w:jc w:val="both"/>
        <w:rPr>
          <w:rFonts w:ascii="Arial" w:hAnsi="Arial" w:cs="Arial"/>
        </w:rPr>
      </w:pPr>
      <w:r w:rsidRPr="004171E2">
        <w:rPr>
          <w:rFonts w:ascii="Arial" w:hAnsi="Arial" w:cs="Arial"/>
        </w:rPr>
        <w:t>Assessing or providing feedback on a student's</w:t>
      </w:r>
      <w:r w:rsidRPr="004171E2">
        <w:rPr>
          <w:rFonts w:ascii="Arial" w:hAnsi="Arial" w:cs="Arial"/>
          <w:spacing w:val="-7"/>
        </w:rPr>
        <w:t xml:space="preserve"> </w:t>
      </w:r>
      <w:r w:rsidRPr="004171E2">
        <w:rPr>
          <w:rFonts w:ascii="Arial" w:hAnsi="Arial" w:cs="Arial"/>
        </w:rPr>
        <w:t>coursework;</w:t>
      </w:r>
    </w:p>
    <w:p w14:paraId="72B1CEDD" w14:textId="77777777" w:rsidR="004171E2" w:rsidRPr="004171E2" w:rsidRDefault="004171E2" w:rsidP="008827D6">
      <w:pPr>
        <w:pStyle w:val="ListParagraph"/>
        <w:widowControl w:val="0"/>
        <w:numPr>
          <w:ilvl w:val="0"/>
          <w:numId w:val="59"/>
        </w:numPr>
        <w:suppressAutoHyphens w:val="0"/>
        <w:adjustRightInd/>
        <w:spacing w:after="240"/>
        <w:ind w:left="720" w:right="213"/>
        <w:jc w:val="both"/>
        <w:rPr>
          <w:rFonts w:ascii="Arial" w:hAnsi="Arial" w:cs="Arial"/>
        </w:rPr>
      </w:pPr>
      <w:r w:rsidRPr="004171E2">
        <w:rPr>
          <w:rFonts w:ascii="Arial" w:hAnsi="Arial" w:cs="Arial"/>
        </w:rPr>
        <w:t>Providing information or responding to questions about the content of a course</w:t>
      </w:r>
      <w:r w:rsidRPr="004171E2">
        <w:rPr>
          <w:rFonts w:ascii="Arial" w:hAnsi="Arial" w:cs="Arial"/>
          <w:spacing w:val="-20"/>
        </w:rPr>
        <w:t xml:space="preserve"> </w:t>
      </w:r>
      <w:r w:rsidRPr="004171E2">
        <w:rPr>
          <w:rFonts w:ascii="Arial" w:hAnsi="Arial" w:cs="Arial"/>
        </w:rPr>
        <w:t>or competency;</w:t>
      </w:r>
    </w:p>
    <w:p w14:paraId="2A59F8AF" w14:textId="77777777" w:rsidR="004171E2" w:rsidRPr="004171E2" w:rsidRDefault="004171E2" w:rsidP="008827D6">
      <w:pPr>
        <w:pStyle w:val="ListParagraph"/>
        <w:widowControl w:val="0"/>
        <w:numPr>
          <w:ilvl w:val="0"/>
          <w:numId w:val="59"/>
        </w:numPr>
        <w:suppressAutoHyphens w:val="0"/>
        <w:adjustRightInd/>
        <w:spacing w:after="240"/>
        <w:ind w:left="720" w:right="339"/>
        <w:jc w:val="both"/>
        <w:rPr>
          <w:rFonts w:ascii="Arial" w:hAnsi="Arial" w:cs="Arial"/>
        </w:rPr>
      </w:pPr>
      <w:r w:rsidRPr="004171E2">
        <w:rPr>
          <w:rFonts w:ascii="Arial" w:hAnsi="Arial" w:cs="Arial"/>
        </w:rPr>
        <w:t>Facilitating a group discussion regarding the content of a course or competency; or</w:t>
      </w:r>
    </w:p>
    <w:p w14:paraId="58A629EA" w14:textId="77777777" w:rsidR="004171E2" w:rsidRPr="004171E2" w:rsidRDefault="004171E2" w:rsidP="008827D6">
      <w:pPr>
        <w:pStyle w:val="ListParagraph"/>
        <w:widowControl w:val="0"/>
        <w:numPr>
          <w:ilvl w:val="0"/>
          <w:numId w:val="59"/>
        </w:numPr>
        <w:suppressAutoHyphens w:val="0"/>
        <w:adjustRightInd/>
        <w:spacing w:after="240"/>
        <w:ind w:left="720" w:right="131"/>
        <w:jc w:val="both"/>
        <w:rPr>
          <w:rFonts w:ascii="Arial" w:hAnsi="Arial" w:cs="Arial"/>
        </w:rPr>
      </w:pPr>
      <w:r w:rsidRPr="004171E2">
        <w:rPr>
          <w:rFonts w:ascii="Arial" w:hAnsi="Arial" w:cs="Arial"/>
        </w:rPr>
        <w:t>Other instructional activities approved by the institution's or program's accrediting agency (34 CFR 600.2 Distance education</w:t>
      </w:r>
      <w:r w:rsidRPr="004171E2">
        <w:rPr>
          <w:rFonts w:ascii="Arial" w:hAnsi="Arial" w:cs="Arial"/>
          <w:spacing w:val="-6"/>
        </w:rPr>
        <w:t xml:space="preserve"> </w:t>
      </w:r>
      <w:r w:rsidRPr="004171E2">
        <w:rPr>
          <w:rFonts w:ascii="Arial" w:hAnsi="Arial" w:cs="Arial"/>
        </w:rPr>
        <w:t>(4)).</w:t>
      </w:r>
    </w:p>
    <w:p w14:paraId="76EF9F49" w14:textId="77777777" w:rsidR="004171E2" w:rsidRPr="004171E2" w:rsidRDefault="004171E2" w:rsidP="004171E2">
      <w:pPr>
        <w:pStyle w:val="BodyText"/>
        <w:ind w:right="578"/>
        <w:jc w:val="both"/>
        <w:rPr>
          <w:rFonts w:ascii="Arial" w:hAnsi="Arial" w:cs="Arial"/>
          <w:szCs w:val="20"/>
        </w:rPr>
      </w:pPr>
      <w:r w:rsidRPr="004171E2">
        <w:rPr>
          <w:rFonts w:ascii="Arial" w:hAnsi="Arial" w:cs="Arial"/>
          <w:szCs w:val="20"/>
        </w:rPr>
        <w:t>Academic engagement is active participation by a student in an instructional activity related to the student's course of study that is defined by the institution in accordance with any applicable requirements of its State or accrediting agency. In evaluating academic engagement, the regulations provide that it includes, but is not limited to –</w:t>
      </w:r>
    </w:p>
    <w:p w14:paraId="692772CD" w14:textId="77777777" w:rsidR="004171E2" w:rsidRPr="004171E2" w:rsidRDefault="004171E2" w:rsidP="008827D6">
      <w:pPr>
        <w:pStyle w:val="ListParagraph"/>
        <w:widowControl w:val="0"/>
        <w:numPr>
          <w:ilvl w:val="0"/>
          <w:numId w:val="59"/>
        </w:numPr>
        <w:tabs>
          <w:tab w:val="left" w:pos="1170"/>
        </w:tabs>
        <w:suppressAutoHyphens w:val="0"/>
        <w:adjustRightInd/>
        <w:spacing w:after="240"/>
        <w:ind w:left="720" w:right="346"/>
        <w:jc w:val="both"/>
        <w:rPr>
          <w:rFonts w:ascii="Arial" w:hAnsi="Arial" w:cs="Arial"/>
        </w:rPr>
      </w:pPr>
      <w:r w:rsidRPr="004171E2">
        <w:rPr>
          <w:rFonts w:ascii="Arial" w:hAnsi="Arial" w:cs="Arial"/>
        </w:rPr>
        <w:t>Attending a synchronous class, lecture, recitation, or field or laboratory activity, physically or online, where there is an opportunity for interaction between the instructor and</w:t>
      </w:r>
      <w:r w:rsidRPr="004171E2">
        <w:rPr>
          <w:rFonts w:ascii="Arial" w:hAnsi="Arial" w:cs="Arial"/>
          <w:spacing w:val="-1"/>
        </w:rPr>
        <w:t xml:space="preserve"> </w:t>
      </w:r>
      <w:r w:rsidRPr="004171E2">
        <w:rPr>
          <w:rFonts w:ascii="Arial" w:hAnsi="Arial" w:cs="Arial"/>
        </w:rPr>
        <w:t>students;</w:t>
      </w:r>
    </w:p>
    <w:p w14:paraId="296C0DC6" w14:textId="77777777" w:rsidR="004171E2" w:rsidRPr="004171E2" w:rsidRDefault="004171E2" w:rsidP="008827D6">
      <w:pPr>
        <w:pStyle w:val="ListParagraph"/>
        <w:widowControl w:val="0"/>
        <w:numPr>
          <w:ilvl w:val="0"/>
          <w:numId w:val="59"/>
        </w:numPr>
        <w:tabs>
          <w:tab w:val="left" w:pos="1170"/>
        </w:tabs>
        <w:suppressAutoHyphens w:val="0"/>
        <w:adjustRightInd/>
        <w:spacing w:after="240" w:line="292" w:lineRule="exact"/>
        <w:ind w:left="720"/>
        <w:jc w:val="both"/>
        <w:rPr>
          <w:rFonts w:ascii="Arial" w:hAnsi="Arial" w:cs="Arial"/>
        </w:rPr>
      </w:pPr>
      <w:r w:rsidRPr="004171E2">
        <w:rPr>
          <w:rFonts w:ascii="Arial" w:hAnsi="Arial" w:cs="Arial"/>
        </w:rPr>
        <w:t>Submitting an academic</w:t>
      </w:r>
      <w:r w:rsidRPr="004171E2">
        <w:rPr>
          <w:rFonts w:ascii="Arial" w:hAnsi="Arial" w:cs="Arial"/>
          <w:spacing w:val="-4"/>
        </w:rPr>
        <w:t xml:space="preserve"> </w:t>
      </w:r>
      <w:r w:rsidRPr="004171E2">
        <w:rPr>
          <w:rFonts w:ascii="Arial" w:hAnsi="Arial" w:cs="Arial"/>
        </w:rPr>
        <w:t>assignment;</w:t>
      </w:r>
    </w:p>
    <w:p w14:paraId="31591C9A" w14:textId="77777777" w:rsidR="004171E2" w:rsidRPr="004171E2" w:rsidRDefault="004171E2" w:rsidP="008827D6">
      <w:pPr>
        <w:pStyle w:val="ListParagraph"/>
        <w:widowControl w:val="0"/>
        <w:numPr>
          <w:ilvl w:val="0"/>
          <w:numId w:val="59"/>
        </w:numPr>
        <w:tabs>
          <w:tab w:val="left" w:pos="1170"/>
        </w:tabs>
        <w:suppressAutoHyphens w:val="0"/>
        <w:adjustRightInd/>
        <w:spacing w:after="240" w:line="293" w:lineRule="exact"/>
        <w:ind w:left="720"/>
        <w:jc w:val="both"/>
        <w:rPr>
          <w:rFonts w:ascii="Arial" w:hAnsi="Arial" w:cs="Arial"/>
        </w:rPr>
      </w:pPr>
      <w:r w:rsidRPr="004171E2">
        <w:rPr>
          <w:rFonts w:ascii="Arial" w:hAnsi="Arial" w:cs="Arial"/>
        </w:rPr>
        <w:lastRenderedPageBreak/>
        <w:t>Taking an assessment or an</w:t>
      </w:r>
      <w:r w:rsidRPr="004171E2">
        <w:rPr>
          <w:rFonts w:ascii="Arial" w:hAnsi="Arial" w:cs="Arial"/>
          <w:spacing w:val="-2"/>
        </w:rPr>
        <w:t xml:space="preserve"> </w:t>
      </w:r>
      <w:r w:rsidRPr="004171E2">
        <w:rPr>
          <w:rFonts w:ascii="Arial" w:hAnsi="Arial" w:cs="Arial"/>
        </w:rPr>
        <w:t>exam;</w:t>
      </w:r>
    </w:p>
    <w:p w14:paraId="38CCA868" w14:textId="77777777" w:rsidR="004171E2" w:rsidRPr="004171E2" w:rsidRDefault="004171E2" w:rsidP="008827D6">
      <w:pPr>
        <w:pStyle w:val="ListParagraph"/>
        <w:widowControl w:val="0"/>
        <w:numPr>
          <w:ilvl w:val="0"/>
          <w:numId w:val="59"/>
        </w:numPr>
        <w:tabs>
          <w:tab w:val="left" w:pos="1170"/>
        </w:tabs>
        <w:suppressAutoHyphens w:val="0"/>
        <w:adjustRightInd/>
        <w:spacing w:after="240"/>
        <w:ind w:left="720" w:right="565"/>
        <w:jc w:val="both"/>
        <w:rPr>
          <w:rFonts w:ascii="Arial" w:hAnsi="Arial" w:cs="Arial"/>
        </w:rPr>
      </w:pPr>
      <w:r w:rsidRPr="004171E2">
        <w:rPr>
          <w:rFonts w:ascii="Arial" w:hAnsi="Arial" w:cs="Arial"/>
        </w:rPr>
        <w:t>Participating in an interactive tutorial, webinar, or other interactive computer- assisted</w:t>
      </w:r>
      <w:r w:rsidRPr="004171E2">
        <w:rPr>
          <w:rFonts w:ascii="Arial" w:hAnsi="Arial" w:cs="Arial"/>
          <w:spacing w:val="-1"/>
        </w:rPr>
        <w:t xml:space="preserve"> </w:t>
      </w:r>
      <w:r w:rsidRPr="004171E2">
        <w:rPr>
          <w:rFonts w:ascii="Arial" w:hAnsi="Arial" w:cs="Arial"/>
        </w:rPr>
        <w:t>instruction;</w:t>
      </w:r>
    </w:p>
    <w:p w14:paraId="1E6580FD" w14:textId="77777777" w:rsidR="004171E2" w:rsidRPr="004171E2" w:rsidRDefault="004171E2" w:rsidP="008827D6">
      <w:pPr>
        <w:pStyle w:val="ListParagraph"/>
        <w:widowControl w:val="0"/>
        <w:numPr>
          <w:ilvl w:val="0"/>
          <w:numId w:val="59"/>
        </w:numPr>
        <w:tabs>
          <w:tab w:val="left" w:pos="1170"/>
        </w:tabs>
        <w:suppressAutoHyphens w:val="0"/>
        <w:adjustRightInd/>
        <w:spacing w:after="240"/>
        <w:ind w:left="720" w:right="825"/>
        <w:jc w:val="both"/>
        <w:rPr>
          <w:rFonts w:ascii="Arial" w:hAnsi="Arial" w:cs="Arial"/>
        </w:rPr>
      </w:pPr>
      <w:r w:rsidRPr="004171E2">
        <w:rPr>
          <w:rFonts w:ascii="Arial" w:hAnsi="Arial" w:cs="Arial"/>
        </w:rPr>
        <w:t>Participating in a study group, group project, or an online discussion that is assigned by the institution;</w:t>
      </w:r>
      <w:r w:rsidRPr="004171E2">
        <w:rPr>
          <w:rFonts w:ascii="Arial" w:hAnsi="Arial" w:cs="Arial"/>
          <w:spacing w:val="-3"/>
        </w:rPr>
        <w:t xml:space="preserve"> </w:t>
      </w:r>
      <w:r w:rsidRPr="004171E2">
        <w:rPr>
          <w:rFonts w:ascii="Arial" w:hAnsi="Arial" w:cs="Arial"/>
        </w:rPr>
        <w:t>or</w:t>
      </w:r>
    </w:p>
    <w:p w14:paraId="37123045" w14:textId="77777777" w:rsidR="004171E2" w:rsidRPr="004171E2" w:rsidRDefault="004171E2" w:rsidP="008827D6">
      <w:pPr>
        <w:pStyle w:val="ListParagraph"/>
        <w:widowControl w:val="0"/>
        <w:numPr>
          <w:ilvl w:val="0"/>
          <w:numId w:val="59"/>
        </w:numPr>
        <w:tabs>
          <w:tab w:val="left" w:pos="1170"/>
        </w:tabs>
        <w:suppressAutoHyphens w:val="0"/>
        <w:adjustRightInd/>
        <w:spacing w:after="240"/>
        <w:ind w:left="720" w:right="393"/>
        <w:jc w:val="both"/>
        <w:rPr>
          <w:rFonts w:ascii="Arial" w:hAnsi="Arial" w:cs="Arial"/>
        </w:rPr>
      </w:pPr>
      <w:r w:rsidRPr="004171E2">
        <w:rPr>
          <w:rFonts w:ascii="Arial" w:hAnsi="Arial" w:cs="Arial"/>
        </w:rPr>
        <w:t>Interacting with an instructor about academic matters (34 CFR 600.2 Academic engagement (1) and</w:t>
      </w:r>
      <w:r w:rsidRPr="004171E2">
        <w:rPr>
          <w:rFonts w:ascii="Arial" w:hAnsi="Arial" w:cs="Arial"/>
          <w:spacing w:val="-2"/>
        </w:rPr>
        <w:t xml:space="preserve"> </w:t>
      </w:r>
      <w:r w:rsidRPr="004171E2">
        <w:rPr>
          <w:rFonts w:ascii="Arial" w:hAnsi="Arial" w:cs="Arial"/>
        </w:rPr>
        <w:t>(2)).</w:t>
      </w:r>
    </w:p>
    <w:p w14:paraId="5BECF30D" w14:textId="77777777" w:rsidR="004171E2" w:rsidRPr="004171E2" w:rsidRDefault="004171E2" w:rsidP="004171E2">
      <w:pPr>
        <w:pStyle w:val="BodyText"/>
        <w:ind w:right="177"/>
        <w:jc w:val="both"/>
        <w:rPr>
          <w:rFonts w:ascii="Arial" w:hAnsi="Arial" w:cs="Arial"/>
          <w:szCs w:val="20"/>
        </w:rPr>
      </w:pPr>
      <w:r w:rsidRPr="004171E2">
        <w:rPr>
          <w:rFonts w:ascii="Arial" w:hAnsi="Arial" w:cs="Arial"/>
          <w:szCs w:val="20"/>
        </w:rPr>
        <w:t>The regulations also provide examples of what academic engagement does not include such as living in institutional housing; participating in the institution's meal plan; logging into an online class or tutorial without any further participation; or participating in academic counseling or advisement (34 CFR 600.2 Academic Engagement (3)).</w:t>
      </w:r>
    </w:p>
    <w:p w14:paraId="0C252283" w14:textId="77777777" w:rsidR="004171E2" w:rsidRPr="004171E2" w:rsidRDefault="004171E2" w:rsidP="004171E2">
      <w:pPr>
        <w:pStyle w:val="BodyText"/>
        <w:ind w:right="102"/>
        <w:jc w:val="both"/>
        <w:rPr>
          <w:rFonts w:ascii="Arial" w:hAnsi="Arial" w:cs="Arial"/>
          <w:szCs w:val="20"/>
        </w:rPr>
      </w:pPr>
      <w:r w:rsidRPr="004171E2">
        <w:rPr>
          <w:rFonts w:ascii="Arial" w:hAnsi="Arial" w:cs="Arial"/>
          <w:szCs w:val="20"/>
        </w:rPr>
        <w:t>A course delivered through distance education that does not have a mechanism in place to document regular and substantive interaction between a student and instructor or instructors and academic engagement would be considered a correspondence course regardless how the institution classifies the course or program (34 CFR 600.2 Correspondence course (3)).</w:t>
      </w:r>
    </w:p>
    <w:p w14:paraId="15547DD7" w14:textId="77777777" w:rsidR="004171E2" w:rsidRPr="004171E2" w:rsidRDefault="004171E2" w:rsidP="004171E2">
      <w:pPr>
        <w:pStyle w:val="BodyText"/>
        <w:ind w:right="236"/>
        <w:jc w:val="both"/>
        <w:rPr>
          <w:rFonts w:ascii="Arial" w:hAnsi="Arial" w:cs="Arial"/>
          <w:szCs w:val="20"/>
        </w:rPr>
      </w:pPr>
      <w:r w:rsidRPr="004171E2">
        <w:rPr>
          <w:rFonts w:ascii="Arial" w:hAnsi="Arial" w:cs="Arial"/>
          <w:szCs w:val="20"/>
        </w:rPr>
        <w:t>In calculating the number of correspondence courses, the correspondence courses may make up a complete educational program offered by correspondence or be as few as one course provided by correspondence in and on-campus (residential) educational program. In determining the number of courses for the calculation, a course must be considered as being offered only once during the award year regardless of the number of times it is offered in that year. A course that is offered both on campus and by correspondence must be considered two courses. A course that is offered both on campus and through distance education is considered one course in determining the courses that are not correspondence courses for the calculation. In determining the number of correspondence students, a student is considered “enrolled in correspondence courses” if the student's enrollment in correspondence courses constituted more than 50 percent of the courses in which the student enrolled during an award year.</w:t>
      </w:r>
    </w:p>
    <w:p w14:paraId="0917FCBE" w14:textId="77777777" w:rsidR="004171E2" w:rsidRPr="004171E2" w:rsidRDefault="004171E2" w:rsidP="004171E2">
      <w:pPr>
        <w:pStyle w:val="BodyText"/>
        <w:ind w:right="222"/>
        <w:jc w:val="both"/>
        <w:rPr>
          <w:rFonts w:ascii="Arial" w:hAnsi="Arial" w:cs="Arial"/>
          <w:szCs w:val="20"/>
        </w:rPr>
      </w:pPr>
      <w:r w:rsidRPr="004171E2">
        <w:rPr>
          <w:rFonts w:ascii="Arial" w:hAnsi="Arial" w:cs="Arial"/>
          <w:szCs w:val="20"/>
        </w:rPr>
        <w:t>The restrictions on the number of correspondence courses and students does not apply to an institution that qualifies as a “technical institute or vocational school used exclusively or principally for the provision of vocational education to individuals who have completed or left high school and who are available for study in preparation for entering the labor market” under section 3(3)(C) of the Carl D. Perkins Vocational and Applied Technology Education Act of 1995. Very few institutions participating in the Title IV, HEA programs meet the requirements for this exemption from the limitations on correspondence courses and students.</w:t>
      </w:r>
    </w:p>
    <w:p w14:paraId="7349EEFD" w14:textId="77777777" w:rsidR="004171E2" w:rsidRPr="004171E2" w:rsidRDefault="004171E2" w:rsidP="004171E2">
      <w:pPr>
        <w:spacing w:after="240"/>
        <w:jc w:val="both"/>
        <w:rPr>
          <w:rFonts w:ascii="Arial" w:hAnsi="Arial" w:cs="Arial"/>
          <w:i/>
        </w:rPr>
      </w:pPr>
      <w:r w:rsidRPr="004171E2">
        <w:rPr>
          <w:rFonts w:ascii="Arial" w:hAnsi="Arial" w:cs="Arial"/>
          <w:i/>
        </w:rPr>
        <w:t>Percentage of Incarcerated Students</w:t>
      </w:r>
    </w:p>
    <w:p w14:paraId="553D8227" w14:textId="77777777" w:rsidR="004171E2" w:rsidRPr="004171E2" w:rsidRDefault="004171E2" w:rsidP="004171E2">
      <w:pPr>
        <w:pStyle w:val="BodyText"/>
        <w:ind w:right="464"/>
        <w:jc w:val="both"/>
        <w:rPr>
          <w:rFonts w:ascii="Arial" w:hAnsi="Arial" w:cs="Arial"/>
          <w:szCs w:val="20"/>
        </w:rPr>
      </w:pPr>
      <w:r w:rsidRPr="004171E2">
        <w:rPr>
          <w:rFonts w:ascii="Arial" w:hAnsi="Arial" w:cs="Arial"/>
          <w:szCs w:val="20"/>
        </w:rPr>
        <w:t>To calculate the percentage of incarcerated students as required under 34 CFR 600.7(a)(1)(iii), an institution must have a process for identifying incarcerated students to ensure compliance with the limitation on the number of incarcerated students. An incarcerated student is an individual who is serving a criminal sentence in a Federal, State, or local penitentiary, prison, jail, reformatory, work farm, juvenile justice facility, or other similar correctional institution. An individual is not considered incarcerated if that individual is subject to or serving an involuntary civil commitment, in a half-way house or home detention, or is sentenced to serve only weekends.</w:t>
      </w:r>
    </w:p>
    <w:p w14:paraId="0D68E4CE" w14:textId="77777777" w:rsidR="004171E2" w:rsidRPr="004171E2" w:rsidRDefault="004171E2" w:rsidP="004171E2">
      <w:pPr>
        <w:pStyle w:val="BodyText"/>
        <w:ind w:right="102"/>
        <w:jc w:val="both"/>
        <w:rPr>
          <w:rFonts w:ascii="Arial" w:hAnsi="Arial" w:cs="Arial"/>
          <w:szCs w:val="20"/>
        </w:rPr>
      </w:pPr>
      <w:r w:rsidRPr="004171E2">
        <w:rPr>
          <w:rFonts w:ascii="Arial" w:hAnsi="Arial" w:cs="Arial"/>
          <w:szCs w:val="20"/>
        </w:rPr>
        <w:t xml:space="preserve">Section 34 CFR 600.7(c) provides for the ED to grant waivers from the limitation on the number of incarcerated students under 34 CFR 600.7(a)(1)(iii). ED has granted very few waivers from the limitation </w:t>
      </w:r>
      <w:r w:rsidRPr="004171E2">
        <w:rPr>
          <w:rFonts w:ascii="Arial" w:hAnsi="Arial" w:cs="Arial"/>
          <w:szCs w:val="20"/>
        </w:rPr>
        <w:lastRenderedPageBreak/>
        <w:t>on the number of incarcerated students. To maintain the waiver, the institution must continue to meet the waiver requirements at 34 CFR 600.7(c).</w:t>
      </w:r>
    </w:p>
    <w:p w14:paraId="058FB981" w14:textId="77777777" w:rsidR="004171E2" w:rsidRPr="004171E2" w:rsidRDefault="004171E2" w:rsidP="004171E2">
      <w:pPr>
        <w:pStyle w:val="BodyText"/>
        <w:ind w:right="222"/>
        <w:jc w:val="both"/>
        <w:rPr>
          <w:rFonts w:ascii="Arial" w:hAnsi="Arial" w:cs="Arial"/>
          <w:szCs w:val="20"/>
        </w:rPr>
      </w:pPr>
      <w:r w:rsidRPr="004171E2">
        <w:rPr>
          <w:rFonts w:ascii="Arial" w:hAnsi="Arial" w:cs="Arial"/>
          <w:i/>
          <w:szCs w:val="20"/>
        </w:rPr>
        <w:t xml:space="preserve">Percentage of Students without a High School Diploma or its Recognized Equivalent </w:t>
      </w:r>
      <w:r w:rsidRPr="004171E2">
        <w:rPr>
          <w:rFonts w:ascii="Arial" w:hAnsi="Arial" w:cs="Arial"/>
          <w:szCs w:val="20"/>
        </w:rPr>
        <w:t>Although in most cases students self-certify that they have received a high school diploma, an institution must ensure that its records on those students identified as having a high school diploma, or its equivalent, are accurate. The regulations do not define a high school diploma, but do place requirements on institutions to ensure that the representation by a student that the student has received a valid high school diploma is accurate. The administrative capability regulations at 34 C.F.R 668.16(p) require institutions to develop and follow adequate procedures to evaluate the validity of a student's high school diploma if the institution or the Secretary has reason to believe that the high school diploma is not valid or was not obtained from an entity that provides secondary school education.</w:t>
      </w:r>
    </w:p>
    <w:p w14:paraId="3917903C" w14:textId="77777777" w:rsidR="004171E2" w:rsidRPr="004171E2" w:rsidRDefault="004171E2" w:rsidP="004171E2">
      <w:pPr>
        <w:pStyle w:val="BodyText"/>
        <w:ind w:right="141"/>
        <w:jc w:val="both"/>
        <w:rPr>
          <w:rFonts w:ascii="Arial" w:hAnsi="Arial" w:cs="Arial"/>
          <w:szCs w:val="20"/>
        </w:rPr>
      </w:pPr>
      <w:r w:rsidRPr="004171E2">
        <w:rPr>
          <w:rFonts w:ascii="Arial" w:hAnsi="Arial" w:cs="Arial"/>
          <w:szCs w:val="20"/>
        </w:rPr>
        <w:t>In order to comply with the administrative capability regulations at 34 CFR 668.16(p) the institution would need to have policies and procedures to identify situations that would lead it to believe that a high school diploma may not be valid or may not have been obtained from an entity that provides secondary education. If an institution has reason to believe that a student’s high school diploma is not valid or was not obtained from an entity that provides secondary school education, the institution must develop and follow adequate procedures to evaluate the validity of the student’s high school diploma. To satisfy this requirement, the institution must develop and follow adequate procedures to evaluate the validity of a student’s high school diploma that must include:</w:t>
      </w:r>
    </w:p>
    <w:p w14:paraId="5502D599" w14:textId="77777777" w:rsidR="004171E2" w:rsidRPr="004171E2" w:rsidRDefault="004171E2" w:rsidP="008827D6">
      <w:pPr>
        <w:pStyle w:val="ListParagraph"/>
        <w:widowControl w:val="0"/>
        <w:numPr>
          <w:ilvl w:val="0"/>
          <w:numId w:val="59"/>
        </w:numPr>
        <w:suppressAutoHyphens w:val="0"/>
        <w:adjustRightInd/>
        <w:spacing w:after="240"/>
        <w:ind w:left="720" w:right="167"/>
        <w:jc w:val="both"/>
        <w:rPr>
          <w:rFonts w:ascii="Arial" w:hAnsi="Arial" w:cs="Arial"/>
        </w:rPr>
      </w:pPr>
      <w:r w:rsidRPr="004171E2">
        <w:rPr>
          <w:rFonts w:ascii="Arial" w:hAnsi="Arial" w:cs="Arial"/>
        </w:rPr>
        <w:t>Obtaining documentation from the high school that confirms the validity of the high school diploma including at least one of the following: transcripts, written descriptions of course requirements, or written and signed statements by principals or executive officers at the high school attesting to the rigor and</w:t>
      </w:r>
      <w:r w:rsidRPr="004171E2">
        <w:rPr>
          <w:rFonts w:ascii="Arial" w:hAnsi="Arial" w:cs="Arial"/>
          <w:spacing w:val="-22"/>
        </w:rPr>
        <w:t xml:space="preserve"> </w:t>
      </w:r>
      <w:r w:rsidRPr="004171E2">
        <w:rPr>
          <w:rFonts w:ascii="Arial" w:hAnsi="Arial" w:cs="Arial"/>
        </w:rPr>
        <w:t>quality of coursework at the high</w:t>
      </w:r>
      <w:r w:rsidRPr="004171E2">
        <w:rPr>
          <w:rFonts w:ascii="Arial" w:hAnsi="Arial" w:cs="Arial"/>
          <w:spacing w:val="-2"/>
        </w:rPr>
        <w:t xml:space="preserve"> </w:t>
      </w:r>
      <w:r w:rsidRPr="004171E2">
        <w:rPr>
          <w:rFonts w:ascii="Arial" w:hAnsi="Arial" w:cs="Arial"/>
        </w:rPr>
        <w:t>school;</w:t>
      </w:r>
    </w:p>
    <w:p w14:paraId="68C933CF" w14:textId="77777777" w:rsidR="004171E2" w:rsidRPr="004171E2" w:rsidRDefault="004171E2" w:rsidP="008827D6">
      <w:pPr>
        <w:pStyle w:val="ListParagraph"/>
        <w:widowControl w:val="0"/>
        <w:numPr>
          <w:ilvl w:val="0"/>
          <w:numId w:val="59"/>
        </w:numPr>
        <w:suppressAutoHyphens w:val="0"/>
        <w:adjustRightInd/>
        <w:spacing w:after="240"/>
        <w:ind w:left="720" w:right="338"/>
        <w:jc w:val="both"/>
        <w:rPr>
          <w:rFonts w:ascii="Arial" w:hAnsi="Arial" w:cs="Arial"/>
        </w:rPr>
      </w:pPr>
      <w:r w:rsidRPr="004171E2">
        <w:rPr>
          <w:rFonts w:ascii="Arial" w:hAnsi="Arial" w:cs="Arial"/>
        </w:rPr>
        <w:t>If the high school is regulated or overseen by a State agency, Tribal agency, or Bureau of Indian Education, confirming with, or receiving documentation from that agency that the high school is recognized or meets requirements established by that agency;</w:t>
      </w:r>
      <w:r w:rsidRPr="004171E2">
        <w:rPr>
          <w:rFonts w:ascii="Arial" w:hAnsi="Arial" w:cs="Arial"/>
          <w:spacing w:val="-1"/>
        </w:rPr>
        <w:t xml:space="preserve"> </w:t>
      </w:r>
      <w:r w:rsidRPr="004171E2">
        <w:rPr>
          <w:rFonts w:ascii="Arial" w:hAnsi="Arial" w:cs="Arial"/>
        </w:rPr>
        <w:t>and</w:t>
      </w:r>
    </w:p>
    <w:p w14:paraId="09D57541" w14:textId="77777777" w:rsidR="004171E2" w:rsidRPr="004171E2" w:rsidRDefault="004171E2" w:rsidP="008827D6">
      <w:pPr>
        <w:pStyle w:val="ListParagraph"/>
        <w:widowControl w:val="0"/>
        <w:numPr>
          <w:ilvl w:val="0"/>
          <w:numId w:val="59"/>
        </w:numPr>
        <w:suppressAutoHyphens w:val="0"/>
        <w:adjustRightInd/>
        <w:spacing w:after="240"/>
        <w:ind w:left="720" w:right="279"/>
        <w:jc w:val="both"/>
        <w:rPr>
          <w:rFonts w:ascii="Arial" w:hAnsi="Arial" w:cs="Arial"/>
        </w:rPr>
      </w:pPr>
      <w:r w:rsidRPr="004171E2">
        <w:rPr>
          <w:rFonts w:ascii="Arial" w:hAnsi="Arial" w:cs="Arial"/>
        </w:rPr>
        <w:t>If the Secretary has published a list of high schools that issue invalid high school diplomas, confirming that the high school does not appear on that</w:t>
      </w:r>
      <w:r w:rsidRPr="004171E2">
        <w:rPr>
          <w:rFonts w:ascii="Arial" w:hAnsi="Arial" w:cs="Arial"/>
          <w:spacing w:val="-7"/>
        </w:rPr>
        <w:t xml:space="preserve"> </w:t>
      </w:r>
      <w:r w:rsidRPr="004171E2">
        <w:rPr>
          <w:rFonts w:ascii="Arial" w:hAnsi="Arial" w:cs="Arial"/>
        </w:rPr>
        <w:t>list.</w:t>
      </w:r>
    </w:p>
    <w:p w14:paraId="6345D772" w14:textId="5CFFE50D" w:rsidR="004171E2" w:rsidRPr="004171E2" w:rsidRDefault="004171E2" w:rsidP="004171E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71E2">
        <w:rPr>
          <w:rFonts w:ascii="Arial" w:hAnsi="Arial" w:cs="Arial"/>
        </w:rPr>
        <w:t>As of the publication date for this Compliance Supplement, the Department has not published a list of high schools that issue invalid high school diplomas.</w:t>
      </w:r>
    </w:p>
    <w:p w14:paraId="5693F86F" w14:textId="77777777" w:rsidR="004171E2" w:rsidRPr="004171E2" w:rsidRDefault="004171E2" w:rsidP="004171E2">
      <w:pPr>
        <w:pStyle w:val="BodyText"/>
        <w:ind w:right="169"/>
        <w:jc w:val="both"/>
        <w:rPr>
          <w:rFonts w:ascii="Arial" w:hAnsi="Arial" w:cs="Arial"/>
          <w:szCs w:val="20"/>
        </w:rPr>
      </w:pPr>
      <w:r w:rsidRPr="004171E2">
        <w:rPr>
          <w:rFonts w:ascii="Arial" w:hAnsi="Arial" w:cs="Arial"/>
          <w:szCs w:val="20"/>
        </w:rPr>
        <w:t>The regulations define the recognized equivalent of high school diploma for the purposes of the required calculation at 34 C.F.R. 600.2 as —</w:t>
      </w:r>
    </w:p>
    <w:p w14:paraId="17D565A5" w14:textId="77777777" w:rsidR="004171E2" w:rsidRPr="004171E2" w:rsidRDefault="004171E2" w:rsidP="008827D6">
      <w:pPr>
        <w:pStyle w:val="ListParagraph"/>
        <w:widowControl w:val="0"/>
        <w:numPr>
          <w:ilvl w:val="0"/>
          <w:numId w:val="59"/>
        </w:numPr>
        <w:tabs>
          <w:tab w:val="left" w:pos="990"/>
        </w:tabs>
        <w:suppressAutoHyphens w:val="0"/>
        <w:adjustRightInd/>
        <w:spacing w:after="240" w:line="293" w:lineRule="exact"/>
        <w:ind w:left="720"/>
        <w:jc w:val="both"/>
        <w:rPr>
          <w:rFonts w:ascii="Arial" w:hAnsi="Arial" w:cs="Arial"/>
        </w:rPr>
      </w:pPr>
      <w:r w:rsidRPr="004171E2">
        <w:rPr>
          <w:rFonts w:ascii="Arial" w:hAnsi="Arial" w:cs="Arial"/>
        </w:rPr>
        <w:t>A General Education Development Certificate (GED);</w:t>
      </w:r>
      <w:r w:rsidRPr="004171E2">
        <w:rPr>
          <w:rFonts w:ascii="Arial" w:hAnsi="Arial" w:cs="Arial"/>
          <w:spacing w:val="-4"/>
        </w:rPr>
        <w:t xml:space="preserve"> </w:t>
      </w:r>
      <w:r w:rsidRPr="004171E2">
        <w:rPr>
          <w:rFonts w:ascii="Arial" w:hAnsi="Arial" w:cs="Arial"/>
        </w:rPr>
        <w:t>or</w:t>
      </w:r>
    </w:p>
    <w:p w14:paraId="70A92AC7" w14:textId="77777777" w:rsidR="004171E2" w:rsidRPr="004171E2" w:rsidRDefault="004171E2" w:rsidP="008827D6">
      <w:pPr>
        <w:pStyle w:val="ListParagraph"/>
        <w:widowControl w:val="0"/>
        <w:numPr>
          <w:ilvl w:val="0"/>
          <w:numId w:val="59"/>
        </w:numPr>
        <w:tabs>
          <w:tab w:val="left" w:pos="990"/>
        </w:tabs>
        <w:suppressAutoHyphens w:val="0"/>
        <w:adjustRightInd/>
        <w:spacing w:after="240"/>
        <w:ind w:left="720" w:right="740"/>
        <w:jc w:val="both"/>
        <w:rPr>
          <w:rFonts w:ascii="Arial" w:hAnsi="Arial" w:cs="Arial"/>
        </w:rPr>
      </w:pPr>
      <w:r w:rsidRPr="004171E2">
        <w:rPr>
          <w:rFonts w:ascii="Arial" w:hAnsi="Arial" w:cs="Arial"/>
        </w:rPr>
        <w:t>A State certificate received by a student after the student has passed a State- authorized examination that the State recognizes as the equivalent of a high school</w:t>
      </w:r>
      <w:r w:rsidRPr="004171E2">
        <w:rPr>
          <w:rFonts w:ascii="Arial" w:hAnsi="Arial" w:cs="Arial"/>
          <w:spacing w:val="-1"/>
        </w:rPr>
        <w:t xml:space="preserve"> </w:t>
      </w:r>
      <w:r w:rsidRPr="004171E2">
        <w:rPr>
          <w:rFonts w:ascii="Arial" w:hAnsi="Arial" w:cs="Arial"/>
        </w:rPr>
        <w:t>diploma;</w:t>
      </w:r>
    </w:p>
    <w:p w14:paraId="24DB0B35" w14:textId="77777777" w:rsidR="004171E2" w:rsidRPr="004171E2" w:rsidRDefault="004171E2" w:rsidP="008827D6">
      <w:pPr>
        <w:pStyle w:val="ListParagraph"/>
        <w:widowControl w:val="0"/>
        <w:numPr>
          <w:ilvl w:val="0"/>
          <w:numId w:val="59"/>
        </w:numPr>
        <w:tabs>
          <w:tab w:val="left" w:pos="990"/>
        </w:tabs>
        <w:suppressAutoHyphens w:val="0"/>
        <w:adjustRightInd/>
        <w:spacing w:after="240"/>
        <w:ind w:left="720" w:right="583"/>
        <w:jc w:val="both"/>
        <w:rPr>
          <w:rFonts w:ascii="Arial" w:hAnsi="Arial" w:cs="Arial"/>
        </w:rPr>
      </w:pPr>
      <w:r w:rsidRPr="004171E2">
        <w:rPr>
          <w:rFonts w:ascii="Arial" w:hAnsi="Arial" w:cs="Arial"/>
        </w:rPr>
        <w:t>An academic transcript of a student who has successfully completed at least a two-year program that is acceptable for full credit toward a bachelor's</w:t>
      </w:r>
      <w:r w:rsidRPr="004171E2">
        <w:rPr>
          <w:rFonts w:ascii="Arial" w:hAnsi="Arial" w:cs="Arial"/>
          <w:spacing w:val="-22"/>
        </w:rPr>
        <w:t xml:space="preserve"> </w:t>
      </w:r>
      <w:r w:rsidRPr="004171E2">
        <w:rPr>
          <w:rFonts w:ascii="Arial" w:hAnsi="Arial" w:cs="Arial"/>
        </w:rPr>
        <w:t>degree.</w:t>
      </w:r>
    </w:p>
    <w:p w14:paraId="5FA1FD04" w14:textId="77777777" w:rsidR="004171E2" w:rsidRPr="004171E2" w:rsidRDefault="004171E2" w:rsidP="004171E2">
      <w:pPr>
        <w:pStyle w:val="BodyText"/>
        <w:ind w:right="188"/>
        <w:jc w:val="both"/>
        <w:rPr>
          <w:rFonts w:ascii="Arial" w:hAnsi="Arial" w:cs="Arial"/>
          <w:szCs w:val="20"/>
        </w:rPr>
      </w:pPr>
      <w:r w:rsidRPr="004171E2">
        <w:rPr>
          <w:rFonts w:ascii="Arial" w:hAnsi="Arial" w:cs="Arial"/>
          <w:szCs w:val="20"/>
        </w:rPr>
        <w:t>The regulations at 34 CFR 600.7(d) provide for ED to grant an institution a waiver of the limitation on the number of students who do not have a high school diploma or its recognized equivalent. ED has granted very few waivers of the limitation. To maintain the waiver once granted, the institution must continue to meet the requirements of 34 CFR 600.7(d).</w:t>
      </w:r>
    </w:p>
    <w:p w14:paraId="7B2043F2" w14:textId="4DCFEBB9" w:rsidR="008B2043" w:rsidRPr="004171E2" w:rsidRDefault="004171E2" w:rsidP="004171E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171E2">
        <w:rPr>
          <w:rFonts w:ascii="Arial" w:hAnsi="Arial" w:cs="Arial"/>
          <w:bCs/>
          <w:i/>
        </w:rPr>
        <w:lastRenderedPageBreak/>
        <w:t>(Source: 2025 OMB Compliance Supplement, Part 5, Student Financial Assistance Cluster)</w:t>
      </w:r>
    </w:p>
    <w:p w14:paraId="1FDB8C35" w14:textId="77777777" w:rsidR="00670F5F" w:rsidRPr="000706D1" w:rsidRDefault="00670F5F" w:rsidP="006672EA">
      <w:pPr>
        <w:pStyle w:val="Heading3"/>
        <w:jc w:val="both"/>
        <w:rPr>
          <w:rFonts w:cs="Arial"/>
          <w:sz w:val="24"/>
          <w:szCs w:val="24"/>
        </w:rPr>
      </w:pPr>
      <w:bookmarkStart w:id="55" w:name="_Toc210306822"/>
      <w:r w:rsidRPr="000706D1">
        <w:rPr>
          <w:rFonts w:cs="Arial"/>
          <w:sz w:val="24"/>
          <w:szCs w:val="24"/>
        </w:rPr>
        <w:t>Additional Program Specific Information</w:t>
      </w:r>
      <w:bookmarkEnd w:id="55"/>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3C92F7F7" w:rsidR="00CD5DC7" w:rsidRPr="00AA5B05" w:rsidRDefault="00CD5DC7"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4171E2">
        <w:rPr>
          <w:rFonts w:ascii="Arial" w:hAnsi="Arial" w:cs="Arial"/>
          <w:b/>
          <w:highlight w:val="yellow"/>
        </w:rPr>
        <w:t xml:space="preserve"> and</w:t>
      </w:r>
    </w:p>
    <w:p w14:paraId="2E113F40" w14:textId="2F65FCCF" w:rsidR="006E46AD" w:rsidRPr="00AA5B05" w:rsidRDefault="006E46AD"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56" w:name="_Toc210306823"/>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56"/>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Pr="008827D6" w:rsidRDefault="00B307F9" w:rsidP="008827D6">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sidRPr="008827D6">
        <w:rPr>
          <w:rFonts w:ascii="Arial" w:hAnsi="Arial" w:cs="Arial"/>
          <w:i/>
        </w:rPr>
        <w:t>.2</w:t>
      </w:r>
      <w:r w:rsidRPr="008827D6">
        <w:rPr>
          <w:rFonts w:ascii="Arial" w:hAnsi="Arial" w:cs="Arial"/>
          <w:i/>
        </w:rPr>
        <w:t>)</w:t>
      </w:r>
    </w:p>
    <w:p w14:paraId="2C316DEE" w14:textId="46861951" w:rsidR="00634FA3" w:rsidRPr="008827D6" w:rsidRDefault="008827D6" w:rsidP="007F47D1">
      <w:pPr>
        <w:pStyle w:val="ListParagraph"/>
        <w:numPr>
          <w:ilvl w:val="0"/>
          <w:numId w:val="60"/>
        </w:numPr>
        <w:pBdr>
          <w:top w:val="single" w:sz="6" w:space="0" w:color="FFFFFF"/>
          <w:left w:val="single" w:sz="6" w:space="0" w:color="FFFFFF"/>
          <w:bottom w:val="single" w:sz="6" w:space="0" w:color="FFFFFF"/>
          <w:right w:val="single" w:sz="6" w:space="0" w:color="FFFFFF"/>
        </w:pBdr>
        <w:tabs>
          <w:tab w:val="left" w:pos="360"/>
          <w:tab w:val="left" w:pos="990"/>
        </w:tabs>
        <w:spacing w:after="240"/>
        <w:ind w:left="360" w:hanging="360"/>
        <w:jc w:val="both"/>
        <w:rPr>
          <w:rFonts w:ascii="Arial" w:hAnsi="Arial" w:cs="Arial"/>
          <w:iCs/>
        </w:rPr>
      </w:pPr>
      <w:r w:rsidRPr="008827D6">
        <w:rPr>
          <w:rFonts w:ascii="Arial" w:hAnsi="Arial" w:cs="Arial"/>
        </w:rPr>
        <w:t xml:space="preserve">Determine whether the institution </w:t>
      </w:r>
      <w:proofErr w:type="gramStart"/>
      <w:r w:rsidRPr="008827D6">
        <w:rPr>
          <w:rFonts w:ascii="Arial" w:hAnsi="Arial" w:cs="Arial"/>
        </w:rPr>
        <w:t>was in compliance with</w:t>
      </w:r>
      <w:proofErr w:type="gramEnd"/>
      <w:r w:rsidRPr="008827D6">
        <w:rPr>
          <w:rFonts w:ascii="Arial" w:hAnsi="Arial" w:cs="Arial"/>
        </w:rPr>
        <w:t xml:space="preserve"> the institutional eligibility limitations on the number of correspondence courses, the number of correspondence students, the number of incarcerated students and the number of students without a high school diploma or the recognized equivalent for the latest complete award year ending in the institution’s fiscal year.</w:t>
      </w:r>
    </w:p>
    <w:p w14:paraId="54EAC2A1" w14:textId="63BC761C" w:rsidR="008827D6" w:rsidRPr="008827D6" w:rsidRDefault="008827D6" w:rsidP="008827D6">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171E2">
        <w:rPr>
          <w:rFonts w:ascii="Arial" w:hAnsi="Arial" w:cs="Arial"/>
          <w:bCs/>
          <w:i/>
        </w:rPr>
        <w:t>(Source: 2025 OMB Compliance Supplement, Part 5, Student Financial Assistance Cluster)</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57" w:name="_Toc210306824"/>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57"/>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0897A052" w14:textId="77777777" w:rsidR="008827D6" w:rsidRPr="008827D6" w:rsidRDefault="008827D6" w:rsidP="008827D6">
            <w:pPr>
              <w:tabs>
                <w:tab w:val="left" w:pos="791"/>
              </w:tabs>
              <w:spacing w:after="240"/>
              <w:ind w:left="791" w:hanging="791"/>
              <w:jc w:val="both"/>
              <w:rPr>
                <w:rFonts w:ascii="Arial" w:hAnsi="Arial" w:cs="Arial"/>
                <w:sz w:val="20"/>
              </w:rPr>
            </w:pPr>
            <w:r w:rsidRPr="008827D6">
              <w:rPr>
                <w:rFonts w:ascii="Arial" w:hAnsi="Arial" w:cs="Arial"/>
                <w:sz w:val="20"/>
              </w:rPr>
              <w:t>a.</w:t>
            </w:r>
            <w:r w:rsidRPr="008827D6">
              <w:rPr>
                <w:rFonts w:ascii="Arial" w:hAnsi="Arial" w:cs="Arial"/>
                <w:sz w:val="20"/>
              </w:rPr>
              <w:tab/>
              <w:t xml:space="preserve">Obtain written representations from management that state whether the school offered correspondence courses, provided education to incarcerated students, or (if the school does not provide a four-year bachelor’s or two-year associate degree) had students that had neither a high school diploma nor the recognized equivalent. </w:t>
            </w:r>
            <w:r w:rsidRPr="008827D6">
              <w:rPr>
                <w:rFonts w:ascii="Arial" w:hAnsi="Arial" w:cs="Arial"/>
                <w:i/>
                <w:iCs/>
                <w:sz w:val="20"/>
              </w:rPr>
              <w:t>[Note that the auditor may obtain evidence relevant to the mode of delivery and the type of students enrolled at the institution while performing work on other SFA Cluster compliance requirements. If the written representations obtained in this procedure are inconsistent with other audit evidence, the auditor should perform audit procedures to attempt to resolve the matter.]</w:t>
            </w:r>
          </w:p>
          <w:p w14:paraId="6904E87E" w14:textId="02C77EB8" w:rsidR="004B71BD" w:rsidRPr="001B6A61" w:rsidRDefault="008827D6" w:rsidP="008827D6">
            <w:pPr>
              <w:tabs>
                <w:tab w:val="left" w:pos="791"/>
              </w:tabs>
              <w:spacing w:after="240"/>
              <w:ind w:left="791" w:hanging="791"/>
              <w:jc w:val="both"/>
              <w:rPr>
                <w:rFonts w:ascii="Arial" w:hAnsi="Arial" w:cs="Arial"/>
                <w:b/>
                <w:bCs/>
                <w:sz w:val="20"/>
              </w:rPr>
            </w:pPr>
            <w:r w:rsidRPr="008827D6">
              <w:rPr>
                <w:rFonts w:ascii="Arial" w:hAnsi="Arial" w:cs="Arial"/>
                <w:sz w:val="20"/>
              </w:rPr>
              <w:t>b.</w:t>
            </w:r>
            <w:r w:rsidRPr="008827D6">
              <w:rPr>
                <w:rFonts w:ascii="Arial" w:hAnsi="Arial" w:cs="Arial"/>
                <w:sz w:val="20"/>
              </w:rPr>
              <w:tab/>
              <w:t>If management represented that they offered correspondence courses, provided education to incarcerated students, or had students that had neither a high school diploma nor the recognized equivalent, substantiate the institution’s calculation of the ratios for its latest complete award year and determine if ratios are below the established thresholds by testing the population of regular students, correspondence students, incarcerated students, and students that had neither a high school diploma nor the recognized equivalent that the institution used for the calculations for proper classification and re-calculate the institution’s ratios.</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58" w:name="_Toc210306825"/>
      <w:r w:rsidRPr="000706D1">
        <w:rPr>
          <w:rFonts w:cs="Arial"/>
          <w:sz w:val="24"/>
          <w:szCs w:val="24"/>
        </w:rPr>
        <w:t>Audit Implications Summary</w:t>
      </w:r>
      <w:bookmarkEnd w:id="58"/>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27181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8827D6">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8827D6">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8827D6">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8827D6">
            <w:pPr>
              <w:widowControl w:val="0"/>
              <w:numPr>
                <w:ilvl w:val="0"/>
                <w:numId w:val="29"/>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8827D6">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86"/>
          <w:pgSz w:w="12240" w:h="15840" w:code="1"/>
          <w:pgMar w:top="1440" w:right="1440" w:bottom="1440" w:left="1440" w:header="720" w:footer="720" w:gutter="0"/>
          <w:cols w:space="720"/>
          <w:docGrid w:linePitch="360"/>
        </w:sectPr>
      </w:pPr>
    </w:p>
    <w:p w14:paraId="3161E42B" w14:textId="621940E5" w:rsidR="004171E2" w:rsidRPr="000706D1" w:rsidRDefault="004171E2" w:rsidP="004171E2">
      <w:pPr>
        <w:pStyle w:val="Heading2"/>
        <w:jc w:val="both"/>
        <w:rPr>
          <w:rFonts w:cs="Arial"/>
          <w:sz w:val="24"/>
        </w:rPr>
      </w:pPr>
      <w:bookmarkStart w:id="59" w:name="_Toc210306826"/>
      <w:bookmarkStart w:id="60" w:name="_Toc442267704"/>
      <w:r w:rsidRPr="000706D1">
        <w:rPr>
          <w:rFonts w:cs="Arial"/>
          <w:sz w:val="24"/>
        </w:rPr>
        <w:lastRenderedPageBreak/>
        <w:t>N</w:t>
      </w:r>
      <w:r w:rsidR="008827D6">
        <w:rPr>
          <w:rFonts w:cs="Arial"/>
          <w:sz w:val="24"/>
        </w:rPr>
        <w:t>2</w:t>
      </w:r>
      <w:r w:rsidRPr="000706D1">
        <w:rPr>
          <w:rFonts w:cs="Arial"/>
          <w:sz w:val="24"/>
        </w:rPr>
        <w:t>.  SPECIAL TESTS AND PROVISIONS</w:t>
      </w:r>
      <w:r w:rsidR="008827D6" w:rsidRPr="008827D6">
        <w:rPr>
          <w:rFonts w:cs="Arial"/>
          <w:sz w:val="24"/>
        </w:rPr>
        <w:t xml:space="preserve"> - Verification</w:t>
      </w:r>
      <w:bookmarkEnd w:id="59"/>
    </w:p>
    <w:p w14:paraId="137B0D2E" w14:textId="77777777" w:rsidR="004171E2" w:rsidRPr="000706D1" w:rsidRDefault="004171E2" w:rsidP="004171E2">
      <w:pPr>
        <w:pStyle w:val="Heading3"/>
        <w:jc w:val="both"/>
        <w:rPr>
          <w:rFonts w:cs="Arial"/>
          <w:sz w:val="24"/>
          <w:szCs w:val="24"/>
        </w:rPr>
      </w:pPr>
      <w:bookmarkStart w:id="61" w:name="_Toc210306827"/>
      <w:r w:rsidRPr="000706D1">
        <w:rPr>
          <w:rFonts w:cs="Arial"/>
          <w:sz w:val="24"/>
          <w:szCs w:val="24"/>
        </w:rPr>
        <w:t>OMB Compliance Requirements</w:t>
      </w:r>
      <w:bookmarkEnd w:id="61"/>
    </w:p>
    <w:p w14:paraId="72B56317" w14:textId="77777777" w:rsidR="004171E2" w:rsidRPr="005C1EBC" w:rsidRDefault="004171E2" w:rsidP="004171E2">
      <w:pP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3A77134" w14:textId="77777777" w:rsidR="004171E2" w:rsidRPr="00F00D94" w:rsidRDefault="004171E2" w:rsidP="004171E2">
      <w:pP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39AE9781" w14:textId="77777777" w:rsidR="004171E2" w:rsidRPr="00F00D94"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9F711DE" w14:textId="06D9BC66" w:rsidR="004171E2" w:rsidRPr="000706D1" w:rsidRDefault="004171E2" w:rsidP="004171E2">
      <w:pPr>
        <w:spacing w:after="240"/>
        <w:jc w:val="both"/>
        <w:rPr>
          <w:rFonts w:ascii="Arial" w:hAnsi="Arial" w:cs="Arial"/>
          <w:b/>
          <w:sz w:val="24"/>
          <w:szCs w:val="24"/>
        </w:rPr>
      </w:pPr>
      <w:r w:rsidRPr="000706D1">
        <w:rPr>
          <w:rFonts w:ascii="Arial" w:hAnsi="Arial" w:cs="Arial"/>
          <w:b/>
          <w:sz w:val="24"/>
          <w:szCs w:val="24"/>
        </w:rPr>
        <w:t xml:space="preserve">Part </w:t>
      </w:r>
      <w:r w:rsidR="008827D6">
        <w:rPr>
          <w:rFonts w:ascii="Arial" w:hAnsi="Arial" w:cs="Arial"/>
          <w:b/>
          <w:sz w:val="24"/>
          <w:szCs w:val="24"/>
        </w:rPr>
        <w:t>5</w:t>
      </w:r>
      <w:r w:rsidRPr="000706D1">
        <w:rPr>
          <w:rFonts w:ascii="Arial" w:hAnsi="Arial" w:cs="Arial"/>
          <w:b/>
          <w:sz w:val="24"/>
          <w:szCs w:val="24"/>
        </w:rPr>
        <w:t xml:space="preserve"> OMB Program Specific Requirements</w:t>
      </w:r>
    </w:p>
    <w:p w14:paraId="12AD7DFB" w14:textId="7FBA4F61" w:rsidR="008827D6" w:rsidRPr="008827D6" w:rsidRDefault="008827D6" w:rsidP="008827D6">
      <w:pPr>
        <w:pStyle w:val="BodyText"/>
        <w:spacing w:before="90"/>
        <w:ind w:right="166"/>
        <w:jc w:val="both"/>
        <w:rPr>
          <w:rFonts w:ascii="Arial" w:hAnsi="Arial" w:cs="Arial"/>
        </w:rPr>
      </w:pPr>
      <w:r w:rsidRPr="008827D6">
        <w:rPr>
          <w:rFonts w:ascii="Arial" w:hAnsi="Arial" w:cs="Arial"/>
          <w:bCs/>
        </w:rPr>
        <w:t>An institution is required to establish written policies and procedures that incorporate the provisions of 34 CFR 668.51 through 668.61 for verifying</w:t>
      </w:r>
      <w:r w:rsidRPr="008827D6">
        <w:rPr>
          <w:rFonts w:ascii="Arial" w:hAnsi="Arial" w:cs="Arial"/>
        </w:rPr>
        <w:t xml:space="preserve"> applicant information for those applicants selected for verification by ED. The institution shall require each applicant whose application is selected by ED to verify the information required for the Verification Tracking Group to which the applicant is assigned.</w:t>
      </w:r>
    </w:p>
    <w:p w14:paraId="28143B5A" w14:textId="7EB936D2" w:rsidR="008827D6" w:rsidRPr="008827D6" w:rsidRDefault="008827D6" w:rsidP="008827D6">
      <w:pPr>
        <w:pStyle w:val="BodyText"/>
        <w:ind w:right="129"/>
        <w:jc w:val="both"/>
        <w:rPr>
          <w:rFonts w:ascii="Arial" w:hAnsi="Arial" w:cs="Arial"/>
          <w:bCs/>
        </w:rPr>
      </w:pPr>
      <w:r w:rsidRPr="008827D6">
        <w:rPr>
          <w:rFonts w:ascii="Arial" w:hAnsi="Arial" w:cs="Arial"/>
        </w:rPr>
        <w:t xml:space="preserve">However, certain applicants are excluded from the verification process as listed in 34 CFR 668.54(b). Please note that for </w:t>
      </w:r>
      <w:r w:rsidRPr="008827D6">
        <w:rPr>
          <w:rFonts w:ascii="Arial" w:hAnsi="Arial" w:cs="Arial"/>
          <w:color w:val="16222D"/>
        </w:rPr>
        <w:t xml:space="preserve">the 2024-25 award year, a confined or incarcerated student as indicated through the new incarcerated applicant flag will only be required to verify their identity and statement of educational purpose. This means incarcerated students selected for Verification Tracking Group V4 and V5 will only be required to verify their identity and submit a statement of educational purpose. In addition, institutions are not required to verify a confined or incarcerated student selected under Verification Tracking Flag “V1” </w:t>
      </w:r>
      <w:r w:rsidRPr="008827D6">
        <w:rPr>
          <w:rFonts w:ascii="Arial" w:hAnsi="Arial" w:cs="Arial"/>
        </w:rPr>
        <w:t>(</w:t>
      </w:r>
      <w:hyperlink r:id="rId87">
        <w:r w:rsidRPr="008827D6">
          <w:rPr>
            <w:rFonts w:ascii="Arial" w:hAnsi="Arial" w:cs="Arial"/>
            <w:color w:val="2D74B5"/>
            <w:u w:val="single" w:color="2D74B5"/>
          </w:rPr>
          <w:t>GEN-23-12</w:t>
        </w:r>
      </w:hyperlink>
      <w:r w:rsidRPr="008827D6">
        <w:rPr>
          <w:rFonts w:ascii="Arial" w:hAnsi="Arial" w:cs="Arial"/>
        </w:rPr>
        <w:t>)</w:t>
      </w:r>
      <w:r w:rsidRPr="008827D6">
        <w:rPr>
          <w:rFonts w:ascii="Arial" w:hAnsi="Arial" w:cs="Arial"/>
          <w:color w:val="16222D"/>
        </w:rPr>
        <w:t xml:space="preserve">. </w:t>
      </w:r>
      <w:r w:rsidRPr="008827D6">
        <w:rPr>
          <w:rFonts w:ascii="Arial" w:hAnsi="Arial" w:cs="Arial"/>
        </w:rPr>
        <w:t xml:space="preserve">A menu of potential verification items for each award year is published in the </w:t>
      </w:r>
      <w:r w:rsidRPr="008827D6">
        <w:rPr>
          <w:rFonts w:ascii="Arial" w:hAnsi="Arial" w:cs="Arial"/>
          <w:i/>
        </w:rPr>
        <w:t>Federal Register</w:t>
      </w:r>
      <w:r w:rsidRPr="008827D6">
        <w:rPr>
          <w:rFonts w:ascii="Arial" w:hAnsi="Arial" w:cs="Arial"/>
        </w:rPr>
        <w:t xml:space="preserve">, and the items to verify for a given application are selected by ED from that menu and indicated on the student’s output documents. Verification tracking groups and verification items for each award year can also be found in the annual </w:t>
      </w:r>
      <w:r w:rsidRPr="008827D6">
        <w:rPr>
          <w:rFonts w:ascii="Arial" w:hAnsi="Arial" w:cs="Arial"/>
          <w:i/>
        </w:rPr>
        <w:t>FSA Handbook</w:t>
      </w:r>
      <w:r w:rsidRPr="008827D6">
        <w:rPr>
          <w:rFonts w:ascii="Arial" w:hAnsi="Arial" w:cs="Arial"/>
        </w:rPr>
        <w:t>, Application and Verification Guide, Chapter</w:t>
      </w:r>
      <w:r>
        <w:rPr>
          <w:rFonts w:ascii="Arial" w:hAnsi="Arial" w:cs="Arial"/>
        </w:rPr>
        <w:t xml:space="preserve"> </w:t>
      </w:r>
      <w:r w:rsidRPr="008827D6">
        <w:rPr>
          <w:rFonts w:ascii="Arial" w:hAnsi="Arial" w:cs="Arial"/>
        </w:rPr>
        <w:t xml:space="preserve">4. The institution shall also require applicants to verify any information used to calculate an applicant’s Pell Grant eligibility criteria or SAI that the institution has reason to believe is inaccurate and provide an accurate code for the individual’s verification status in the COD system. (34 CFR 668.54(a); </w:t>
      </w:r>
      <w:r w:rsidRPr="008827D6">
        <w:rPr>
          <w:rFonts w:ascii="Arial" w:hAnsi="Arial" w:cs="Arial"/>
          <w:i/>
        </w:rPr>
        <w:t xml:space="preserve">FSA Handbook </w:t>
      </w:r>
      <w:r w:rsidRPr="008827D6">
        <w:rPr>
          <w:rFonts w:ascii="Arial" w:hAnsi="Arial" w:cs="Arial"/>
        </w:rPr>
        <w:t>Application and Verification Guide, Chapter 4).</w:t>
      </w:r>
    </w:p>
    <w:p w14:paraId="303C255C" w14:textId="0C2EE085" w:rsidR="004171E2" w:rsidRPr="00F00D94" w:rsidRDefault="008827D6" w:rsidP="008827D6">
      <w:pPr>
        <w:spacing w:after="240"/>
        <w:jc w:val="both"/>
        <w:rPr>
          <w:rFonts w:ascii="Arial" w:hAnsi="Arial" w:cs="Arial"/>
        </w:rPr>
      </w:pPr>
      <w:r w:rsidRPr="004E2CCB">
        <w:rPr>
          <w:rFonts w:ascii="Arial" w:hAnsi="Arial" w:cs="Arial"/>
          <w:bCs/>
          <w:i/>
        </w:rPr>
        <w:t>(Source: 202</w:t>
      </w:r>
      <w:r>
        <w:rPr>
          <w:rFonts w:ascii="Arial" w:hAnsi="Arial" w:cs="Arial"/>
          <w:bCs/>
          <w:i/>
        </w:rPr>
        <w:t>5</w:t>
      </w:r>
      <w:r w:rsidRPr="004E2CCB">
        <w:rPr>
          <w:rFonts w:ascii="Arial" w:hAnsi="Arial" w:cs="Arial"/>
          <w:bCs/>
          <w:i/>
        </w:rPr>
        <w:t xml:space="preserve"> OMB Compliance Supplement, Part 5, Student Financial Assistance Cluster)</w:t>
      </w:r>
    </w:p>
    <w:p w14:paraId="0E721217" w14:textId="77777777" w:rsidR="004171E2" w:rsidRPr="000706D1" w:rsidRDefault="004171E2" w:rsidP="004171E2">
      <w:pPr>
        <w:pStyle w:val="Heading3"/>
        <w:jc w:val="both"/>
        <w:rPr>
          <w:rFonts w:cs="Arial"/>
          <w:sz w:val="24"/>
          <w:szCs w:val="24"/>
        </w:rPr>
      </w:pPr>
      <w:bookmarkStart w:id="62" w:name="_Toc210306828"/>
      <w:r w:rsidRPr="000706D1">
        <w:rPr>
          <w:rFonts w:cs="Arial"/>
          <w:sz w:val="24"/>
          <w:szCs w:val="24"/>
        </w:rPr>
        <w:t>Additional Program Specific Information</w:t>
      </w:r>
      <w:bookmarkEnd w:id="62"/>
    </w:p>
    <w:p w14:paraId="492CC3C3" w14:textId="77777777" w:rsidR="004171E2" w:rsidRPr="00AA5B05" w:rsidRDefault="004171E2" w:rsidP="004171E2">
      <w:pPr>
        <w:spacing w:after="240"/>
        <w:jc w:val="both"/>
        <w:rPr>
          <w:rFonts w:ascii="Arial" w:hAnsi="Arial" w:cs="Arial"/>
          <w:b/>
          <w:highlight w:val="yellow"/>
        </w:rPr>
      </w:pPr>
      <w:r w:rsidRPr="00AA5B05">
        <w:rPr>
          <w:rFonts w:ascii="Arial" w:hAnsi="Arial" w:cs="Arial"/>
          <w:b/>
          <w:highlight w:val="yellow"/>
        </w:rPr>
        <w:t>Add program specific requirements from:</w:t>
      </w:r>
    </w:p>
    <w:p w14:paraId="555EEDA6" w14:textId="0D49335D"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8827D6">
        <w:rPr>
          <w:rFonts w:ascii="Arial" w:hAnsi="Arial" w:cs="Arial"/>
          <w:b/>
          <w:highlight w:val="yellow"/>
        </w:rPr>
        <w:t xml:space="preserve"> and</w:t>
      </w:r>
    </w:p>
    <w:p w14:paraId="034568B3" w14:textId="77777777"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p>
    <w:p w14:paraId="18CE56BF" w14:textId="77777777" w:rsidR="004171E2" w:rsidRPr="00AA5B05" w:rsidRDefault="004171E2" w:rsidP="004171E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EE2AE50" w14:textId="77777777" w:rsidR="004171E2" w:rsidRPr="000706D1" w:rsidRDefault="004171E2" w:rsidP="004171E2">
      <w:pPr>
        <w:pStyle w:val="Heading3"/>
        <w:jc w:val="both"/>
        <w:rPr>
          <w:rFonts w:cs="Arial"/>
          <w:sz w:val="24"/>
          <w:szCs w:val="24"/>
        </w:rPr>
      </w:pPr>
      <w:bookmarkStart w:id="63" w:name="_Toc210306829"/>
      <w:r w:rsidRPr="000706D1">
        <w:rPr>
          <w:rFonts w:cs="Arial"/>
          <w:sz w:val="24"/>
          <w:szCs w:val="24"/>
        </w:rPr>
        <w:t>Audit Objectives and Control Testing</w:t>
      </w:r>
      <w:bookmarkEnd w:id="63"/>
    </w:p>
    <w:p w14:paraId="19460423" w14:textId="77777777" w:rsidR="004171E2" w:rsidRPr="00F00D94" w:rsidRDefault="004171E2" w:rsidP="004171E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E197AB9" w14:textId="77777777" w:rsidR="004171E2" w:rsidRPr="00F00D94" w:rsidRDefault="004171E2" w:rsidP="004171E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285D40A" w14:textId="77777777" w:rsidR="004171E2"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CE0D3CC" w14:textId="77777777" w:rsidR="008827D6" w:rsidRPr="008827D6" w:rsidRDefault="008827D6" w:rsidP="008827D6">
      <w:pPr>
        <w:pStyle w:val="BodyText"/>
        <w:numPr>
          <w:ilvl w:val="0"/>
          <w:numId w:val="62"/>
        </w:numPr>
        <w:spacing w:before="1"/>
        <w:ind w:left="720" w:right="188"/>
        <w:rPr>
          <w:rFonts w:ascii="Arial" w:hAnsi="Arial" w:cs="Arial"/>
          <w:iCs/>
        </w:rPr>
      </w:pPr>
      <w:r w:rsidRPr="008827D6">
        <w:rPr>
          <w:rFonts w:ascii="Arial" w:hAnsi="Arial" w:cs="Arial"/>
        </w:rPr>
        <w:t>Determine whether the institution established policies and procedures to verify information in student aid applications for students selected for verification by ED.</w:t>
      </w:r>
    </w:p>
    <w:p w14:paraId="03244C64" w14:textId="39188631" w:rsidR="004171E2" w:rsidRPr="008827D6" w:rsidRDefault="008827D6" w:rsidP="008827D6">
      <w:pPr>
        <w:pStyle w:val="BodyText"/>
        <w:numPr>
          <w:ilvl w:val="0"/>
          <w:numId w:val="62"/>
        </w:numPr>
        <w:spacing w:before="1"/>
        <w:ind w:left="720" w:right="188"/>
        <w:rPr>
          <w:rFonts w:ascii="Arial" w:hAnsi="Arial" w:cs="Arial"/>
          <w:iCs/>
        </w:rPr>
      </w:pPr>
      <w:r w:rsidRPr="008827D6">
        <w:rPr>
          <w:rFonts w:ascii="Arial" w:hAnsi="Arial" w:cs="Arial"/>
        </w:rPr>
        <w:t>Determine whether the institution conducted verifications of selected applications, made corrections, and reported the verification status in COD, as applicable, in accordance with the requirements.</w:t>
      </w:r>
    </w:p>
    <w:p w14:paraId="36ECAF74" w14:textId="6B799BF6" w:rsidR="008827D6" w:rsidRPr="008827D6" w:rsidRDefault="008827D6" w:rsidP="008827D6">
      <w:pPr>
        <w:tabs>
          <w:tab w:val="left" w:pos="450"/>
        </w:tabs>
        <w:spacing w:after="240"/>
        <w:jc w:val="both"/>
        <w:rPr>
          <w:rFonts w:ascii="Arial" w:hAnsi="Arial" w:cs="Arial"/>
          <w:iCs/>
        </w:rPr>
      </w:pPr>
      <w:r w:rsidRPr="008827D6">
        <w:rPr>
          <w:rFonts w:ascii="Arial" w:hAnsi="Arial" w:cs="Arial"/>
          <w:bCs/>
          <w:i/>
        </w:rPr>
        <w:t>(Source: 20</w:t>
      </w:r>
      <w:r w:rsidRPr="004E2CCB">
        <w:rPr>
          <w:rFonts w:ascii="Arial" w:hAnsi="Arial" w:cs="Arial"/>
          <w:bCs/>
          <w:i/>
        </w:rPr>
        <w:t>2</w:t>
      </w:r>
      <w:r>
        <w:rPr>
          <w:rFonts w:ascii="Arial" w:hAnsi="Arial" w:cs="Arial"/>
          <w:bCs/>
          <w:i/>
        </w:rPr>
        <w:t>5</w:t>
      </w:r>
      <w:r w:rsidRPr="004E2CCB">
        <w:rPr>
          <w:rFonts w:ascii="Arial" w:hAnsi="Arial" w:cs="Arial"/>
          <w:bCs/>
          <w:i/>
        </w:rPr>
        <w:t xml:space="preserve"> OMB Compliance Supplement, Part 5, Student Financial Assistance Cluster)</w:t>
      </w:r>
    </w:p>
    <w:p w14:paraId="22935A1E" w14:textId="77777777" w:rsidR="004171E2" w:rsidRPr="00634FA3" w:rsidRDefault="004171E2" w:rsidP="004171E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171E2" w:rsidRPr="00F00D94" w14:paraId="1708E870" w14:textId="77777777" w:rsidTr="00E0350C">
        <w:tc>
          <w:tcPr>
            <w:tcW w:w="5000" w:type="pct"/>
          </w:tcPr>
          <w:p w14:paraId="09F4F6D0" w14:textId="77777777" w:rsidR="004171E2" w:rsidRPr="006F5FFA" w:rsidRDefault="004171E2" w:rsidP="0005458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5AD3FBD"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272F5A6" w14:textId="77777777" w:rsidR="004171E2" w:rsidRPr="00F00D94" w:rsidRDefault="004171E2" w:rsidP="0005458C">
            <w:pPr>
              <w:pStyle w:val="AuditProcedureHeading"/>
              <w:spacing w:after="240"/>
              <w:jc w:val="both"/>
              <w:rPr>
                <w:rFonts w:cs="Arial"/>
                <w:b/>
                <w:bCs/>
                <w:szCs w:val="20"/>
                <w:u w:val="single"/>
              </w:rPr>
            </w:pPr>
          </w:p>
          <w:p w14:paraId="7F46BFC9" w14:textId="77777777" w:rsidR="004171E2" w:rsidRPr="00F00D94" w:rsidRDefault="004171E2" w:rsidP="0005458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8388418" w14:textId="77777777" w:rsidR="004171E2" w:rsidRPr="00F00D94" w:rsidRDefault="004171E2" w:rsidP="0005458C">
            <w:pPr>
              <w:pStyle w:val="AuditProcedureHeading"/>
              <w:spacing w:after="240"/>
              <w:jc w:val="both"/>
              <w:rPr>
                <w:rFonts w:cs="Arial"/>
                <w:b/>
                <w:bCs/>
                <w:szCs w:val="20"/>
                <w:u w:val="single"/>
              </w:rPr>
            </w:pPr>
          </w:p>
          <w:p w14:paraId="0B307326"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CBE37E5" w14:textId="77777777" w:rsidR="004171E2" w:rsidRPr="00F00D94" w:rsidRDefault="004171E2" w:rsidP="0005458C">
            <w:pPr>
              <w:spacing w:after="240"/>
              <w:jc w:val="both"/>
              <w:rPr>
                <w:rFonts w:ascii="Arial" w:hAnsi="Arial" w:cs="Arial"/>
                <w:b/>
                <w:sz w:val="20"/>
                <w:u w:val="single"/>
              </w:rPr>
            </w:pPr>
          </w:p>
          <w:p w14:paraId="087323C9" w14:textId="77777777" w:rsidR="004171E2" w:rsidRPr="00F00D94" w:rsidRDefault="004171E2" w:rsidP="0005458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309675" w14:textId="77777777" w:rsidR="004171E2" w:rsidRPr="00C35E5F" w:rsidRDefault="004171E2" w:rsidP="0005458C">
            <w:pPr>
              <w:spacing w:after="240"/>
              <w:jc w:val="both"/>
              <w:rPr>
                <w:rFonts w:ascii="Arial" w:eastAsiaTheme="minorHAnsi" w:hAnsi="Arial" w:cs="Arial"/>
                <w:sz w:val="20"/>
                <w:szCs w:val="20"/>
              </w:rPr>
            </w:pPr>
          </w:p>
        </w:tc>
      </w:tr>
    </w:tbl>
    <w:p w14:paraId="4BC9D3AC" w14:textId="77777777" w:rsidR="004171E2" w:rsidRPr="00F00D94" w:rsidRDefault="004171E2" w:rsidP="004171E2">
      <w:pPr>
        <w:spacing w:after="240"/>
        <w:jc w:val="both"/>
        <w:rPr>
          <w:rFonts w:ascii="Arial" w:hAnsi="Arial" w:cs="Arial"/>
          <w:b/>
          <w:bCs/>
        </w:rPr>
      </w:pPr>
    </w:p>
    <w:p w14:paraId="18CA5629" w14:textId="77777777" w:rsidR="004171E2" w:rsidRPr="000706D1" w:rsidRDefault="004171E2" w:rsidP="004171E2">
      <w:pPr>
        <w:pStyle w:val="Heading3"/>
        <w:jc w:val="both"/>
        <w:rPr>
          <w:rFonts w:cs="Arial"/>
          <w:sz w:val="24"/>
          <w:szCs w:val="24"/>
        </w:rPr>
      </w:pPr>
      <w:bookmarkStart w:id="64" w:name="_Toc210306830"/>
      <w:r w:rsidRPr="000706D1">
        <w:rPr>
          <w:rFonts w:cs="Arial"/>
          <w:sz w:val="24"/>
          <w:szCs w:val="24"/>
        </w:rPr>
        <w:lastRenderedPageBreak/>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64"/>
    </w:p>
    <w:tbl>
      <w:tblPr>
        <w:tblStyle w:val="TableGrid"/>
        <w:tblW w:w="9558" w:type="dxa"/>
        <w:tblLayout w:type="fixed"/>
        <w:tblLook w:val="04A0" w:firstRow="1" w:lastRow="0" w:firstColumn="1" w:lastColumn="0" w:noHBand="0" w:noVBand="1"/>
      </w:tblPr>
      <w:tblGrid>
        <w:gridCol w:w="9558"/>
      </w:tblGrid>
      <w:tr w:rsidR="004171E2" w:rsidRPr="00F00D94" w14:paraId="3C718185" w14:textId="77777777" w:rsidTr="00634FA3">
        <w:tc>
          <w:tcPr>
            <w:tcW w:w="9558" w:type="dxa"/>
          </w:tcPr>
          <w:p w14:paraId="25583338" w14:textId="77777777" w:rsidR="004171E2" w:rsidRPr="008827D6" w:rsidRDefault="004171E2" w:rsidP="0005458C">
            <w:pPr>
              <w:spacing w:after="240"/>
              <w:jc w:val="both"/>
              <w:rPr>
                <w:rFonts w:ascii="Arial" w:hAnsi="Arial" w:cs="Arial"/>
                <w:i/>
                <w:sz w:val="20"/>
                <w:szCs w:val="20"/>
              </w:rPr>
            </w:pPr>
            <w:r w:rsidRPr="008827D6">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3B1BA65" w14:textId="77777777" w:rsidR="004171E2" w:rsidRPr="008827D6" w:rsidRDefault="004171E2" w:rsidP="0005458C">
            <w:pPr>
              <w:spacing w:after="240"/>
              <w:jc w:val="both"/>
              <w:rPr>
                <w:rFonts w:ascii="Arial" w:hAnsi="Arial" w:cs="Arial"/>
                <w:i/>
                <w:sz w:val="20"/>
                <w:szCs w:val="20"/>
              </w:rPr>
            </w:pPr>
            <w:r w:rsidRPr="008827D6">
              <w:rPr>
                <w:rFonts w:ascii="Arial" w:hAnsi="Arial" w:cs="Arial"/>
                <w:i/>
                <w:sz w:val="20"/>
                <w:szCs w:val="20"/>
              </w:rPr>
              <w:t>(Source: 2025 OMB Compliance Supplement Part 3.2)</w:t>
            </w:r>
          </w:p>
          <w:p w14:paraId="045971AA" w14:textId="77777777" w:rsidR="004171E2" w:rsidRDefault="008827D6" w:rsidP="008827D6">
            <w:pPr>
              <w:widowControl w:val="0"/>
              <w:tabs>
                <w:tab w:val="left" w:pos="1559"/>
                <w:tab w:val="left" w:pos="1560"/>
              </w:tabs>
              <w:spacing w:before="1"/>
              <w:ind w:right="358"/>
              <w:jc w:val="both"/>
              <w:rPr>
                <w:rFonts w:ascii="Arial" w:hAnsi="Arial" w:cs="Arial"/>
                <w:sz w:val="20"/>
                <w:szCs w:val="20"/>
              </w:rPr>
            </w:pPr>
            <w:r w:rsidRPr="008827D6">
              <w:rPr>
                <w:rFonts w:ascii="Arial" w:hAnsi="Arial" w:cs="Arial"/>
                <w:sz w:val="20"/>
                <w:szCs w:val="20"/>
              </w:rPr>
              <w:t>Select a sample of applications that were selected for verification by ED and review the student aid files for those applications to ascertain that the</w:t>
            </w:r>
            <w:r w:rsidRPr="008827D6">
              <w:rPr>
                <w:rFonts w:ascii="Arial" w:hAnsi="Arial" w:cs="Arial"/>
                <w:spacing w:val="-21"/>
                <w:sz w:val="20"/>
                <w:szCs w:val="20"/>
              </w:rPr>
              <w:t xml:space="preserve"> </w:t>
            </w:r>
            <w:r w:rsidRPr="008827D6">
              <w:rPr>
                <w:rFonts w:ascii="Arial" w:hAnsi="Arial" w:cs="Arial"/>
                <w:sz w:val="20"/>
                <w:szCs w:val="20"/>
              </w:rPr>
              <w:t>institution obtained acceptable documentation to verify the information required for the Verification Tracking Group to which the applicant is assigned; (2) matched information on the documentation to the student aid application; (3) if necessary, submitted data corrections to the FPS and recalculated awards and (4) correctly coded the student’s verification status in COD for Pell</w:t>
            </w:r>
            <w:r w:rsidRPr="008827D6">
              <w:rPr>
                <w:rFonts w:ascii="Arial" w:hAnsi="Arial" w:cs="Arial"/>
                <w:spacing w:val="-5"/>
                <w:sz w:val="20"/>
                <w:szCs w:val="20"/>
              </w:rPr>
              <w:t xml:space="preserve"> </w:t>
            </w:r>
            <w:r w:rsidRPr="008827D6">
              <w:rPr>
                <w:rFonts w:ascii="Arial" w:hAnsi="Arial" w:cs="Arial"/>
                <w:sz w:val="20"/>
                <w:szCs w:val="20"/>
              </w:rPr>
              <w:t>Grants.</w:t>
            </w:r>
          </w:p>
          <w:p w14:paraId="1448805F" w14:textId="23B9A6F5" w:rsidR="002C2A3F" w:rsidRPr="008827D6" w:rsidRDefault="002C2A3F" w:rsidP="008827D6">
            <w:pPr>
              <w:widowControl w:val="0"/>
              <w:tabs>
                <w:tab w:val="left" w:pos="1559"/>
                <w:tab w:val="left" w:pos="1560"/>
              </w:tabs>
              <w:spacing w:before="1"/>
              <w:ind w:right="358"/>
              <w:jc w:val="both"/>
              <w:rPr>
                <w:rFonts w:ascii="Arial" w:hAnsi="Arial" w:cs="Arial"/>
                <w:b/>
                <w:bCs/>
                <w:sz w:val="20"/>
                <w:szCs w:val="20"/>
              </w:rPr>
            </w:pPr>
          </w:p>
        </w:tc>
      </w:tr>
    </w:tbl>
    <w:p w14:paraId="6982B051" w14:textId="77777777" w:rsidR="004171E2" w:rsidRPr="00F00D94" w:rsidRDefault="004171E2" w:rsidP="004171E2">
      <w:pPr>
        <w:tabs>
          <w:tab w:val="left" w:pos="-1440"/>
          <w:tab w:val="left" w:pos="720"/>
        </w:tabs>
        <w:spacing w:after="240"/>
        <w:ind w:left="720" w:hanging="720"/>
        <w:jc w:val="both"/>
        <w:rPr>
          <w:rFonts w:ascii="Arial" w:hAnsi="Arial" w:cs="Arial"/>
        </w:rPr>
      </w:pPr>
    </w:p>
    <w:p w14:paraId="55B30DEF" w14:textId="77777777" w:rsidR="004171E2" w:rsidRPr="000706D1" w:rsidRDefault="004171E2" w:rsidP="004171E2">
      <w:pPr>
        <w:pStyle w:val="Heading3"/>
        <w:jc w:val="both"/>
        <w:rPr>
          <w:rFonts w:cs="Arial"/>
          <w:b w:val="0"/>
          <w:sz w:val="24"/>
          <w:szCs w:val="24"/>
        </w:rPr>
      </w:pPr>
      <w:bookmarkStart w:id="65" w:name="_Toc210306831"/>
      <w:r w:rsidRPr="000706D1">
        <w:rPr>
          <w:rFonts w:cs="Arial"/>
          <w:sz w:val="24"/>
          <w:szCs w:val="24"/>
        </w:rPr>
        <w:t>Audit Implications Summary</w:t>
      </w:r>
      <w:bookmarkEnd w:id="65"/>
    </w:p>
    <w:tbl>
      <w:tblPr>
        <w:tblStyle w:val="TableGrid"/>
        <w:tblW w:w="5000" w:type="pct"/>
        <w:tblLook w:val="04A0" w:firstRow="1" w:lastRow="0" w:firstColumn="1" w:lastColumn="0" w:noHBand="0" w:noVBand="1"/>
      </w:tblPr>
      <w:tblGrid>
        <w:gridCol w:w="9350"/>
      </w:tblGrid>
      <w:tr w:rsidR="004171E2" w:rsidRPr="00F00D94" w14:paraId="119BF07D" w14:textId="77777777" w:rsidTr="00E0350C">
        <w:tc>
          <w:tcPr>
            <w:tcW w:w="5000" w:type="pct"/>
          </w:tcPr>
          <w:p w14:paraId="512A62FD" w14:textId="77777777" w:rsidR="004171E2" w:rsidRDefault="004171E2" w:rsidP="0005458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2246398" w14:textId="77777777" w:rsidR="004171E2" w:rsidRPr="006E46AD" w:rsidRDefault="004171E2" w:rsidP="0005458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0D9656" w14:textId="77777777" w:rsidR="004171E2" w:rsidRPr="006E46AD" w:rsidRDefault="004171E2" w:rsidP="008827D6">
            <w:pPr>
              <w:pStyle w:val="ListParagraph"/>
              <w:widowControl w:val="0"/>
              <w:numPr>
                <w:ilvl w:val="0"/>
                <w:numId w:val="6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94D2C19" w14:textId="77777777" w:rsidR="004171E2" w:rsidRPr="006E46AD" w:rsidRDefault="004171E2" w:rsidP="0005458C">
            <w:pPr>
              <w:widowControl w:val="0"/>
              <w:spacing w:after="240"/>
              <w:ind w:left="720"/>
              <w:jc w:val="both"/>
              <w:rPr>
                <w:rFonts w:ascii="Arial" w:hAnsi="Arial" w:cs="Arial"/>
                <w:b/>
                <w:sz w:val="20"/>
                <w:szCs w:val="20"/>
              </w:rPr>
            </w:pPr>
          </w:p>
          <w:p w14:paraId="70A1802A" w14:textId="77777777" w:rsidR="004171E2" w:rsidRPr="006E46AD" w:rsidRDefault="004171E2" w:rsidP="008827D6">
            <w:pPr>
              <w:widowControl w:val="0"/>
              <w:numPr>
                <w:ilvl w:val="0"/>
                <w:numId w:val="6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EBEB73A" w14:textId="77777777" w:rsidR="004171E2" w:rsidRPr="00F00D94" w:rsidRDefault="004171E2" w:rsidP="0005458C">
            <w:pPr>
              <w:pStyle w:val="ListParagraph"/>
              <w:spacing w:after="240"/>
              <w:jc w:val="both"/>
              <w:rPr>
                <w:rFonts w:ascii="Arial" w:hAnsi="Arial" w:cs="Arial"/>
                <w:b/>
              </w:rPr>
            </w:pPr>
          </w:p>
          <w:p w14:paraId="75882287" w14:textId="77777777" w:rsidR="004171E2" w:rsidRPr="00F00D94" w:rsidRDefault="004171E2" w:rsidP="008827D6">
            <w:pPr>
              <w:widowControl w:val="0"/>
              <w:numPr>
                <w:ilvl w:val="0"/>
                <w:numId w:val="6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2A19BFE" w14:textId="77777777" w:rsidR="004171E2" w:rsidRPr="00F00D94" w:rsidRDefault="004171E2" w:rsidP="0005458C">
            <w:pPr>
              <w:pStyle w:val="ListParagraph"/>
              <w:spacing w:after="240"/>
              <w:jc w:val="both"/>
              <w:rPr>
                <w:rFonts w:ascii="Arial" w:hAnsi="Arial" w:cs="Arial"/>
                <w:b/>
              </w:rPr>
            </w:pPr>
          </w:p>
          <w:p w14:paraId="0CEA17FF" w14:textId="77777777" w:rsidR="004171E2" w:rsidRPr="00F00D94" w:rsidRDefault="004171E2" w:rsidP="008827D6">
            <w:pPr>
              <w:widowControl w:val="0"/>
              <w:numPr>
                <w:ilvl w:val="0"/>
                <w:numId w:val="6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A75860" w14:textId="77777777" w:rsidR="004171E2" w:rsidRPr="00F00D94" w:rsidRDefault="004171E2" w:rsidP="0005458C">
            <w:pPr>
              <w:pStyle w:val="ListParagraph"/>
              <w:spacing w:after="240"/>
              <w:jc w:val="both"/>
              <w:rPr>
                <w:rFonts w:ascii="Arial" w:hAnsi="Arial" w:cs="Arial"/>
                <w:b/>
              </w:rPr>
            </w:pPr>
          </w:p>
          <w:p w14:paraId="2DF610F7" w14:textId="77777777" w:rsidR="004171E2" w:rsidRPr="00F00D94" w:rsidRDefault="004171E2" w:rsidP="008827D6">
            <w:pPr>
              <w:widowControl w:val="0"/>
              <w:numPr>
                <w:ilvl w:val="0"/>
                <w:numId w:val="6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3F5A3DB" w14:textId="77777777" w:rsidR="004171E2" w:rsidRPr="00F00D94" w:rsidRDefault="004171E2" w:rsidP="0005458C">
            <w:pPr>
              <w:pStyle w:val="APStepItem"/>
              <w:numPr>
                <w:ilvl w:val="0"/>
                <w:numId w:val="0"/>
              </w:numPr>
              <w:spacing w:after="240"/>
              <w:rPr>
                <w:rFonts w:cs="Arial"/>
                <w:b/>
              </w:rPr>
            </w:pPr>
          </w:p>
        </w:tc>
      </w:tr>
    </w:tbl>
    <w:p w14:paraId="26659C6A" w14:textId="77777777" w:rsidR="004171E2" w:rsidRPr="00F00D94" w:rsidRDefault="004171E2" w:rsidP="004171E2">
      <w:pPr>
        <w:tabs>
          <w:tab w:val="left" w:pos="-1440"/>
          <w:tab w:val="left" w:pos="720"/>
        </w:tabs>
        <w:spacing w:after="240"/>
        <w:ind w:left="720" w:hanging="720"/>
        <w:jc w:val="both"/>
        <w:rPr>
          <w:rFonts w:ascii="Arial" w:hAnsi="Arial" w:cs="Arial"/>
        </w:rPr>
        <w:sectPr w:rsidR="004171E2" w:rsidRPr="00F00D94" w:rsidSect="004171E2">
          <w:headerReference w:type="default" r:id="rId89"/>
          <w:pgSz w:w="12240" w:h="15840" w:code="1"/>
          <w:pgMar w:top="1440" w:right="1440" w:bottom="1440" w:left="1440" w:header="720" w:footer="720" w:gutter="0"/>
          <w:cols w:space="720"/>
          <w:docGrid w:linePitch="360"/>
        </w:sectPr>
      </w:pPr>
    </w:p>
    <w:p w14:paraId="4C6E631F" w14:textId="134477A0" w:rsidR="004171E2" w:rsidRPr="000706D1" w:rsidRDefault="004171E2" w:rsidP="004171E2">
      <w:pPr>
        <w:pStyle w:val="Heading2"/>
        <w:jc w:val="both"/>
        <w:rPr>
          <w:rFonts w:cs="Arial"/>
          <w:sz w:val="24"/>
        </w:rPr>
      </w:pPr>
      <w:bookmarkStart w:id="66" w:name="_Toc210306832"/>
      <w:r w:rsidRPr="000706D1">
        <w:rPr>
          <w:rFonts w:cs="Arial"/>
          <w:sz w:val="24"/>
        </w:rPr>
        <w:lastRenderedPageBreak/>
        <w:t>N</w:t>
      </w:r>
      <w:r w:rsidR="00C90AC5">
        <w:rPr>
          <w:rFonts w:cs="Arial"/>
          <w:sz w:val="24"/>
        </w:rPr>
        <w:t>3</w:t>
      </w:r>
      <w:r w:rsidRPr="000706D1">
        <w:rPr>
          <w:rFonts w:cs="Arial"/>
          <w:sz w:val="24"/>
        </w:rPr>
        <w:t>.  SPECIAL TESTS AND PROVISIONS</w:t>
      </w:r>
      <w:r w:rsidR="00C90AC5" w:rsidRPr="00C90AC5">
        <w:rPr>
          <w:rFonts w:cs="Arial"/>
          <w:sz w:val="24"/>
        </w:rPr>
        <w:t xml:space="preserve"> – Disbursements to or on Behalf of Students</w:t>
      </w:r>
      <w:bookmarkEnd w:id="66"/>
    </w:p>
    <w:p w14:paraId="41DD8C6E" w14:textId="77777777" w:rsidR="004171E2" w:rsidRPr="000706D1" w:rsidRDefault="004171E2" w:rsidP="004171E2">
      <w:pPr>
        <w:pStyle w:val="Heading3"/>
        <w:jc w:val="both"/>
        <w:rPr>
          <w:rFonts w:cs="Arial"/>
          <w:sz w:val="24"/>
          <w:szCs w:val="24"/>
        </w:rPr>
      </w:pPr>
      <w:bookmarkStart w:id="67" w:name="_Toc210306833"/>
      <w:r w:rsidRPr="000706D1">
        <w:rPr>
          <w:rFonts w:cs="Arial"/>
          <w:sz w:val="24"/>
          <w:szCs w:val="24"/>
        </w:rPr>
        <w:t>OMB Compliance Requirements</w:t>
      </w:r>
      <w:bookmarkEnd w:id="67"/>
    </w:p>
    <w:p w14:paraId="6B612E93" w14:textId="77777777" w:rsidR="004171E2" w:rsidRPr="005C1EBC" w:rsidRDefault="004171E2" w:rsidP="004171E2">
      <w:pP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0A44BCB6" w14:textId="77777777" w:rsidR="004171E2" w:rsidRPr="00F00D94" w:rsidRDefault="004171E2" w:rsidP="004171E2">
      <w:pP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0A08369C" w14:textId="77777777" w:rsidR="004171E2" w:rsidRPr="00F00D94"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823C3C1" w14:textId="612DAF37" w:rsidR="004171E2" w:rsidRPr="000706D1" w:rsidRDefault="004171E2" w:rsidP="004171E2">
      <w:pPr>
        <w:spacing w:after="240"/>
        <w:jc w:val="both"/>
        <w:rPr>
          <w:rFonts w:ascii="Arial" w:hAnsi="Arial" w:cs="Arial"/>
          <w:b/>
          <w:sz w:val="24"/>
          <w:szCs w:val="24"/>
        </w:rPr>
      </w:pPr>
      <w:r w:rsidRPr="000706D1">
        <w:rPr>
          <w:rFonts w:ascii="Arial" w:hAnsi="Arial" w:cs="Arial"/>
          <w:b/>
          <w:sz w:val="24"/>
          <w:szCs w:val="24"/>
        </w:rPr>
        <w:t xml:space="preserve">Part </w:t>
      </w:r>
      <w:r w:rsidR="00C90AC5">
        <w:rPr>
          <w:rFonts w:ascii="Arial" w:hAnsi="Arial" w:cs="Arial"/>
          <w:b/>
          <w:sz w:val="24"/>
          <w:szCs w:val="24"/>
        </w:rPr>
        <w:t>5</w:t>
      </w:r>
      <w:r w:rsidRPr="000706D1">
        <w:rPr>
          <w:rFonts w:ascii="Arial" w:hAnsi="Arial" w:cs="Arial"/>
          <w:b/>
          <w:sz w:val="24"/>
          <w:szCs w:val="24"/>
        </w:rPr>
        <w:t xml:space="preserve"> OMB Program Specific Requirements</w:t>
      </w:r>
    </w:p>
    <w:p w14:paraId="0A6139A7" w14:textId="77777777" w:rsidR="00C90AC5" w:rsidRPr="00C90AC5" w:rsidRDefault="00C90AC5" w:rsidP="00C90AC5">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C90AC5">
        <w:rPr>
          <w:rFonts w:ascii="Arial" w:hAnsi="Arial" w:cs="Arial"/>
          <w:bCs/>
        </w:rPr>
        <w:t>With the exception of FWS, disbursements are made on a payment period basis and the disbursement must be made during the current payment period (34 CFR 668.164(b)(1)). For purposes of testing Title IV deadlines or timeframes, “days” refers to calendar days unless the requirement specifies “business days.”</w:t>
      </w:r>
    </w:p>
    <w:p w14:paraId="4EED75F6" w14:textId="77777777" w:rsidR="00C90AC5" w:rsidRPr="00C90AC5" w:rsidRDefault="00C90AC5" w:rsidP="00C90AC5">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C90AC5">
        <w:rPr>
          <w:rFonts w:ascii="Arial" w:hAnsi="Arial" w:cs="Arial"/>
          <w:bCs/>
        </w:rPr>
        <w:t>An Institution must define the payment period for each program. There are three types of payment periods that an institution may use—payment periods that measure progress in credit hours and use standard terms; payment periods that measure progress in credit hours and use non-standard terms; and payment periods that measure progress in credit hours and do not have academic terms or for a program that measures progress in clock hours (34 CFR 668.4 Payment period). An institution may make early, late, or retroactive disbursements under limited circumstances provided for at 34 CFR 668.164 sections (i), (j), and (k).</w:t>
      </w:r>
    </w:p>
    <w:p w14:paraId="71F1C5F9" w14:textId="77777777" w:rsidR="00C90AC5" w:rsidRPr="00C90AC5" w:rsidRDefault="00C90AC5" w:rsidP="00C90AC5">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C90AC5">
        <w:rPr>
          <w:rFonts w:ascii="Arial" w:hAnsi="Arial" w:cs="Arial"/>
          <w:bCs/>
        </w:rPr>
        <w:t>A standard or non-standard term program can also be a subscription-based program. A subscription-based program is a standard or nonstandard term program in which the institution charges a student for each term on a subscription basis with the expectation that the student will complete a specified number of credit hours (or the equivalent) during that term. However, classes in a subscription-based program are not required to begin or end within a specific timeframe in each term. Students must complete a cumulative number of credit hours (or the equivalent) during or following the end of each term before receiving subsequent disbursements of title IV, HEA program funds. An institution establishes an enrollment status (for example, full-time or half-time) that will apply to a student throughout the student’s enrollment in the program, except that a student may change his or her enrollment status no more often than once per academic year.</w:t>
      </w:r>
    </w:p>
    <w:p w14:paraId="62307D8E" w14:textId="77777777" w:rsidR="00C90AC5" w:rsidRPr="00C90AC5" w:rsidRDefault="00C90AC5" w:rsidP="00C90AC5">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C90AC5">
        <w:rPr>
          <w:rFonts w:ascii="Arial" w:hAnsi="Arial" w:cs="Arial"/>
          <w:bCs/>
        </w:rPr>
        <w:lastRenderedPageBreak/>
        <w:t>Except for the fact that classes are not required to start and end within a term, the rules and requirements for term-based programs that are not subscription-based also apply to subscription-based programs. For more information about subscription-based programs, please see the FSA Handbook, Volume 3.</w:t>
      </w:r>
    </w:p>
    <w:p w14:paraId="3430AACE" w14:textId="77777777" w:rsidR="00C90AC5" w:rsidRPr="00C90AC5" w:rsidRDefault="00C90AC5" w:rsidP="00C90AC5">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C90AC5">
        <w:rPr>
          <w:rFonts w:ascii="Arial" w:hAnsi="Arial" w:cs="Arial"/>
          <w:bCs/>
        </w:rPr>
        <w:t>An institution may credit a student’s ledger for only allowable costs and, unless on the reimbursement or Heightened Cash Monitoring 1 or 2 payment method, with the student or parent’s authorization, retain a credit balance for each disbursement. An institution on the reimbursement or Heightened Cash Monitoring 1 or 2 payment method must disburse credit balances to students whether or not the institution has an authorization to hold the credit balance and must disburse the credit balance to the student prior to requesting funds from ED.</w:t>
      </w:r>
    </w:p>
    <w:p w14:paraId="35AB4989" w14:textId="77777777" w:rsidR="00C90AC5" w:rsidRPr="00C90AC5" w:rsidRDefault="00C90AC5" w:rsidP="00C90AC5">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i/>
          <w:iCs/>
        </w:rPr>
      </w:pPr>
      <w:r w:rsidRPr="00C90AC5">
        <w:rPr>
          <w:rFonts w:ascii="Arial" w:hAnsi="Arial" w:cs="Arial"/>
          <w:bCs/>
          <w:i/>
          <w:iCs/>
        </w:rPr>
        <w:t>Payment Periods</w:t>
      </w:r>
    </w:p>
    <w:p w14:paraId="7B1FB3ED" w14:textId="77777777" w:rsidR="00C90AC5" w:rsidRPr="00C90AC5" w:rsidRDefault="00C90AC5" w:rsidP="00C90AC5">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C90AC5">
        <w:rPr>
          <w:rFonts w:ascii="Arial" w:hAnsi="Arial" w:cs="Arial"/>
          <w:bCs/>
        </w:rPr>
        <w:t>a.</w:t>
      </w:r>
      <w:r w:rsidRPr="00C90AC5">
        <w:rPr>
          <w:rFonts w:ascii="Arial" w:hAnsi="Arial" w:cs="Arial"/>
          <w:bCs/>
        </w:rPr>
        <w:tab/>
        <w:t>The payment period for a student enrolled in an eligible program that measures progress in credit hours and has standard academic terms (semesters, trimesters, or quarters), or has non-standard terms that are substantially equal in length, is the academic term (34 CFR 668.4(a)). (Non-standard terms are substantially equal in length if no term is more than two weeks of instructional time longer than any other term (34 CFR 668.4(h)).</w:t>
      </w:r>
    </w:p>
    <w:p w14:paraId="7D69BF74" w14:textId="4D7DB030"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C90AC5">
        <w:rPr>
          <w:rFonts w:ascii="Arial" w:hAnsi="Arial" w:cs="Arial"/>
          <w:bCs/>
        </w:rPr>
        <w:t>b.</w:t>
      </w:r>
      <w:r w:rsidRPr="00C90AC5">
        <w:rPr>
          <w:rFonts w:ascii="Arial" w:hAnsi="Arial" w:cs="Arial"/>
          <w:bCs/>
        </w:rPr>
        <w:tab/>
        <w:t>The payment period for a student enrolled in an eligible program that measures progress in credit hours and uses non-standard terms that are not substantially equal in length is as follows (34 CFR 668.4(b)):</w:t>
      </w:r>
    </w:p>
    <w:p w14:paraId="5CE2D081" w14:textId="521C6EC1"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bCs/>
        </w:rPr>
      </w:pPr>
      <w:r w:rsidRPr="004E2CCB">
        <w:rPr>
          <w:rFonts w:ascii="Arial" w:hAnsi="Arial" w:cs="Arial"/>
          <w:bCs/>
        </w:rPr>
        <w:t>(1)</w:t>
      </w:r>
      <w:r w:rsidRPr="004E2CCB">
        <w:rPr>
          <w:rFonts w:ascii="Arial" w:hAnsi="Arial" w:cs="Arial"/>
          <w:bCs/>
        </w:rPr>
        <w:tab/>
        <w:t>For Pell Grant, FSEOG, and TEACH Grants, the payment period is the academic term.</w:t>
      </w:r>
    </w:p>
    <w:p w14:paraId="0465DF60" w14:textId="77777777"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4E2CCB">
        <w:rPr>
          <w:rFonts w:ascii="Arial" w:hAnsi="Arial" w:cs="Arial"/>
          <w:bCs/>
        </w:rPr>
        <w:t>(2)</w:t>
      </w:r>
      <w:r w:rsidRPr="004E2CCB">
        <w:rPr>
          <w:rFonts w:ascii="Arial" w:hAnsi="Arial" w:cs="Arial"/>
          <w:bCs/>
        </w:rPr>
        <w:tab/>
        <w:t>For Direct Loans,</w:t>
      </w:r>
    </w:p>
    <w:p w14:paraId="533718AD" w14:textId="7E33B721"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bCs/>
        </w:rPr>
      </w:pPr>
      <w:r w:rsidRPr="004E2CCB">
        <w:rPr>
          <w:rFonts w:ascii="Arial" w:hAnsi="Arial" w:cs="Arial"/>
          <w:bCs/>
        </w:rPr>
        <w:t>(a)</w:t>
      </w:r>
      <w:r w:rsidRPr="004E2CCB">
        <w:rPr>
          <w:rFonts w:ascii="Arial" w:hAnsi="Arial" w:cs="Arial"/>
          <w:bCs/>
        </w:rPr>
        <w:tab/>
      </w:r>
      <w:r w:rsidRPr="00C90AC5">
        <w:rPr>
          <w:rFonts w:ascii="Arial" w:hAnsi="Arial" w:cs="Arial"/>
          <w:bCs/>
        </w:rPr>
        <w:t>If the program is one academic year or less in length (i) the first payment period is the period of time in which the student successfully completes half the number of credit hours in the program and half the number of weeks of instructional time in the program, and (ii) the second payment period is the period of time in which the student completes the program.</w:t>
      </w:r>
    </w:p>
    <w:p w14:paraId="03BA8489" w14:textId="77777777"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rPr>
      </w:pPr>
      <w:r w:rsidRPr="004E2CCB">
        <w:rPr>
          <w:rFonts w:ascii="Arial" w:hAnsi="Arial" w:cs="Arial"/>
          <w:bCs/>
        </w:rPr>
        <w:t>(b)</w:t>
      </w:r>
      <w:r w:rsidRPr="004E2CCB">
        <w:rPr>
          <w:rFonts w:ascii="Arial" w:hAnsi="Arial" w:cs="Arial"/>
          <w:bCs/>
        </w:rPr>
        <w:tab/>
        <w:t>If the program is more than one academic year in length—</w:t>
      </w:r>
    </w:p>
    <w:p w14:paraId="257B2D86" w14:textId="77777777"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2160"/>
        <w:jc w:val="both"/>
        <w:rPr>
          <w:rFonts w:ascii="Arial" w:hAnsi="Arial" w:cs="Arial"/>
          <w:bCs/>
        </w:rPr>
      </w:pPr>
      <w:r w:rsidRPr="004E2CCB">
        <w:rPr>
          <w:rFonts w:ascii="Arial" w:hAnsi="Arial" w:cs="Arial"/>
          <w:bCs/>
        </w:rPr>
        <w:t>(i)</w:t>
      </w:r>
      <w:r w:rsidRPr="004E2CCB">
        <w:rPr>
          <w:rFonts w:ascii="Arial" w:hAnsi="Arial" w:cs="Arial"/>
          <w:bCs/>
        </w:rPr>
        <w:tab/>
        <w:t>For the first academic year and any subsequent full academic year:</w:t>
      </w:r>
    </w:p>
    <w:p w14:paraId="018E388A" w14:textId="77777777"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3600" w:hanging="720"/>
        <w:jc w:val="both"/>
        <w:rPr>
          <w:rFonts w:ascii="Arial" w:hAnsi="Arial" w:cs="Arial"/>
          <w:bCs/>
        </w:rPr>
      </w:pPr>
      <w:r w:rsidRPr="004E2CCB">
        <w:rPr>
          <w:rFonts w:ascii="Arial" w:hAnsi="Arial" w:cs="Arial"/>
          <w:bCs/>
        </w:rPr>
        <w:t>(A)</w:t>
      </w:r>
      <w:r w:rsidRPr="004E2CCB">
        <w:rPr>
          <w:rFonts w:ascii="Arial" w:hAnsi="Arial" w:cs="Arial"/>
          <w:bCs/>
        </w:rPr>
        <w:tab/>
        <w:t>The first payment period is the period of time in which the student successfully completes half the number of credit hours in the academic year and half the number of weeks of instructional time in the academic year; and</w:t>
      </w:r>
    </w:p>
    <w:p w14:paraId="481BA4DA" w14:textId="77777777"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3600" w:hanging="720"/>
        <w:jc w:val="both"/>
        <w:rPr>
          <w:rFonts w:ascii="Arial" w:hAnsi="Arial" w:cs="Arial"/>
          <w:bCs/>
        </w:rPr>
      </w:pPr>
      <w:r w:rsidRPr="004E2CCB">
        <w:rPr>
          <w:rFonts w:ascii="Arial" w:hAnsi="Arial" w:cs="Arial"/>
          <w:bCs/>
        </w:rPr>
        <w:t>(B)</w:t>
      </w:r>
      <w:r w:rsidRPr="004E2CCB">
        <w:rPr>
          <w:rFonts w:ascii="Arial" w:hAnsi="Arial" w:cs="Arial"/>
          <w:bCs/>
        </w:rPr>
        <w:tab/>
        <w:t>The second payment period is the period of time in which the student completes the academic year.</w:t>
      </w:r>
    </w:p>
    <w:p w14:paraId="67902B2B" w14:textId="77777777"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2880" w:hanging="720"/>
        <w:jc w:val="both"/>
        <w:rPr>
          <w:rFonts w:ascii="Arial" w:hAnsi="Arial" w:cs="Arial"/>
          <w:bCs/>
        </w:rPr>
      </w:pPr>
      <w:r w:rsidRPr="004E2CCB">
        <w:rPr>
          <w:rFonts w:ascii="Arial" w:hAnsi="Arial" w:cs="Arial"/>
          <w:bCs/>
        </w:rPr>
        <w:t>(ii)</w:t>
      </w:r>
      <w:r w:rsidRPr="004E2CCB">
        <w:rPr>
          <w:rFonts w:ascii="Arial" w:hAnsi="Arial" w:cs="Arial"/>
          <w:bCs/>
        </w:rPr>
        <w:tab/>
        <w:t>For any remaining portion of an eligible program that is more than half, but less than a full, academic year in length:</w:t>
      </w:r>
    </w:p>
    <w:p w14:paraId="20D4EC1C" w14:textId="7D5BF5AD"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3600" w:hanging="720"/>
        <w:jc w:val="both"/>
        <w:rPr>
          <w:rFonts w:ascii="Arial" w:hAnsi="Arial" w:cs="Arial"/>
          <w:bCs/>
        </w:rPr>
      </w:pPr>
      <w:r w:rsidRPr="004E2CCB">
        <w:rPr>
          <w:rFonts w:ascii="Arial" w:hAnsi="Arial" w:cs="Arial"/>
          <w:bCs/>
        </w:rPr>
        <w:t>(A)</w:t>
      </w:r>
      <w:r w:rsidRPr="004E2CCB">
        <w:rPr>
          <w:rFonts w:ascii="Arial" w:hAnsi="Arial" w:cs="Arial"/>
          <w:bCs/>
        </w:rPr>
        <w:tab/>
      </w:r>
      <w:r w:rsidRPr="00C90AC5">
        <w:rPr>
          <w:rFonts w:ascii="Arial" w:hAnsi="Arial" w:cs="Arial"/>
          <w:bCs/>
        </w:rPr>
        <w:t>The first payment period is the period of time in which the student successfully completes half the number of credit hours in the remaining portion of the program and half the number of weeks of instructional time in the remaining portion of the program; and</w:t>
      </w:r>
    </w:p>
    <w:p w14:paraId="2372BFB2" w14:textId="77777777"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3600" w:hanging="720"/>
        <w:jc w:val="both"/>
        <w:rPr>
          <w:rFonts w:ascii="Arial" w:hAnsi="Arial" w:cs="Arial"/>
          <w:bCs/>
        </w:rPr>
      </w:pPr>
      <w:r w:rsidRPr="004E2CCB">
        <w:rPr>
          <w:rFonts w:ascii="Arial" w:hAnsi="Arial" w:cs="Arial"/>
          <w:bCs/>
        </w:rPr>
        <w:lastRenderedPageBreak/>
        <w:t>(B)</w:t>
      </w:r>
      <w:r w:rsidRPr="004E2CCB">
        <w:rPr>
          <w:rFonts w:ascii="Arial" w:hAnsi="Arial" w:cs="Arial"/>
          <w:bCs/>
        </w:rPr>
        <w:tab/>
        <w:t>The second payment period is the period of time in which the student successfully completes the remainder of the program.</w:t>
      </w:r>
    </w:p>
    <w:p w14:paraId="0430DB1F" w14:textId="193ECCE8"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2880"/>
        <w:jc w:val="both"/>
        <w:rPr>
          <w:rFonts w:ascii="Arial" w:hAnsi="Arial" w:cs="Arial"/>
          <w:bCs/>
        </w:rPr>
      </w:pPr>
      <w:r w:rsidRPr="00C90AC5">
        <w:rPr>
          <w:rFonts w:ascii="Arial" w:hAnsi="Arial" w:cs="Arial"/>
          <w:bCs/>
        </w:rPr>
        <w:t>Please note: for a remaining portion to be more than half of an academic year, both measurements (hours and weeks) must exceed half of the institution’s academic year definition.</w:t>
      </w:r>
    </w:p>
    <w:p w14:paraId="6152E45D" w14:textId="4A72C8E0"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2880" w:hanging="720"/>
        <w:jc w:val="both"/>
        <w:rPr>
          <w:rFonts w:ascii="Arial" w:hAnsi="Arial" w:cs="Arial"/>
          <w:bCs/>
        </w:rPr>
      </w:pPr>
      <w:r w:rsidRPr="004E2CCB">
        <w:rPr>
          <w:rFonts w:ascii="Arial" w:hAnsi="Arial" w:cs="Arial"/>
          <w:bCs/>
        </w:rPr>
        <w:t>(iii)</w:t>
      </w:r>
      <w:r w:rsidRPr="004E2CCB">
        <w:rPr>
          <w:rFonts w:ascii="Arial" w:hAnsi="Arial" w:cs="Arial"/>
          <w:bCs/>
        </w:rPr>
        <w:tab/>
      </w:r>
      <w:r w:rsidRPr="00C90AC5">
        <w:rPr>
          <w:rFonts w:ascii="Arial" w:hAnsi="Arial" w:cs="Arial"/>
          <w:bCs/>
        </w:rPr>
        <w:t>For any remaining portion of an eligible program that is not more than half an academic year, the payment period is the remainder of the program. In order for a remaining portion to be more than half of an academic year, both measurements (hours and weeks) must exceed half of the institution’s academic year definition. If only one measurement (or neither) exceed half of the institution’s academic year definition, the remaining portion is the final payment period.</w:t>
      </w:r>
    </w:p>
    <w:p w14:paraId="440FB527" w14:textId="6B45F87E"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4E2CCB">
        <w:rPr>
          <w:rFonts w:ascii="Arial" w:hAnsi="Arial" w:cs="Arial"/>
          <w:bCs/>
        </w:rPr>
        <w:t>c.</w:t>
      </w:r>
      <w:r w:rsidRPr="004E2CCB">
        <w:rPr>
          <w:rFonts w:ascii="Arial" w:hAnsi="Arial" w:cs="Arial"/>
          <w:bCs/>
        </w:rPr>
        <w:tab/>
      </w:r>
      <w:r w:rsidRPr="00C90AC5">
        <w:rPr>
          <w:rFonts w:ascii="Arial" w:hAnsi="Arial" w:cs="Arial"/>
          <w:bCs/>
        </w:rPr>
        <w:t>The payment period for a student enrolled in an eligible program that measures progress in credit hours and does not have academic terms or for a program that measures progress in clock hours (34 CFR 668.4(e)):</w:t>
      </w:r>
    </w:p>
    <w:p w14:paraId="29A56C31" w14:textId="03EC6316"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bCs/>
        </w:rPr>
      </w:pPr>
      <w:r w:rsidRPr="004E2CCB">
        <w:rPr>
          <w:rFonts w:ascii="Arial" w:hAnsi="Arial" w:cs="Arial"/>
          <w:bCs/>
        </w:rPr>
        <w:t>(1)</w:t>
      </w:r>
      <w:r w:rsidRPr="004E2CCB">
        <w:rPr>
          <w:rFonts w:ascii="Arial" w:hAnsi="Arial" w:cs="Arial"/>
          <w:bCs/>
        </w:rPr>
        <w:tab/>
      </w:r>
      <w:r w:rsidRPr="00C90AC5">
        <w:rPr>
          <w:rFonts w:ascii="Arial" w:hAnsi="Arial" w:cs="Arial"/>
          <w:bCs/>
        </w:rPr>
        <w:t>If the program is one academic year or less in length (a) the first payment period is the period of time in which the student successfully completes half the number of credit or clock hours in the program and half the number of weeks of instructional time in the program; and (b) the second payment period is the period of time in which the student successfully completes the program.</w:t>
      </w:r>
    </w:p>
    <w:p w14:paraId="4A34512B" w14:textId="77777777"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4E2CCB">
        <w:rPr>
          <w:rFonts w:ascii="Arial" w:hAnsi="Arial" w:cs="Arial"/>
          <w:bCs/>
        </w:rPr>
        <w:t>(2)</w:t>
      </w:r>
      <w:r w:rsidRPr="004E2CCB">
        <w:rPr>
          <w:rFonts w:ascii="Arial" w:hAnsi="Arial" w:cs="Arial"/>
          <w:bCs/>
        </w:rPr>
        <w:tab/>
        <w:t>If the program is more than one academic year in length—</w:t>
      </w:r>
    </w:p>
    <w:p w14:paraId="541AAF65" w14:textId="052F08B7"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bCs/>
        </w:rPr>
      </w:pPr>
      <w:r w:rsidRPr="004E2CCB">
        <w:rPr>
          <w:rFonts w:ascii="Arial" w:hAnsi="Arial" w:cs="Arial"/>
          <w:bCs/>
        </w:rPr>
        <w:t>(a)</w:t>
      </w:r>
      <w:r w:rsidRPr="004E2CCB">
        <w:rPr>
          <w:rFonts w:ascii="Arial" w:hAnsi="Arial" w:cs="Arial"/>
          <w:bCs/>
        </w:rPr>
        <w:tab/>
      </w:r>
      <w:r w:rsidRPr="00C90AC5">
        <w:rPr>
          <w:rFonts w:ascii="Arial" w:hAnsi="Arial" w:cs="Arial"/>
          <w:bCs/>
        </w:rPr>
        <w:t>For the first academic year and any subsequent full academic year</w:t>
      </w:r>
      <w:r>
        <w:rPr>
          <w:rFonts w:ascii="Arial" w:hAnsi="Arial" w:cs="Arial"/>
          <w:bCs/>
        </w:rPr>
        <w:t xml:space="preserve"> </w:t>
      </w:r>
      <w:r w:rsidRPr="00C90AC5">
        <w:rPr>
          <w:rFonts w:ascii="Arial" w:hAnsi="Arial" w:cs="Arial"/>
          <w:bCs/>
        </w:rPr>
        <w:t>(i)</w:t>
      </w:r>
      <w:r>
        <w:rPr>
          <w:rFonts w:ascii="Arial" w:hAnsi="Arial" w:cs="Arial"/>
          <w:bCs/>
        </w:rPr>
        <w:t xml:space="preserve"> </w:t>
      </w:r>
      <w:r w:rsidRPr="00C90AC5">
        <w:rPr>
          <w:rFonts w:ascii="Arial" w:hAnsi="Arial" w:cs="Arial"/>
          <w:bCs/>
        </w:rPr>
        <w:t>the first payment period is the period of time in which the student successfully completes half the number of credit or clock hours in the academic year and half the number of weeks of instructional time in the academic year, and (ii) the second payment period is the period of time in which the student successfully completes the academic year.</w:t>
      </w:r>
    </w:p>
    <w:p w14:paraId="1EC78831" w14:textId="606F8875"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bCs/>
        </w:rPr>
      </w:pPr>
      <w:r w:rsidRPr="004E2CCB">
        <w:rPr>
          <w:rFonts w:ascii="Arial" w:hAnsi="Arial" w:cs="Arial"/>
          <w:bCs/>
        </w:rPr>
        <w:t>(b)</w:t>
      </w:r>
      <w:r w:rsidRPr="004E2CCB">
        <w:rPr>
          <w:rFonts w:ascii="Arial" w:hAnsi="Arial" w:cs="Arial"/>
          <w:bCs/>
        </w:rPr>
        <w:tab/>
      </w:r>
      <w:r w:rsidRPr="00C90AC5">
        <w:rPr>
          <w:rFonts w:ascii="Arial" w:hAnsi="Arial" w:cs="Arial"/>
          <w:bCs/>
        </w:rPr>
        <w:t>For any remaining portion of an eligible program that is more than half (both measurements of hours and weeks exceed the institution’s academic year definition) but less than a full academic year in length (i) the first payment period is the period of time in which the student successfully completes half the number of credit or clock hours in the remaining portion of the program and half the number of weeks of instructional time in the remaining portion of the program, and (ii) the second payment period is the period of time in which the student successfully completes the remainder of the program.</w:t>
      </w:r>
    </w:p>
    <w:p w14:paraId="67C072C0" w14:textId="43DED8E0" w:rsidR="00C90AC5" w:rsidRPr="004E2CCB" w:rsidRDefault="00C90AC5" w:rsidP="00C90AC5">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bCs/>
        </w:rPr>
      </w:pPr>
      <w:r w:rsidRPr="004E2CCB">
        <w:rPr>
          <w:rFonts w:ascii="Arial" w:hAnsi="Arial" w:cs="Arial"/>
          <w:bCs/>
        </w:rPr>
        <w:t>(c)</w:t>
      </w:r>
      <w:r w:rsidRPr="004E2CCB">
        <w:rPr>
          <w:rFonts w:ascii="Arial" w:hAnsi="Arial" w:cs="Arial"/>
          <w:bCs/>
        </w:rPr>
        <w:tab/>
      </w:r>
      <w:r w:rsidR="00186C0E" w:rsidRPr="00186C0E">
        <w:rPr>
          <w:rFonts w:ascii="Arial" w:hAnsi="Arial" w:cs="Arial"/>
          <w:bCs/>
        </w:rPr>
        <w:t>For any remaining portion of an eligible program that is not more than half an academic year (only one or neither measurement of hours and weeks exceed the institution’s academic year definition), the final payment period is the remainder of the program.</w:t>
      </w:r>
    </w:p>
    <w:p w14:paraId="02358ACA"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186C0E">
        <w:rPr>
          <w:rFonts w:ascii="Arial" w:hAnsi="Arial" w:cs="Arial"/>
          <w:bCs/>
        </w:rPr>
        <w:t xml:space="preserve">If an institution is unable to determine when a student has successfully completed half of the credit hours in a program, academic year, or remainder of a program, the student is considered to begin the second payment period of the program, academic year, or remainder of a program at the later of (i) the date the institution determines the student has completed half of the academic coursework </w:t>
      </w:r>
      <w:r w:rsidRPr="00186C0E">
        <w:rPr>
          <w:rFonts w:ascii="Arial" w:hAnsi="Arial" w:cs="Arial"/>
          <w:bCs/>
        </w:rPr>
        <w:lastRenderedPageBreak/>
        <w:t>in the program, academic year, or remainder of the program; or (ii) half the number of weeks of instructional time in the program, academic year, or remainder of the program (34 CFR 668.4(c)(3)).</w:t>
      </w:r>
    </w:p>
    <w:p w14:paraId="159623CE"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186C0E">
        <w:rPr>
          <w:rFonts w:ascii="Arial" w:hAnsi="Arial" w:cs="Arial"/>
          <w:bCs/>
        </w:rPr>
        <w:t>If a student withdraws from a credit-hour program that does not have academic terms or a clock-hour program during a payment period and reenters the same program within 180 days, the student remains in that same payment period upon reentry and is eligible to receive, subject to conditions established by ED, any Title IV funds for which they were eligible for prior to withdrawal, including funds returned as a result of a Return of Title IV Aid calculation (34 CFR 668.4(f)).</w:t>
      </w:r>
    </w:p>
    <w:p w14:paraId="584BBF80"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186C0E">
        <w:rPr>
          <w:rFonts w:ascii="Arial" w:hAnsi="Arial" w:cs="Arial"/>
          <w:bCs/>
        </w:rPr>
        <w:t>If a student withdraws from a credit-hour program that does not have academic terms or a clock-hour program during a payment period and reenters the same program after 180 days or transfers into another program (either at the same institution or at a different institution) at any time, the student generally starts a new payment period (34 CFR 668.4(g)). (See exception to this general rule in 34 CFR 668.4(g)(3).)</w:t>
      </w:r>
    </w:p>
    <w:p w14:paraId="48CE1914" w14:textId="7BCCA7B5" w:rsidR="00C90AC5" w:rsidRPr="004E2CCB" w:rsidRDefault="00186C0E" w:rsidP="00186C0E">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186C0E">
        <w:rPr>
          <w:rFonts w:ascii="Arial" w:hAnsi="Arial" w:cs="Arial"/>
          <w:bCs/>
        </w:rPr>
        <w:t>An institution is required to confirm at the time of disbursement that the student is eligible for the type and amount of title IV, HEA program funds identified by that disbursement (34 CFR 668.164(b)(3)). This confirmation is in addition to the determination of individual eligibility under Compliance Requirement E – Eligibility and would include confirming such eligibility requirements as whether the student is maintaining satisfactory academic progress under the institution’s satisfactory academic progress requirements at 668.34.</w:t>
      </w:r>
    </w:p>
    <w:p w14:paraId="25A4FD64" w14:textId="77777777" w:rsidR="00C90AC5" w:rsidRPr="0047275E" w:rsidRDefault="00C90AC5" w:rsidP="00186C0E">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bCs/>
          <w:i/>
          <w:iCs/>
        </w:rPr>
      </w:pPr>
      <w:r w:rsidRPr="0047275E">
        <w:rPr>
          <w:rFonts w:ascii="Arial" w:hAnsi="Arial" w:cs="Arial"/>
          <w:bCs/>
          <w:i/>
          <w:iCs/>
        </w:rPr>
        <w:t>Timing and Appropriateness of Disbursements</w:t>
      </w:r>
    </w:p>
    <w:p w14:paraId="4BF157A9"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186C0E">
        <w:rPr>
          <w:rFonts w:ascii="Arial" w:hAnsi="Arial" w:cs="Arial"/>
          <w:bCs/>
        </w:rPr>
        <w:t>As described in 34 CFR 668.164(c), institutions may credit (charge) a student’s ledger account with Title IV funds to pay for allowable charges associated with the payment period and prior year charges of not more than $200, in accordance with the timeframes described below. A prior year is any loan period or award year prior to the current loan period or award year, as applicable. Institutions may include the cost of books and supplies as allowable charges, provided that the requirements in 34 CFR 668.164(c)(2) are met.</w:t>
      </w:r>
    </w:p>
    <w:p w14:paraId="5A7161ED"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186C0E">
        <w:rPr>
          <w:rFonts w:ascii="Arial" w:hAnsi="Arial" w:cs="Arial"/>
          <w:bCs/>
        </w:rPr>
        <w:t>Except as discussed below, the earliest an institution may disburse SFA funds (other than FWS) (either by paying the student directly or crediting the student’s account) is:</w:t>
      </w:r>
    </w:p>
    <w:p w14:paraId="421B64E0"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bCs/>
        </w:rPr>
      </w:pPr>
      <w:r w:rsidRPr="00186C0E">
        <w:rPr>
          <w:rFonts w:ascii="Arial" w:hAnsi="Arial" w:cs="Arial"/>
          <w:bCs/>
        </w:rPr>
        <w:t>•</w:t>
      </w:r>
      <w:r w:rsidRPr="00186C0E">
        <w:rPr>
          <w:rFonts w:ascii="Arial" w:hAnsi="Arial" w:cs="Arial"/>
          <w:bCs/>
        </w:rPr>
        <w:tab/>
        <w:t>For students enrolled in credit-hour programs with terms that are substantially equal in length (excluding subscription-based programs), 10 days before the first day of classes of the payment period or module for which the disbursement is intended (34 CFR 668.164(i)(1)(i)).</w:t>
      </w:r>
    </w:p>
    <w:p w14:paraId="2FF9B4BA"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bCs/>
        </w:rPr>
      </w:pPr>
      <w:r w:rsidRPr="00186C0E">
        <w:rPr>
          <w:rFonts w:ascii="Arial" w:hAnsi="Arial" w:cs="Arial"/>
          <w:bCs/>
        </w:rPr>
        <w:t>•</w:t>
      </w:r>
      <w:r w:rsidRPr="00186C0E">
        <w:rPr>
          <w:rFonts w:ascii="Arial" w:hAnsi="Arial" w:cs="Arial"/>
          <w:bCs/>
        </w:rPr>
        <w:tab/>
        <w:t>For students enrolled in credit-hour programs with terms that are not substantially equal in length (excluding subscription-based programs), non-term credit-hour programs, or clock-hour programs, the later of:</w:t>
      </w:r>
    </w:p>
    <w:p w14:paraId="199704C3"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bCs/>
        </w:rPr>
      </w:pPr>
      <w:r w:rsidRPr="00186C0E">
        <w:rPr>
          <w:rFonts w:ascii="Arial" w:hAnsi="Arial" w:cs="Arial"/>
          <w:bCs/>
        </w:rPr>
        <w:t>o</w:t>
      </w:r>
      <w:r w:rsidRPr="00186C0E">
        <w:rPr>
          <w:rFonts w:ascii="Arial" w:hAnsi="Arial" w:cs="Arial"/>
          <w:bCs/>
        </w:rPr>
        <w:tab/>
        <w:t>10 days before the first day of classes of a payment period, or</w:t>
      </w:r>
    </w:p>
    <w:p w14:paraId="519E615D"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bCs/>
        </w:rPr>
      </w:pPr>
      <w:r w:rsidRPr="00186C0E">
        <w:rPr>
          <w:rFonts w:ascii="Arial" w:hAnsi="Arial" w:cs="Arial"/>
          <w:bCs/>
        </w:rPr>
        <w:t>o</w:t>
      </w:r>
      <w:r w:rsidRPr="00186C0E">
        <w:rPr>
          <w:rFonts w:ascii="Arial" w:hAnsi="Arial" w:cs="Arial"/>
          <w:bCs/>
        </w:rPr>
        <w:tab/>
        <w:t>The date the student completed the previous payment period for which they received Title IV funds.</w:t>
      </w:r>
    </w:p>
    <w:p w14:paraId="440A134A"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186C0E">
        <w:rPr>
          <w:rFonts w:ascii="Arial" w:hAnsi="Arial" w:cs="Arial"/>
          <w:bCs/>
        </w:rPr>
        <w:t>•</w:t>
      </w:r>
      <w:r w:rsidRPr="00186C0E">
        <w:rPr>
          <w:rFonts w:ascii="Arial" w:hAnsi="Arial" w:cs="Arial"/>
          <w:bCs/>
        </w:rPr>
        <w:tab/>
        <w:t>For students enrolled in subscription-based programs, the later of:</w:t>
      </w:r>
    </w:p>
    <w:p w14:paraId="5192C3F1"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bCs/>
        </w:rPr>
      </w:pPr>
      <w:r w:rsidRPr="00186C0E">
        <w:rPr>
          <w:rFonts w:ascii="Arial" w:hAnsi="Arial" w:cs="Arial"/>
          <w:bCs/>
        </w:rPr>
        <w:t>o</w:t>
      </w:r>
      <w:r w:rsidRPr="00186C0E">
        <w:rPr>
          <w:rFonts w:ascii="Arial" w:hAnsi="Arial" w:cs="Arial"/>
          <w:bCs/>
        </w:rPr>
        <w:tab/>
        <w:t>10 days before the first day of classes of a payment period, or</w:t>
      </w:r>
    </w:p>
    <w:p w14:paraId="0673C806"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bCs/>
        </w:rPr>
      </w:pPr>
      <w:r w:rsidRPr="00186C0E">
        <w:rPr>
          <w:rFonts w:ascii="Arial" w:hAnsi="Arial" w:cs="Arial"/>
          <w:bCs/>
        </w:rPr>
        <w:lastRenderedPageBreak/>
        <w:t>o</w:t>
      </w:r>
      <w:r w:rsidRPr="00186C0E">
        <w:rPr>
          <w:rFonts w:ascii="Arial" w:hAnsi="Arial" w:cs="Arial"/>
          <w:bCs/>
        </w:rPr>
        <w:tab/>
        <w:t>The date the student completed the cumulative number of credit hours associated with the student’s enrollment status in all prior terms that the student attended under the definition of a subscription-based program in 34 CFR 668.2.</w:t>
      </w:r>
    </w:p>
    <w:p w14:paraId="22CD4EFF"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186C0E">
        <w:rPr>
          <w:rFonts w:ascii="Arial" w:hAnsi="Arial" w:cs="Arial"/>
          <w:bCs/>
        </w:rPr>
        <w:t>If an institution credits a student’s account with its own funds (i.e., funds not drawn down from ED) earlier than 10 days before the first day of classes, ED considers that the institution made that disbursement on the tenth day before the first day of classes (34 CFR 668.164(a)(2)(ii)).</w:t>
      </w:r>
    </w:p>
    <w:p w14:paraId="23C3C252"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186C0E">
        <w:rPr>
          <w:rFonts w:ascii="Arial" w:hAnsi="Arial" w:cs="Arial"/>
          <w:bCs/>
        </w:rPr>
        <w:t>There are exceptions to this 10-day rule for Direct Loans and FWS:</w:t>
      </w:r>
    </w:p>
    <w:p w14:paraId="0427408A"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bCs/>
        </w:rPr>
      </w:pPr>
      <w:r w:rsidRPr="00186C0E">
        <w:rPr>
          <w:rFonts w:ascii="Arial" w:hAnsi="Arial" w:cs="Arial"/>
          <w:bCs/>
        </w:rPr>
        <w:t>•</w:t>
      </w:r>
      <w:r w:rsidRPr="00186C0E">
        <w:rPr>
          <w:rFonts w:ascii="Arial" w:hAnsi="Arial" w:cs="Arial"/>
          <w:bCs/>
        </w:rPr>
        <w:tab/>
        <w:t>An institution may not make a disbursement of a Direct Loan to a first-year undergraduate who is a first-time borrower until 30 days after the first day of classes of the payment period (34 CFR 668.164(i)(2)(i) and 34 CFR 685.303(b)(5)). However, an institution is not subject to this delayed disbursement requirement for first-year, first-time borrowers if:</w:t>
      </w:r>
    </w:p>
    <w:p w14:paraId="67EC8D25"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bCs/>
        </w:rPr>
      </w:pPr>
      <w:r w:rsidRPr="00186C0E">
        <w:rPr>
          <w:rFonts w:ascii="Arial" w:hAnsi="Arial" w:cs="Arial"/>
          <w:bCs/>
        </w:rPr>
        <w:t>o</w:t>
      </w:r>
      <w:r w:rsidRPr="00186C0E">
        <w:rPr>
          <w:rFonts w:ascii="Arial" w:hAnsi="Arial" w:cs="Arial"/>
          <w:bCs/>
        </w:rPr>
        <w:tab/>
        <w:t>The institution has a cohort default rate of less than 15 percent for each of the three most recent fiscal years for which data are available does not have to wait the 30 days, or</w:t>
      </w:r>
    </w:p>
    <w:p w14:paraId="1C8976F8"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bCs/>
        </w:rPr>
      </w:pPr>
      <w:r w:rsidRPr="00186C0E">
        <w:rPr>
          <w:rFonts w:ascii="Arial" w:hAnsi="Arial" w:cs="Arial"/>
          <w:bCs/>
        </w:rPr>
        <w:t>o</w:t>
      </w:r>
      <w:r w:rsidRPr="00186C0E">
        <w:rPr>
          <w:rFonts w:ascii="Arial" w:hAnsi="Arial" w:cs="Arial"/>
          <w:bCs/>
        </w:rPr>
        <w:tab/>
        <w:t>The institution is an eligible home institution originating a loan to cover the student’s cost of attendance in a study-abroad program and has a cohort default rate of less than 5 percent for the single most recent fiscal year for which data are available does not have to wait the 30 days (34 CFR 685.303(b)(5)(i)(A) and (B)).</w:t>
      </w:r>
    </w:p>
    <w:p w14:paraId="50EBA3C8" w14:textId="77777777" w:rsidR="00186C0E" w:rsidRPr="00186C0E" w:rsidRDefault="00186C0E" w:rsidP="00186C0E">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bCs/>
        </w:rPr>
      </w:pPr>
      <w:r w:rsidRPr="00186C0E">
        <w:rPr>
          <w:rFonts w:ascii="Arial" w:hAnsi="Arial" w:cs="Arial"/>
          <w:bCs/>
        </w:rPr>
        <w:t>•</w:t>
      </w:r>
      <w:r w:rsidRPr="00186C0E">
        <w:rPr>
          <w:rFonts w:ascii="Arial" w:hAnsi="Arial" w:cs="Arial"/>
          <w:bCs/>
        </w:rPr>
        <w:tab/>
        <w:t>If an institution credits the account of a student who is subject to the 30day delayed disbursement requirement for Direct Loans with its own funds (i.e., funds not drawn down from ED) earlier than 30 days before the first day after the beginning of the payment period, ED considers that the institution made that disbursement on the 30th day after the beginning of the payment period (34 CFR 668.164(a)(2)(i)).</w:t>
      </w:r>
    </w:p>
    <w:p w14:paraId="662CFB4B" w14:textId="7084F234" w:rsidR="00C90AC5" w:rsidRPr="000C04C5" w:rsidRDefault="00186C0E" w:rsidP="00186C0E">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bCs/>
        </w:rPr>
      </w:pPr>
      <w:r w:rsidRPr="00186C0E">
        <w:rPr>
          <w:rFonts w:ascii="Arial" w:hAnsi="Arial" w:cs="Arial"/>
          <w:bCs/>
        </w:rPr>
        <w:t>•</w:t>
      </w:r>
      <w:r w:rsidRPr="00186C0E">
        <w:rPr>
          <w:rFonts w:ascii="Arial" w:hAnsi="Arial" w:cs="Arial"/>
          <w:bCs/>
        </w:rPr>
        <w:tab/>
        <w:t>An institution may not compensate a student employed under the FWS program until the student earns that compensation (34 CFR 675.16(a)(5)).</w:t>
      </w:r>
    </w:p>
    <w:p w14:paraId="66B15931" w14:textId="3A54FA90" w:rsidR="00C90AC5" w:rsidRPr="000C04C5" w:rsidRDefault="00C90AC5" w:rsidP="00C90AC5">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0C04C5">
        <w:rPr>
          <w:rFonts w:ascii="Arial" w:hAnsi="Arial" w:cs="Arial"/>
          <w:bCs/>
          <w:i/>
          <w:iCs/>
        </w:rPr>
        <w:t>Notification of Disbursement</w:t>
      </w:r>
    </w:p>
    <w:p w14:paraId="4480D08A" w14:textId="77777777" w:rsidR="007B1E04" w:rsidRPr="007B1E04" w:rsidRDefault="007B1E04" w:rsidP="007B1E0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B1E04">
        <w:rPr>
          <w:rFonts w:ascii="Arial" w:hAnsi="Arial" w:cs="Arial"/>
          <w:bCs/>
        </w:rPr>
        <w:t>Prior to making a disbursement, the school must notify students of the amount and type of Title IV funds they are expected to receive, and how and when those disbursements will be made (often referred to as an award letter or college financing plan) (34 CFR 668.165(a)(1)).</w:t>
      </w:r>
    </w:p>
    <w:p w14:paraId="68504C44" w14:textId="05AFBF84" w:rsidR="00C90AC5" w:rsidRPr="000C04C5" w:rsidRDefault="007B1E04" w:rsidP="007B1E0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B1E04">
        <w:rPr>
          <w:rFonts w:ascii="Arial" w:hAnsi="Arial" w:cs="Arial"/>
          <w:bCs/>
        </w:rPr>
        <w:t>Additionally, when Direct Loans or TEACH funds are being credited to a student’s account, the institution must notify the student, or parent, in writing of (1) the date and amount of the disbursement; (2) the student’s right, or parent’s right, to cancel all or a portion of that loan or loan disbursement and have the loan proceeds returned to the holder of that loan or the TEACH Grant payments returned to ED; and (3) the procedure and time by which the student or parent must notify the institution that he or she wishes to cancel the loan, TEACH Grant, or TEACH Grant disbursement (a minimum of 14 or 30 days depending on confirmation process). The notification requirement for loan funds applies only if the funds are disbursed by EFT payment or master check (34 CFR 668.165). Institutions that implement an affirmative confirmation process (as described in 34 CFR 668.165 (a)(6)(i)) must make this notification to the student or parent no earlier than 30 days before, and no later than 30 days after, crediting the student’s account at the institution with Direct Loan or TEACH Grants. Institutions that do not implement an affirmative confirmation process must notify a student no earlier than 30 days before, but no later than seven days after, crediting the student’s account and must give the student 30 days (instead of 14) to cancel all or part of the loan.</w:t>
      </w:r>
    </w:p>
    <w:p w14:paraId="6B8AADBC" w14:textId="77777777" w:rsidR="00C90AC5" w:rsidRPr="000C04C5" w:rsidRDefault="00C90AC5" w:rsidP="00C90AC5">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0C04C5">
        <w:rPr>
          <w:rFonts w:ascii="Arial" w:hAnsi="Arial" w:cs="Arial"/>
          <w:bCs/>
          <w:i/>
          <w:iCs/>
        </w:rPr>
        <w:lastRenderedPageBreak/>
        <w:t>Credit Balances</w:t>
      </w:r>
    </w:p>
    <w:p w14:paraId="45E9E743" w14:textId="77777777" w:rsidR="007B1E04" w:rsidRPr="007B1E04" w:rsidRDefault="007B1E04" w:rsidP="007B1E0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B1E04">
        <w:rPr>
          <w:rFonts w:ascii="Arial" w:hAnsi="Arial" w:cs="Arial"/>
          <w:bCs/>
        </w:rPr>
        <w:t>When Title IV funds are credited to a student account and they exceed the amount of tuition and fees, food and housing, and other authorized charges assessed the student, a credit balance is created. The institution must pay the resulting credit balance directly to the student or parent borrower within 14 days after (1) the first day of class of a payment period if the credit balance occurred on or before that day, or (2) the balance occurred if that was after the first day of class.</w:t>
      </w:r>
    </w:p>
    <w:p w14:paraId="460362A8" w14:textId="77777777" w:rsidR="007B1E04" w:rsidRPr="007B1E04" w:rsidRDefault="007B1E04" w:rsidP="007B1E0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B1E04">
        <w:rPr>
          <w:rFonts w:ascii="Arial" w:hAnsi="Arial" w:cs="Arial"/>
          <w:bCs/>
        </w:rPr>
        <w:t>An institution is permitted to hold credit balances if it obtains a voluntary authorization from the student. Regardless of any authorization obtained by the institution, the institution must pay any remaining loan balance by the end of the loan period and any other remaining Title IV funds by the end of the last payment period in the award year for which the funds were awarded.</w:t>
      </w:r>
    </w:p>
    <w:p w14:paraId="6B5E039D" w14:textId="77777777" w:rsidR="007B1E04" w:rsidRDefault="007B1E04" w:rsidP="007B1E0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B1E04">
        <w:rPr>
          <w:rFonts w:ascii="Arial" w:hAnsi="Arial" w:cs="Arial"/>
          <w:bCs/>
        </w:rPr>
        <w:t>An institution that cannot identify Title IV credit balances separately from other credit balances would be in violation of 34 C.F.R, 668.24(b)(2) which provides that an institution shall establish and maintain on a current basis financial records that reflect each Title IV program transaction; and general ledger control accounts and related subsidiary accounts that identify each Title IV program transaction and separate those transactions from all other institutional financial activity.</w:t>
      </w:r>
    </w:p>
    <w:p w14:paraId="3F4F04BB" w14:textId="77777777" w:rsidR="007B1E04" w:rsidRPr="007B1E04" w:rsidRDefault="007B1E04" w:rsidP="007B1E04">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7B1E04">
        <w:rPr>
          <w:rFonts w:ascii="Arial" w:hAnsi="Arial" w:cs="Arial"/>
          <w:bCs/>
          <w:i/>
          <w:iCs/>
        </w:rPr>
        <w:t>Returning Funds After 240 Days</w:t>
      </w:r>
    </w:p>
    <w:p w14:paraId="14980A22" w14:textId="77777777" w:rsidR="007B1E04" w:rsidRPr="007B1E04" w:rsidRDefault="007B1E04" w:rsidP="007B1E0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B1E04">
        <w:rPr>
          <w:rFonts w:ascii="Arial" w:hAnsi="Arial" w:cs="Arial"/>
          <w:bCs/>
        </w:rPr>
        <w:t>Note: As outlined under 34 CFR 668.164(l), an institution must have a process that ensures SFA funds never escheat to a state or revert to the institution or any other third party. A failure to have such a process in place would call into question an institution’s administrative capability, its fiscal responsibility, and its system of internal controls required under the FSA regulations.</w:t>
      </w:r>
    </w:p>
    <w:p w14:paraId="6977AEDA" w14:textId="428572F5" w:rsidR="00C90AC5" w:rsidRPr="000C04C5" w:rsidRDefault="00C90AC5" w:rsidP="007B1E04">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0C04C5">
        <w:rPr>
          <w:rFonts w:ascii="Arial" w:hAnsi="Arial" w:cs="Arial"/>
          <w:bCs/>
          <w:i/>
          <w:iCs/>
        </w:rPr>
        <w:t>Pell</w:t>
      </w:r>
    </w:p>
    <w:p w14:paraId="6E70A1AA" w14:textId="77777777" w:rsidR="007B1E04" w:rsidRPr="007B1E04" w:rsidRDefault="007B1E04" w:rsidP="007B1E0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B1E04">
        <w:rPr>
          <w:rFonts w:ascii="Arial" w:hAnsi="Arial" w:cs="Arial"/>
          <w:bCs/>
        </w:rPr>
        <w:t>To disburse Pell funds, the institution must have received a valid ISIR from the FPS by the earlier of the student’s last date of enrollment or the deadline date established by the secretary in a notice published in the Federal Register (the deadline date is normally in the month of September following the end of the award year). Late disbursements of Pell for students that are now ineligible (e.g., no longer enrolled) are allowed if, before the date the student became ineligible, an ISIR or FAFSA Submission Summary was processed that contained an official SAI. The institution has discretion in disbursing funds within a payment period, but generally must disburse the full amount before the end of the payment period.</w:t>
      </w:r>
    </w:p>
    <w:p w14:paraId="283F6634" w14:textId="77777777" w:rsidR="007B1E04" w:rsidRPr="007B1E04" w:rsidRDefault="007B1E04" w:rsidP="007B1E0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B1E04">
        <w:rPr>
          <w:rFonts w:ascii="Arial" w:hAnsi="Arial" w:cs="Arial"/>
          <w:bCs/>
        </w:rPr>
        <w:t>When making a late disbursement or retroactive payment of Pell for a completed period, an institution determines a student’s enrollment intensity for the completed period based only on the hours completed by the student for that period (34 CFR 690.76(b)).</w:t>
      </w:r>
    </w:p>
    <w:p w14:paraId="6E57257A" w14:textId="0B56368A" w:rsidR="00C90AC5" w:rsidRPr="000C04C5" w:rsidRDefault="007B1E04" w:rsidP="007B1E0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B1E04">
        <w:rPr>
          <w:rFonts w:ascii="Arial" w:hAnsi="Arial" w:cs="Arial"/>
          <w:bCs/>
        </w:rPr>
        <w:t>The institution must review and document the student’s eligibility before it disburses funds each payment period (34 CFR 690.61, 690.75, 690.76, and 668.164(b)(3)). (Requirements for student eligibility are found in</w:t>
      </w:r>
      <w:r w:rsidR="00C90AC5" w:rsidRPr="000C04C5">
        <w:rPr>
          <w:rFonts w:ascii="Arial" w:hAnsi="Arial" w:cs="Arial"/>
          <w:bCs/>
        </w:rPr>
        <w:t xml:space="preserve"> </w:t>
      </w:r>
      <w:hyperlink r:id="rId90" w:history="1">
        <w:r w:rsidR="00C90AC5" w:rsidRPr="00DB4A83">
          <w:rPr>
            <w:rStyle w:val="Hyperlink"/>
            <w:rFonts w:cs="Arial"/>
            <w:bCs/>
          </w:rPr>
          <w:t>Appendix A</w:t>
        </w:r>
      </w:hyperlink>
      <w:r w:rsidR="00C90AC5" w:rsidRPr="000C04C5">
        <w:rPr>
          <w:rFonts w:ascii="Arial" w:hAnsi="Arial" w:cs="Arial"/>
          <w:bCs/>
        </w:rPr>
        <w:t>.)</w:t>
      </w:r>
    </w:p>
    <w:p w14:paraId="24DDBA27" w14:textId="4559FDD4" w:rsidR="002C2A3F" w:rsidRPr="002C2A3F" w:rsidRDefault="002C2A3F" w:rsidP="00C90AC5">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color w:val="002060"/>
        </w:rPr>
      </w:pPr>
      <w:r>
        <w:rPr>
          <w:rFonts w:ascii="Arial" w:hAnsi="Arial" w:cs="Arial"/>
          <w:bCs/>
          <w:i/>
          <w:iCs/>
          <w:color w:val="002060"/>
        </w:rPr>
        <w:t>Information regarding TEACH Grant excluded as that program is not included in this FACCR.</w:t>
      </w:r>
    </w:p>
    <w:p w14:paraId="2045BBD9" w14:textId="29E081BB" w:rsidR="00C90AC5" w:rsidRPr="000C04C5" w:rsidRDefault="00C90AC5" w:rsidP="00C90AC5">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0C04C5">
        <w:rPr>
          <w:rFonts w:ascii="Arial" w:hAnsi="Arial" w:cs="Arial"/>
          <w:bCs/>
          <w:i/>
          <w:iCs/>
        </w:rPr>
        <w:t>Direct Loan</w:t>
      </w:r>
    </w:p>
    <w:p w14:paraId="3ACA5A61" w14:textId="77777777" w:rsidR="007B1E04" w:rsidRPr="007B1E04" w:rsidRDefault="007B1E04" w:rsidP="007B1E0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B1E04">
        <w:rPr>
          <w:rFonts w:ascii="Arial" w:hAnsi="Arial" w:cs="Arial"/>
          <w:bCs/>
        </w:rPr>
        <w:t>Except in the case of an allowable late disbursement (34 CFR 685.303(d)), before disbursing the loan proceeds, the institution must determine that the student maintained continuous eligibility from the beginning of the loan period. In order for an institution to disburse Direct Loan funds to a student, the student must generally be enrolled at least half-time as a regular student. However, a student may be eligible to receive Direct Loan funds if the student is enrolled at least half-time in preparatory coursework for no longer than a 12-month consecutive period under 668.32(a)(1)(ii) and 685.203(a)(6). Students</w:t>
      </w:r>
      <w:r>
        <w:rPr>
          <w:rFonts w:ascii="Arial" w:hAnsi="Arial" w:cs="Arial"/>
          <w:bCs/>
        </w:rPr>
        <w:t xml:space="preserve"> </w:t>
      </w:r>
      <w:r w:rsidRPr="007B1E04">
        <w:rPr>
          <w:rFonts w:ascii="Arial" w:hAnsi="Arial" w:cs="Arial"/>
          <w:bCs/>
        </w:rPr>
        <w:t xml:space="preserve">may also be eligible </w:t>
      </w:r>
      <w:r w:rsidRPr="007B1E04">
        <w:rPr>
          <w:rFonts w:ascii="Arial" w:hAnsi="Arial" w:cs="Arial"/>
          <w:bCs/>
        </w:rPr>
        <w:lastRenderedPageBreak/>
        <w:t>for Direct Loan funds if they are enrolled at least half-time in teacher certification coursework under 34 CFR 685.203(a)(7).</w:t>
      </w:r>
    </w:p>
    <w:p w14:paraId="0A11B771" w14:textId="37217C49" w:rsidR="00C90AC5" w:rsidRPr="000C04C5" w:rsidRDefault="007B1E04" w:rsidP="007B1E04">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B1E04">
        <w:rPr>
          <w:rFonts w:ascii="Arial" w:hAnsi="Arial" w:cs="Arial"/>
          <w:bCs/>
        </w:rPr>
        <w:t>An institution under the advance payment method may not disburse loan proceeds until they have obtained a legally enforceable promissory note. An institution under reimbursement or cash monitoring payment method must have obtained a legally enforceable promissory note and may request funds only for those that they have already disbursed funds to students (34 CFR 685.301 and 685.303). (See III.C, “Cash Management,” for discussion of payment methods.) (Requirements for student eligibility are found in</w:t>
      </w:r>
      <w:r w:rsidR="00C90AC5" w:rsidRPr="000C04C5">
        <w:rPr>
          <w:rFonts w:ascii="Arial" w:hAnsi="Arial" w:cs="Arial"/>
          <w:bCs/>
        </w:rPr>
        <w:t xml:space="preserve"> </w:t>
      </w:r>
      <w:hyperlink r:id="rId91" w:history="1">
        <w:r w:rsidR="00C90AC5" w:rsidRPr="009706B9">
          <w:rPr>
            <w:rStyle w:val="Hyperlink"/>
            <w:rFonts w:cs="Arial"/>
            <w:bCs/>
          </w:rPr>
          <w:t>Appendix A</w:t>
        </w:r>
      </w:hyperlink>
      <w:r w:rsidR="00C90AC5" w:rsidRPr="000C04C5">
        <w:rPr>
          <w:rFonts w:ascii="Arial" w:hAnsi="Arial" w:cs="Arial"/>
          <w:bCs/>
        </w:rPr>
        <w:t>.)</w:t>
      </w:r>
    </w:p>
    <w:p w14:paraId="331EC20F" w14:textId="01159CAE" w:rsidR="002C2A3F" w:rsidRPr="002C2A3F" w:rsidRDefault="002C2A3F" w:rsidP="002C2A3F">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color w:val="002060"/>
        </w:rPr>
      </w:pPr>
      <w:r>
        <w:rPr>
          <w:rFonts w:ascii="Arial" w:hAnsi="Arial" w:cs="Arial"/>
          <w:bCs/>
          <w:i/>
          <w:iCs/>
          <w:color w:val="002060"/>
        </w:rPr>
        <w:t>Information regarding FWS and HHS Programs excluded as the programs are not included in this FACCR.</w:t>
      </w:r>
    </w:p>
    <w:p w14:paraId="675EAF17" w14:textId="3C16A588" w:rsidR="004171E2" w:rsidRPr="00F00D94" w:rsidRDefault="00C90AC5" w:rsidP="00C90AC5">
      <w:pPr>
        <w:spacing w:after="240"/>
        <w:jc w:val="both"/>
        <w:rPr>
          <w:rFonts w:ascii="Arial" w:hAnsi="Arial" w:cs="Arial"/>
        </w:rPr>
      </w:pPr>
      <w:r w:rsidRPr="004E2CCB">
        <w:rPr>
          <w:rFonts w:ascii="Arial" w:hAnsi="Arial" w:cs="Arial"/>
          <w:bCs/>
          <w:i/>
        </w:rPr>
        <w:t>(Source: 202</w:t>
      </w:r>
      <w:r>
        <w:rPr>
          <w:rFonts w:ascii="Arial" w:hAnsi="Arial" w:cs="Arial"/>
          <w:bCs/>
          <w:i/>
        </w:rPr>
        <w:t>5</w:t>
      </w:r>
      <w:r w:rsidRPr="004E2CCB">
        <w:rPr>
          <w:rFonts w:ascii="Arial" w:hAnsi="Arial" w:cs="Arial"/>
          <w:bCs/>
          <w:i/>
        </w:rPr>
        <w:t xml:space="preserve"> OMB Compliance Supplement, Part 5, Student Financial Assistance Cluster)</w:t>
      </w:r>
    </w:p>
    <w:p w14:paraId="366FE5DD" w14:textId="77777777" w:rsidR="004171E2" w:rsidRPr="000706D1" w:rsidRDefault="004171E2" w:rsidP="004171E2">
      <w:pPr>
        <w:pStyle w:val="Heading3"/>
        <w:jc w:val="both"/>
        <w:rPr>
          <w:rFonts w:cs="Arial"/>
          <w:sz w:val="24"/>
          <w:szCs w:val="24"/>
        </w:rPr>
      </w:pPr>
      <w:bookmarkStart w:id="68" w:name="_Toc210306834"/>
      <w:r w:rsidRPr="000706D1">
        <w:rPr>
          <w:rFonts w:cs="Arial"/>
          <w:sz w:val="24"/>
          <w:szCs w:val="24"/>
        </w:rPr>
        <w:t>Additional Program Specific Information</w:t>
      </w:r>
      <w:bookmarkEnd w:id="68"/>
    </w:p>
    <w:p w14:paraId="7DD22753" w14:textId="77777777" w:rsidR="004171E2" w:rsidRPr="00AA5B05" w:rsidRDefault="004171E2" w:rsidP="004171E2">
      <w:pPr>
        <w:spacing w:after="240"/>
        <w:jc w:val="both"/>
        <w:rPr>
          <w:rFonts w:ascii="Arial" w:hAnsi="Arial" w:cs="Arial"/>
          <w:b/>
          <w:highlight w:val="yellow"/>
        </w:rPr>
      </w:pPr>
      <w:r w:rsidRPr="00AA5B05">
        <w:rPr>
          <w:rFonts w:ascii="Arial" w:hAnsi="Arial" w:cs="Arial"/>
          <w:b/>
          <w:highlight w:val="yellow"/>
        </w:rPr>
        <w:t>Add program specific requirements from:</w:t>
      </w:r>
    </w:p>
    <w:p w14:paraId="407989C6" w14:textId="1B682736" w:rsidR="004171E2" w:rsidRPr="007B1E04" w:rsidRDefault="004171E2" w:rsidP="007B1E04">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B1E04">
        <w:rPr>
          <w:rFonts w:ascii="Arial" w:hAnsi="Arial" w:cs="Arial"/>
          <w:b/>
          <w:highlight w:val="yellow"/>
        </w:rPr>
        <w:t xml:space="preserve"> and</w:t>
      </w:r>
    </w:p>
    <w:p w14:paraId="11A7441B" w14:textId="77777777"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58EC7BC0" w14:textId="77777777" w:rsidR="004171E2" w:rsidRPr="00AA5B05" w:rsidRDefault="004171E2" w:rsidP="004171E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3545A95" w14:textId="77777777" w:rsidR="004171E2" w:rsidRPr="000706D1" w:rsidRDefault="004171E2" w:rsidP="004171E2">
      <w:pPr>
        <w:pStyle w:val="Heading3"/>
        <w:jc w:val="both"/>
        <w:rPr>
          <w:rFonts w:cs="Arial"/>
          <w:sz w:val="24"/>
          <w:szCs w:val="24"/>
        </w:rPr>
      </w:pPr>
      <w:bookmarkStart w:id="69" w:name="_Toc210306835"/>
      <w:r w:rsidRPr="000706D1">
        <w:rPr>
          <w:rFonts w:cs="Arial"/>
          <w:sz w:val="24"/>
          <w:szCs w:val="24"/>
        </w:rPr>
        <w:t>Audit Objectives and Control Testing</w:t>
      </w:r>
      <w:bookmarkEnd w:id="69"/>
    </w:p>
    <w:p w14:paraId="5623B3D6" w14:textId="77777777" w:rsidR="004171E2" w:rsidRPr="00F00D94" w:rsidRDefault="004171E2" w:rsidP="004171E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2B6EAF1" w14:textId="77777777" w:rsidR="004171E2" w:rsidRPr="00F00D94" w:rsidRDefault="004171E2" w:rsidP="004171E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E5FF3FF" w14:textId="77777777" w:rsidR="004171E2"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640464E" w14:textId="1D465054" w:rsidR="007219D6" w:rsidRPr="007219D6" w:rsidRDefault="007219D6" w:rsidP="007219D6">
      <w:pPr>
        <w:pStyle w:val="ListParagraph"/>
        <w:numPr>
          <w:ilvl w:val="0"/>
          <w:numId w:val="61"/>
        </w:numPr>
        <w:pBdr>
          <w:top w:val="single" w:sz="6" w:space="0" w:color="FFFFFF"/>
          <w:left w:val="single" w:sz="6" w:space="0" w:color="FFFFFF"/>
          <w:bottom w:val="single" w:sz="6" w:space="0" w:color="FFFFFF"/>
          <w:right w:val="single" w:sz="6" w:space="0" w:color="FFFFFF"/>
        </w:pBdr>
        <w:tabs>
          <w:tab w:val="left" w:pos="360"/>
        </w:tabs>
        <w:spacing w:after="240"/>
        <w:ind w:left="360" w:hanging="360"/>
        <w:jc w:val="both"/>
        <w:rPr>
          <w:rFonts w:ascii="Arial" w:hAnsi="Arial" w:cs="Arial"/>
          <w:iCs/>
        </w:rPr>
      </w:pPr>
      <w:r w:rsidRPr="007219D6">
        <w:rPr>
          <w:rFonts w:ascii="Arial" w:hAnsi="Arial" w:cs="Arial"/>
          <w:iCs/>
        </w:rPr>
        <w:t>Determine if the institution (1) followed ED requirements for timing and appropriateness of disbursements, (2) made appropriate and timely disbursement notifications, (3) complied with requirements for returning credit balances, and</w:t>
      </w:r>
      <w:r>
        <w:rPr>
          <w:rFonts w:ascii="Arial" w:hAnsi="Arial" w:cs="Arial"/>
          <w:iCs/>
        </w:rPr>
        <w:t xml:space="preserve"> </w:t>
      </w:r>
      <w:r w:rsidRPr="007219D6">
        <w:rPr>
          <w:rFonts w:ascii="Arial" w:hAnsi="Arial" w:cs="Arial"/>
          <w:iCs/>
        </w:rPr>
        <w:t>(4) returned to ED funds that it attempted to disburse after 240 days.</w:t>
      </w:r>
    </w:p>
    <w:p w14:paraId="762947C2" w14:textId="0FB8879B" w:rsidR="002C2A3F" w:rsidRPr="002C2A3F" w:rsidRDefault="002C2A3F" w:rsidP="002C2A3F">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color w:val="002060"/>
        </w:rPr>
      </w:pPr>
      <w:r>
        <w:rPr>
          <w:rFonts w:ascii="Arial" w:hAnsi="Arial" w:cs="Arial"/>
          <w:bCs/>
          <w:i/>
          <w:iCs/>
          <w:color w:val="002060"/>
        </w:rPr>
        <w:t xml:space="preserve">Objective </w:t>
      </w:r>
      <w:r w:rsidRPr="002C2A3F">
        <w:rPr>
          <w:rFonts w:ascii="Arial" w:hAnsi="Arial" w:cs="Arial"/>
          <w:bCs/>
          <w:i/>
          <w:iCs/>
          <w:color w:val="002060"/>
        </w:rPr>
        <w:t xml:space="preserve">regarding </w:t>
      </w:r>
      <w:r>
        <w:rPr>
          <w:rFonts w:ascii="Arial" w:hAnsi="Arial" w:cs="Arial"/>
          <w:bCs/>
          <w:i/>
          <w:iCs/>
          <w:color w:val="002060"/>
        </w:rPr>
        <w:t>HHS programs</w:t>
      </w:r>
      <w:r w:rsidRPr="002C2A3F">
        <w:rPr>
          <w:rFonts w:ascii="Arial" w:hAnsi="Arial" w:cs="Arial"/>
          <w:bCs/>
          <w:i/>
          <w:iCs/>
          <w:color w:val="002060"/>
        </w:rPr>
        <w:t xml:space="preserve"> excluded as </w:t>
      </w:r>
      <w:r>
        <w:rPr>
          <w:rFonts w:ascii="Arial" w:hAnsi="Arial" w:cs="Arial"/>
          <w:bCs/>
          <w:i/>
          <w:iCs/>
          <w:color w:val="002060"/>
        </w:rPr>
        <w:t xml:space="preserve">those programs are </w:t>
      </w:r>
      <w:r w:rsidRPr="002C2A3F">
        <w:rPr>
          <w:rFonts w:ascii="Arial" w:hAnsi="Arial" w:cs="Arial"/>
          <w:bCs/>
          <w:i/>
          <w:iCs/>
          <w:color w:val="002060"/>
        </w:rPr>
        <w:t>not included in this FACCR.</w:t>
      </w:r>
    </w:p>
    <w:p w14:paraId="32204C50" w14:textId="4E36A08C" w:rsidR="004171E2" w:rsidRPr="007219D6" w:rsidRDefault="007219D6" w:rsidP="007219D6">
      <w:pPr>
        <w:tabs>
          <w:tab w:val="left" w:pos="450"/>
        </w:tabs>
        <w:spacing w:after="240"/>
        <w:jc w:val="both"/>
        <w:rPr>
          <w:rFonts w:ascii="Arial" w:hAnsi="Arial" w:cs="Arial"/>
          <w:iCs/>
        </w:rPr>
      </w:pPr>
      <w:r w:rsidRPr="007219D6">
        <w:rPr>
          <w:rFonts w:ascii="Arial" w:hAnsi="Arial" w:cs="Arial"/>
          <w:bCs/>
          <w:i/>
        </w:rPr>
        <w:t>(Source: 202</w:t>
      </w:r>
      <w:r>
        <w:rPr>
          <w:rFonts w:ascii="Arial" w:hAnsi="Arial" w:cs="Arial"/>
          <w:bCs/>
          <w:i/>
        </w:rPr>
        <w:t>5</w:t>
      </w:r>
      <w:r w:rsidRPr="007219D6">
        <w:rPr>
          <w:rFonts w:ascii="Arial" w:hAnsi="Arial" w:cs="Arial"/>
          <w:bCs/>
          <w:i/>
        </w:rPr>
        <w:t xml:space="preserve"> OMB Compliance Supplement, Part 5, Student Financial Assistance Cluster)</w:t>
      </w:r>
    </w:p>
    <w:p w14:paraId="1C1C6844" w14:textId="77777777" w:rsidR="004171E2" w:rsidRPr="00634FA3" w:rsidRDefault="004171E2" w:rsidP="004171E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171E2" w:rsidRPr="00F00D94" w14:paraId="7735D204" w14:textId="77777777" w:rsidTr="00E0350C">
        <w:tc>
          <w:tcPr>
            <w:tcW w:w="5000" w:type="pct"/>
          </w:tcPr>
          <w:p w14:paraId="08D8ABF5" w14:textId="77777777" w:rsidR="004171E2" w:rsidRPr="006F5FFA" w:rsidRDefault="004171E2" w:rsidP="0005458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B4992C4"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0907551" w14:textId="77777777" w:rsidR="004171E2" w:rsidRPr="00F00D94" w:rsidRDefault="004171E2" w:rsidP="0005458C">
            <w:pPr>
              <w:pStyle w:val="AuditProcedureHeading"/>
              <w:spacing w:after="240"/>
              <w:jc w:val="both"/>
              <w:rPr>
                <w:rFonts w:cs="Arial"/>
                <w:b/>
                <w:bCs/>
                <w:szCs w:val="20"/>
                <w:u w:val="single"/>
              </w:rPr>
            </w:pPr>
          </w:p>
          <w:p w14:paraId="50F1980A" w14:textId="77777777" w:rsidR="004171E2" w:rsidRPr="00F00D94" w:rsidRDefault="004171E2" w:rsidP="0005458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F629BE3" w14:textId="77777777" w:rsidR="004171E2" w:rsidRPr="00F00D94" w:rsidRDefault="004171E2" w:rsidP="0005458C">
            <w:pPr>
              <w:pStyle w:val="AuditProcedureHeading"/>
              <w:spacing w:after="240"/>
              <w:jc w:val="both"/>
              <w:rPr>
                <w:rFonts w:cs="Arial"/>
                <w:b/>
                <w:bCs/>
                <w:szCs w:val="20"/>
                <w:u w:val="single"/>
              </w:rPr>
            </w:pPr>
          </w:p>
          <w:p w14:paraId="65032EA7"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62198AE" w14:textId="77777777" w:rsidR="004171E2" w:rsidRPr="00F00D94" w:rsidRDefault="004171E2" w:rsidP="0005458C">
            <w:pPr>
              <w:spacing w:after="240"/>
              <w:jc w:val="both"/>
              <w:rPr>
                <w:rFonts w:ascii="Arial" w:hAnsi="Arial" w:cs="Arial"/>
                <w:b/>
                <w:sz w:val="20"/>
                <w:u w:val="single"/>
              </w:rPr>
            </w:pPr>
          </w:p>
          <w:p w14:paraId="11EB2727" w14:textId="77777777" w:rsidR="004171E2" w:rsidRPr="00F00D94" w:rsidRDefault="004171E2" w:rsidP="0005458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549B1C7" w14:textId="77777777" w:rsidR="004171E2" w:rsidRPr="00C35E5F" w:rsidRDefault="004171E2" w:rsidP="0005458C">
            <w:pPr>
              <w:spacing w:after="240"/>
              <w:jc w:val="both"/>
              <w:rPr>
                <w:rFonts w:ascii="Arial" w:eastAsiaTheme="minorHAnsi" w:hAnsi="Arial" w:cs="Arial"/>
                <w:sz w:val="20"/>
                <w:szCs w:val="20"/>
              </w:rPr>
            </w:pPr>
          </w:p>
        </w:tc>
      </w:tr>
    </w:tbl>
    <w:p w14:paraId="66C6E288" w14:textId="77777777" w:rsidR="004171E2" w:rsidRPr="00F00D94" w:rsidRDefault="004171E2" w:rsidP="004171E2">
      <w:pPr>
        <w:spacing w:after="240"/>
        <w:jc w:val="both"/>
        <w:rPr>
          <w:rFonts w:ascii="Arial" w:hAnsi="Arial" w:cs="Arial"/>
          <w:b/>
          <w:bCs/>
        </w:rPr>
      </w:pPr>
    </w:p>
    <w:p w14:paraId="76ED57A4" w14:textId="77777777" w:rsidR="004171E2" w:rsidRPr="000706D1" w:rsidRDefault="004171E2" w:rsidP="004171E2">
      <w:pPr>
        <w:pStyle w:val="Heading3"/>
        <w:jc w:val="both"/>
        <w:rPr>
          <w:rFonts w:cs="Arial"/>
          <w:sz w:val="24"/>
          <w:szCs w:val="24"/>
        </w:rPr>
      </w:pPr>
      <w:bookmarkStart w:id="70" w:name="_Toc210306836"/>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70"/>
    </w:p>
    <w:tbl>
      <w:tblPr>
        <w:tblStyle w:val="TableGrid"/>
        <w:tblW w:w="9558" w:type="dxa"/>
        <w:tblLayout w:type="fixed"/>
        <w:tblLook w:val="04A0" w:firstRow="1" w:lastRow="0" w:firstColumn="1" w:lastColumn="0" w:noHBand="0" w:noVBand="1"/>
      </w:tblPr>
      <w:tblGrid>
        <w:gridCol w:w="9558"/>
      </w:tblGrid>
      <w:tr w:rsidR="004171E2" w:rsidRPr="00F00D94" w14:paraId="156AFFB9" w14:textId="77777777" w:rsidTr="00634FA3">
        <w:tc>
          <w:tcPr>
            <w:tcW w:w="9558" w:type="dxa"/>
          </w:tcPr>
          <w:p w14:paraId="0A481F6C" w14:textId="77777777" w:rsidR="004171E2" w:rsidRDefault="004171E2" w:rsidP="0005458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0BEA3AFE" w14:textId="77777777" w:rsidR="004171E2" w:rsidRDefault="004171E2" w:rsidP="007219D6">
            <w:pPr>
              <w:tabs>
                <w:tab w:val="left" w:pos="701"/>
              </w:tabs>
              <w:spacing w:after="240"/>
              <w:ind w:left="706" w:hanging="706"/>
              <w:jc w:val="both"/>
              <w:rPr>
                <w:rFonts w:ascii="Arial" w:hAnsi="Arial" w:cs="Arial"/>
                <w:i/>
                <w:sz w:val="20"/>
                <w:szCs w:val="20"/>
              </w:rPr>
            </w:pPr>
            <w:r>
              <w:rPr>
                <w:rFonts w:ascii="Arial" w:hAnsi="Arial" w:cs="Arial"/>
                <w:i/>
                <w:sz w:val="20"/>
                <w:szCs w:val="20"/>
              </w:rPr>
              <w:t xml:space="preserve">(Source: </w:t>
            </w:r>
            <w:r w:rsidRPr="007219D6">
              <w:rPr>
                <w:rFonts w:ascii="Arial" w:hAnsi="Arial" w:cs="Arial"/>
                <w:i/>
                <w:sz w:val="20"/>
                <w:szCs w:val="20"/>
              </w:rPr>
              <w:t>2025 OMB Compliance Supplement Part 3.2)</w:t>
            </w:r>
          </w:p>
          <w:p w14:paraId="6A460C16" w14:textId="0C354FBF" w:rsidR="002C2A3F" w:rsidRPr="002C2A3F" w:rsidRDefault="002C2A3F" w:rsidP="002C2A3F">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color w:val="002060"/>
                <w:sz w:val="20"/>
                <w:szCs w:val="20"/>
              </w:rPr>
            </w:pPr>
            <w:r w:rsidRPr="002C2A3F">
              <w:rPr>
                <w:rFonts w:ascii="Arial" w:hAnsi="Arial" w:cs="Arial"/>
                <w:bCs/>
                <w:i/>
                <w:iCs/>
                <w:color w:val="002060"/>
                <w:sz w:val="20"/>
                <w:szCs w:val="20"/>
              </w:rPr>
              <w:t>Suggested Audit Procedure f excluded as it relates to HHS programs not included in this FACCR.</w:t>
            </w:r>
          </w:p>
          <w:p w14:paraId="5781C0FF" w14:textId="77777777" w:rsidR="007219D6" w:rsidRPr="007219D6" w:rsidRDefault="007219D6" w:rsidP="00D12EB7">
            <w:pPr>
              <w:pStyle w:val="ListParagraph"/>
              <w:widowControl w:val="0"/>
              <w:numPr>
                <w:ilvl w:val="0"/>
                <w:numId w:val="64"/>
              </w:numPr>
              <w:tabs>
                <w:tab w:val="left" w:pos="701"/>
                <w:tab w:val="left" w:pos="1559"/>
                <w:tab w:val="left" w:pos="1560"/>
              </w:tabs>
              <w:suppressAutoHyphens w:val="0"/>
              <w:adjustRightInd/>
              <w:spacing w:after="240"/>
              <w:ind w:left="706" w:right="239" w:hanging="706"/>
              <w:jc w:val="both"/>
              <w:rPr>
                <w:rFonts w:ascii="Arial" w:hAnsi="Arial" w:cs="Arial"/>
                <w:sz w:val="20"/>
                <w:szCs w:val="20"/>
              </w:rPr>
            </w:pPr>
            <w:r w:rsidRPr="007219D6">
              <w:rPr>
                <w:rFonts w:ascii="Arial" w:hAnsi="Arial" w:cs="Arial"/>
                <w:sz w:val="20"/>
                <w:szCs w:val="20"/>
              </w:rPr>
              <w:t>For a sample of student disbursements, identify the student’s payment period and each disbursement date. Ascertain if the disbursement was made in accordance with the disbursement timing requirements and if the amount credited (charged) to student ledger accounts complied with the requirements for allowable current year and prior year</w:t>
            </w:r>
            <w:r w:rsidRPr="007219D6">
              <w:rPr>
                <w:rFonts w:ascii="Arial" w:hAnsi="Arial" w:cs="Arial"/>
                <w:spacing w:val="-3"/>
                <w:sz w:val="20"/>
                <w:szCs w:val="20"/>
              </w:rPr>
              <w:t xml:space="preserve"> </w:t>
            </w:r>
            <w:r w:rsidRPr="007219D6">
              <w:rPr>
                <w:rFonts w:ascii="Arial" w:hAnsi="Arial" w:cs="Arial"/>
                <w:sz w:val="20"/>
                <w:szCs w:val="20"/>
              </w:rPr>
              <w:t>charges.</w:t>
            </w:r>
          </w:p>
          <w:p w14:paraId="50C2A8F5" w14:textId="77777777" w:rsidR="007219D6" w:rsidRPr="007219D6" w:rsidRDefault="007219D6" w:rsidP="00D12EB7">
            <w:pPr>
              <w:pStyle w:val="ListParagraph"/>
              <w:widowControl w:val="0"/>
              <w:numPr>
                <w:ilvl w:val="0"/>
                <w:numId w:val="64"/>
              </w:numPr>
              <w:tabs>
                <w:tab w:val="left" w:pos="701"/>
                <w:tab w:val="left" w:pos="1559"/>
                <w:tab w:val="left" w:pos="1560"/>
              </w:tabs>
              <w:suppressAutoHyphens w:val="0"/>
              <w:adjustRightInd/>
              <w:spacing w:after="240"/>
              <w:ind w:left="706" w:right="1173" w:hanging="706"/>
              <w:jc w:val="both"/>
              <w:rPr>
                <w:rFonts w:ascii="Arial" w:hAnsi="Arial" w:cs="Arial"/>
                <w:sz w:val="20"/>
                <w:szCs w:val="20"/>
              </w:rPr>
            </w:pPr>
            <w:r w:rsidRPr="007219D6">
              <w:rPr>
                <w:rFonts w:ascii="Arial" w:hAnsi="Arial" w:cs="Arial"/>
                <w:sz w:val="20"/>
                <w:szCs w:val="20"/>
              </w:rPr>
              <w:t>Determine whether the institution’s policies and procedures provide for determining a student’s eligibility at the time of</w:t>
            </w:r>
            <w:r w:rsidRPr="007219D6">
              <w:rPr>
                <w:rFonts w:ascii="Arial" w:hAnsi="Arial" w:cs="Arial"/>
                <w:spacing w:val="-8"/>
                <w:sz w:val="20"/>
                <w:szCs w:val="20"/>
              </w:rPr>
              <w:t xml:space="preserve"> </w:t>
            </w:r>
            <w:r w:rsidRPr="007219D6">
              <w:rPr>
                <w:rFonts w:ascii="Arial" w:hAnsi="Arial" w:cs="Arial"/>
                <w:sz w:val="20"/>
                <w:szCs w:val="20"/>
              </w:rPr>
              <w:t>disbursement.</w:t>
            </w:r>
          </w:p>
          <w:p w14:paraId="4F2A1F9B" w14:textId="77777777" w:rsidR="007219D6" w:rsidRPr="007219D6" w:rsidRDefault="007219D6" w:rsidP="00D12EB7">
            <w:pPr>
              <w:pStyle w:val="ListParagraph"/>
              <w:widowControl w:val="0"/>
              <w:numPr>
                <w:ilvl w:val="0"/>
                <w:numId w:val="64"/>
              </w:numPr>
              <w:tabs>
                <w:tab w:val="left" w:pos="701"/>
                <w:tab w:val="left" w:pos="1559"/>
                <w:tab w:val="left" w:pos="1560"/>
              </w:tabs>
              <w:suppressAutoHyphens w:val="0"/>
              <w:adjustRightInd/>
              <w:spacing w:after="240"/>
              <w:ind w:left="706" w:right="239" w:hanging="706"/>
              <w:jc w:val="both"/>
              <w:rPr>
                <w:rFonts w:ascii="Arial" w:hAnsi="Arial" w:cs="Arial"/>
                <w:sz w:val="20"/>
                <w:szCs w:val="20"/>
              </w:rPr>
            </w:pPr>
            <w:r w:rsidRPr="007219D6">
              <w:rPr>
                <w:rFonts w:ascii="Arial" w:hAnsi="Arial" w:cs="Arial"/>
                <w:sz w:val="20"/>
                <w:szCs w:val="20"/>
              </w:rPr>
              <w:t>For the disbursements selected in step a., determine whether the institution provided notification to the student of the amount and type of Title IV funds they are expected to receive and how and when those disbursements will be</w:t>
            </w:r>
            <w:r w:rsidRPr="007219D6">
              <w:rPr>
                <w:rFonts w:ascii="Arial" w:hAnsi="Arial" w:cs="Arial"/>
                <w:spacing w:val="-13"/>
                <w:sz w:val="20"/>
                <w:szCs w:val="20"/>
              </w:rPr>
              <w:t xml:space="preserve"> </w:t>
            </w:r>
            <w:r w:rsidRPr="007219D6">
              <w:rPr>
                <w:rFonts w:ascii="Arial" w:hAnsi="Arial" w:cs="Arial"/>
                <w:sz w:val="20"/>
                <w:szCs w:val="20"/>
              </w:rPr>
              <w:t>made.</w:t>
            </w:r>
          </w:p>
          <w:p w14:paraId="3385A534" w14:textId="77777777" w:rsidR="007219D6" w:rsidRPr="007219D6" w:rsidRDefault="007219D6" w:rsidP="00D12EB7">
            <w:pPr>
              <w:pStyle w:val="ListParagraph"/>
              <w:widowControl w:val="0"/>
              <w:numPr>
                <w:ilvl w:val="0"/>
                <w:numId w:val="64"/>
              </w:numPr>
              <w:tabs>
                <w:tab w:val="left" w:pos="701"/>
                <w:tab w:val="left" w:pos="1559"/>
                <w:tab w:val="left" w:pos="1560"/>
              </w:tabs>
              <w:suppressAutoHyphens w:val="0"/>
              <w:adjustRightInd/>
              <w:spacing w:after="240"/>
              <w:ind w:left="706" w:right="247" w:hanging="706"/>
              <w:jc w:val="both"/>
              <w:rPr>
                <w:rFonts w:ascii="Arial" w:hAnsi="Arial" w:cs="Arial"/>
                <w:sz w:val="20"/>
                <w:szCs w:val="20"/>
              </w:rPr>
            </w:pPr>
            <w:r w:rsidRPr="007219D6">
              <w:rPr>
                <w:rFonts w:ascii="Arial" w:hAnsi="Arial" w:cs="Arial"/>
                <w:sz w:val="20"/>
                <w:szCs w:val="20"/>
              </w:rPr>
              <w:t>For Direct Loan or TEACH grant disbursements selected in step a., determine if the institution provided timely notification to the student of (1) the date and amount of the disbursement; (2) the student/parent’s right to cancel; and (3) the procedure and time by which the student or parent must notify the institution that he or she wishes to</w:t>
            </w:r>
            <w:r w:rsidRPr="007219D6">
              <w:rPr>
                <w:rFonts w:ascii="Arial" w:hAnsi="Arial" w:cs="Arial"/>
                <w:spacing w:val="-1"/>
                <w:sz w:val="20"/>
                <w:szCs w:val="20"/>
              </w:rPr>
              <w:t xml:space="preserve"> </w:t>
            </w:r>
            <w:r w:rsidRPr="007219D6">
              <w:rPr>
                <w:rFonts w:ascii="Arial" w:hAnsi="Arial" w:cs="Arial"/>
                <w:sz w:val="20"/>
                <w:szCs w:val="20"/>
              </w:rPr>
              <w:t>cancel.</w:t>
            </w:r>
          </w:p>
          <w:p w14:paraId="33E5E410" w14:textId="50DC6C6B" w:rsidR="004171E2" w:rsidRPr="007219D6" w:rsidRDefault="007219D6" w:rsidP="00D12EB7">
            <w:pPr>
              <w:pStyle w:val="ListParagraph"/>
              <w:widowControl w:val="0"/>
              <w:numPr>
                <w:ilvl w:val="0"/>
                <w:numId w:val="64"/>
              </w:numPr>
              <w:tabs>
                <w:tab w:val="left" w:pos="701"/>
                <w:tab w:val="left" w:pos="1559"/>
                <w:tab w:val="left" w:pos="1560"/>
              </w:tabs>
              <w:suppressAutoHyphens w:val="0"/>
              <w:adjustRightInd/>
              <w:spacing w:after="240"/>
              <w:ind w:left="706" w:right="119" w:hanging="706"/>
              <w:jc w:val="both"/>
              <w:rPr>
                <w:rFonts w:ascii="Arial" w:hAnsi="Arial" w:cs="Arial"/>
                <w:sz w:val="20"/>
                <w:szCs w:val="20"/>
              </w:rPr>
            </w:pPr>
            <w:r w:rsidRPr="007219D6">
              <w:rPr>
                <w:rFonts w:ascii="Arial" w:hAnsi="Arial" w:cs="Arial"/>
                <w:sz w:val="20"/>
                <w:szCs w:val="20"/>
              </w:rPr>
              <w:t>For a sample of students with a credit balance, determine if the credit balance was paid to the student or parent borrower (1) within 14 days or (2) if the institution obtained an authorization to hold credit balances and was not on the reimbursement or heightened cash monitoring payment methods, by the end of the loan period or last payment period in the award year for which the funds were awarded.</w:t>
            </w:r>
          </w:p>
        </w:tc>
      </w:tr>
    </w:tbl>
    <w:p w14:paraId="44E121BE" w14:textId="77777777" w:rsidR="004171E2" w:rsidRPr="00F00D94" w:rsidRDefault="004171E2" w:rsidP="004171E2">
      <w:pPr>
        <w:tabs>
          <w:tab w:val="left" w:pos="-1440"/>
          <w:tab w:val="left" w:pos="720"/>
        </w:tabs>
        <w:spacing w:after="240"/>
        <w:ind w:left="720" w:hanging="720"/>
        <w:jc w:val="both"/>
        <w:rPr>
          <w:rFonts w:ascii="Arial" w:hAnsi="Arial" w:cs="Arial"/>
        </w:rPr>
      </w:pPr>
    </w:p>
    <w:p w14:paraId="0BD83F15" w14:textId="77777777" w:rsidR="004171E2" w:rsidRPr="000706D1" w:rsidRDefault="004171E2" w:rsidP="004171E2">
      <w:pPr>
        <w:pStyle w:val="Heading3"/>
        <w:jc w:val="both"/>
        <w:rPr>
          <w:rFonts w:cs="Arial"/>
          <w:b w:val="0"/>
          <w:sz w:val="24"/>
          <w:szCs w:val="24"/>
        </w:rPr>
      </w:pPr>
      <w:bookmarkStart w:id="71" w:name="_Toc210306837"/>
      <w:r w:rsidRPr="000706D1">
        <w:rPr>
          <w:rFonts w:cs="Arial"/>
          <w:sz w:val="24"/>
          <w:szCs w:val="24"/>
        </w:rPr>
        <w:lastRenderedPageBreak/>
        <w:t>Audit Implications Summary</w:t>
      </w:r>
      <w:bookmarkEnd w:id="71"/>
    </w:p>
    <w:tbl>
      <w:tblPr>
        <w:tblStyle w:val="TableGrid"/>
        <w:tblW w:w="5000" w:type="pct"/>
        <w:tblLook w:val="04A0" w:firstRow="1" w:lastRow="0" w:firstColumn="1" w:lastColumn="0" w:noHBand="0" w:noVBand="1"/>
      </w:tblPr>
      <w:tblGrid>
        <w:gridCol w:w="9350"/>
      </w:tblGrid>
      <w:tr w:rsidR="004171E2" w:rsidRPr="00F00D94" w14:paraId="04337E3E" w14:textId="77777777" w:rsidTr="00E0350C">
        <w:tc>
          <w:tcPr>
            <w:tcW w:w="5000" w:type="pct"/>
          </w:tcPr>
          <w:p w14:paraId="01F8BFEE" w14:textId="77777777" w:rsidR="004171E2" w:rsidRDefault="004171E2" w:rsidP="0005458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3EE7C2E3" w14:textId="77777777" w:rsidR="004171E2" w:rsidRPr="006E46AD" w:rsidRDefault="004171E2" w:rsidP="0005458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2C457F" w14:textId="77777777" w:rsidR="004171E2" w:rsidRPr="006E46AD" w:rsidRDefault="004171E2" w:rsidP="00D12EB7">
            <w:pPr>
              <w:pStyle w:val="ListParagraph"/>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9731179" w14:textId="77777777" w:rsidR="004171E2" w:rsidRPr="006E46AD" w:rsidRDefault="004171E2" w:rsidP="0005458C">
            <w:pPr>
              <w:widowControl w:val="0"/>
              <w:spacing w:after="240"/>
              <w:ind w:left="720"/>
              <w:jc w:val="both"/>
              <w:rPr>
                <w:rFonts w:ascii="Arial" w:hAnsi="Arial" w:cs="Arial"/>
                <w:b/>
                <w:sz w:val="20"/>
                <w:szCs w:val="20"/>
              </w:rPr>
            </w:pPr>
          </w:p>
          <w:p w14:paraId="3E721DDB" w14:textId="77777777" w:rsidR="004171E2" w:rsidRPr="006E46AD" w:rsidRDefault="004171E2" w:rsidP="00D12EB7">
            <w:pPr>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AF03EAA" w14:textId="77777777" w:rsidR="004171E2" w:rsidRPr="00F00D94" w:rsidRDefault="004171E2" w:rsidP="0005458C">
            <w:pPr>
              <w:pStyle w:val="ListParagraph"/>
              <w:spacing w:after="240"/>
              <w:jc w:val="both"/>
              <w:rPr>
                <w:rFonts w:ascii="Arial" w:hAnsi="Arial" w:cs="Arial"/>
                <w:b/>
              </w:rPr>
            </w:pPr>
          </w:p>
          <w:p w14:paraId="2DA0CD03" w14:textId="77777777" w:rsidR="004171E2" w:rsidRPr="00F00D94" w:rsidRDefault="004171E2" w:rsidP="00D12EB7">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CE5A9FC" w14:textId="77777777" w:rsidR="004171E2" w:rsidRPr="00F00D94" w:rsidRDefault="004171E2" w:rsidP="0005458C">
            <w:pPr>
              <w:pStyle w:val="ListParagraph"/>
              <w:spacing w:after="240"/>
              <w:jc w:val="both"/>
              <w:rPr>
                <w:rFonts w:ascii="Arial" w:hAnsi="Arial" w:cs="Arial"/>
                <w:b/>
              </w:rPr>
            </w:pPr>
          </w:p>
          <w:p w14:paraId="61B6DD5F" w14:textId="77777777" w:rsidR="004171E2" w:rsidRPr="00F00D94" w:rsidRDefault="004171E2" w:rsidP="00D12EB7">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F576186" w14:textId="77777777" w:rsidR="004171E2" w:rsidRPr="00F00D94" w:rsidRDefault="004171E2" w:rsidP="0005458C">
            <w:pPr>
              <w:pStyle w:val="ListParagraph"/>
              <w:spacing w:after="240"/>
              <w:jc w:val="both"/>
              <w:rPr>
                <w:rFonts w:ascii="Arial" w:hAnsi="Arial" w:cs="Arial"/>
                <w:b/>
              </w:rPr>
            </w:pPr>
          </w:p>
          <w:p w14:paraId="16452D9F" w14:textId="77777777" w:rsidR="004171E2" w:rsidRPr="00F00D94" w:rsidRDefault="004171E2" w:rsidP="00D12EB7">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6F3DB5D" w14:textId="77777777" w:rsidR="004171E2" w:rsidRPr="00F00D94" w:rsidRDefault="004171E2" w:rsidP="0005458C">
            <w:pPr>
              <w:pStyle w:val="APStepItem"/>
              <w:numPr>
                <w:ilvl w:val="0"/>
                <w:numId w:val="0"/>
              </w:numPr>
              <w:spacing w:after="240"/>
              <w:rPr>
                <w:rFonts w:cs="Arial"/>
                <w:b/>
              </w:rPr>
            </w:pPr>
          </w:p>
        </w:tc>
      </w:tr>
    </w:tbl>
    <w:p w14:paraId="467EC2F3" w14:textId="77777777" w:rsidR="004171E2" w:rsidRPr="00F00D94" w:rsidRDefault="004171E2" w:rsidP="004171E2">
      <w:pPr>
        <w:tabs>
          <w:tab w:val="left" w:pos="-1440"/>
          <w:tab w:val="left" w:pos="720"/>
        </w:tabs>
        <w:spacing w:after="240"/>
        <w:ind w:left="720" w:hanging="720"/>
        <w:jc w:val="both"/>
        <w:rPr>
          <w:rFonts w:ascii="Arial" w:hAnsi="Arial" w:cs="Arial"/>
        </w:rPr>
        <w:sectPr w:rsidR="004171E2" w:rsidRPr="00F00D94" w:rsidSect="004171E2">
          <w:headerReference w:type="default" r:id="rId93"/>
          <w:pgSz w:w="12240" w:h="15840" w:code="1"/>
          <w:pgMar w:top="1440" w:right="1440" w:bottom="1440" w:left="1440" w:header="720" w:footer="720" w:gutter="0"/>
          <w:cols w:space="720"/>
          <w:docGrid w:linePitch="360"/>
        </w:sectPr>
      </w:pPr>
    </w:p>
    <w:p w14:paraId="77030F4A" w14:textId="3780D868" w:rsidR="004171E2" w:rsidRPr="000706D1" w:rsidRDefault="004171E2" w:rsidP="004171E2">
      <w:pPr>
        <w:pStyle w:val="Heading2"/>
        <w:jc w:val="both"/>
        <w:rPr>
          <w:rFonts w:cs="Arial"/>
          <w:sz w:val="24"/>
        </w:rPr>
      </w:pPr>
      <w:bookmarkStart w:id="73" w:name="_Toc210306838"/>
      <w:r w:rsidRPr="000706D1">
        <w:rPr>
          <w:rFonts w:cs="Arial"/>
          <w:sz w:val="24"/>
        </w:rPr>
        <w:lastRenderedPageBreak/>
        <w:t>N</w:t>
      </w:r>
      <w:r w:rsidR="007219D6">
        <w:rPr>
          <w:rFonts w:cs="Arial"/>
          <w:sz w:val="24"/>
        </w:rPr>
        <w:t>4</w:t>
      </w:r>
      <w:r w:rsidRPr="000706D1">
        <w:rPr>
          <w:rFonts w:cs="Arial"/>
          <w:sz w:val="24"/>
        </w:rPr>
        <w:t>.  SPECIAL TESTS AND PROVISIONS</w:t>
      </w:r>
      <w:r w:rsidR="007219D6">
        <w:rPr>
          <w:rFonts w:cs="Arial"/>
          <w:sz w:val="24"/>
        </w:rPr>
        <w:t xml:space="preserve"> - </w:t>
      </w:r>
      <w:r w:rsidR="007219D6" w:rsidRPr="007219D6">
        <w:rPr>
          <w:rFonts w:cs="Arial"/>
          <w:sz w:val="24"/>
        </w:rPr>
        <w:t>Using a Servicer or Financial Institution to Deliver Title IV Credit Balances to a Card or Other Access Device</w:t>
      </w:r>
      <w:bookmarkEnd w:id="73"/>
    </w:p>
    <w:p w14:paraId="4B6E8B95" w14:textId="77777777" w:rsidR="004171E2" w:rsidRPr="000706D1" w:rsidRDefault="004171E2" w:rsidP="004171E2">
      <w:pPr>
        <w:pStyle w:val="Heading3"/>
        <w:jc w:val="both"/>
        <w:rPr>
          <w:rFonts w:cs="Arial"/>
          <w:sz w:val="24"/>
          <w:szCs w:val="24"/>
        </w:rPr>
      </w:pPr>
      <w:bookmarkStart w:id="74" w:name="_Toc210306839"/>
      <w:r w:rsidRPr="000706D1">
        <w:rPr>
          <w:rFonts w:cs="Arial"/>
          <w:sz w:val="24"/>
          <w:szCs w:val="24"/>
        </w:rPr>
        <w:t>OMB Compliance Requirements</w:t>
      </w:r>
      <w:bookmarkEnd w:id="74"/>
    </w:p>
    <w:p w14:paraId="6AEDBD26" w14:textId="77777777" w:rsidR="004171E2" w:rsidRPr="005C1EBC" w:rsidRDefault="004171E2" w:rsidP="004171E2">
      <w:pP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D7E5BD5" w14:textId="77777777" w:rsidR="004171E2" w:rsidRPr="00F00D94" w:rsidRDefault="004171E2" w:rsidP="004171E2">
      <w:pP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3395CC20" w14:textId="77777777" w:rsidR="004171E2" w:rsidRPr="00F00D94"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4C4C7FC" w14:textId="687203DC" w:rsidR="004171E2" w:rsidRPr="000706D1" w:rsidRDefault="004171E2" w:rsidP="004171E2">
      <w:pPr>
        <w:spacing w:after="240"/>
        <w:jc w:val="both"/>
        <w:rPr>
          <w:rFonts w:ascii="Arial" w:hAnsi="Arial" w:cs="Arial"/>
          <w:b/>
          <w:sz w:val="24"/>
          <w:szCs w:val="24"/>
        </w:rPr>
      </w:pPr>
      <w:r w:rsidRPr="000706D1">
        <w:rPr>
          <w:rFonts w:ascii="Arial" w:hAnsi="Arial" w:cs="Arial"/>
          <w:b/>
          <w:sz w:val="24"/>
          <w:szCs w:val="24"/>
        </w:rPr>
        <w:t xml:space="preserve">Part </w:t>
      </w:r>
      <w:r w:rsidR="002A7D42">
        <w:rPr>
          <w:rFonts w:ascii="Arial" w:hAnsi="Arial" w:cs="Arial"/>
          <w:b/>
          <w:sz w:val="24"/>
          <w:szCs w:val="24"/>
        </w:rPr>
        <w:t>5</w:t>
      </w:r>
      <w:r w:rsidRPr="000706D1">
        <w:rPr>
          <w:rFonts w:ascii="Arial" w:hAnsi="Arial" w:cs="Arial"/>
          <w:b/>
          <w:sz w:val="24"/>
          <w:szCs w:val="24"/>
        </w:rPr>
        <w:t xml:space="preserve"> OMB Program Specific Requirements</w:t>
      </w:r>
    </w:p>
    <w:p w14:paraId="5B45EF90" w14:textId="60DDBB4D" w:rsidR="002A7D42" w:rsidRPr="002A7D42" w:rsidRDefault="002A7D42" w:rsidP="002A7D42">
      <w:pPr>
        <w:spacing w:after="240"/>
        <w:jc w:val="both"/>
        <w:rPr>
          <w:rFonts w:ascii="Arial" w:hAnsi="Arial" w:cs="Arial"/>
          <w:bCs/>
          <w:iCs/>
        </w:rPr>
      </w:pPr>
      <w:r w:rsidRPr="002A7D42">
        <w:rPr>
          <w:rFonts w:ascii="Arial" w:hAnsi="Arial" w:cs="Arial"/>
          <w:bCs/>
          <w:iCs/>
        </w:rPr>
        <w:t>An institution may enter into an arrangement with a servicer or a financial institution to make a direct payment of FSA credit balances to students through electronic funds transfer to a bank account designated by a student or parent, to issue a check payment to the student or to use an access device such as a debit, demand, or smart card provided by the servicer or its financial partner. The regulations define an access device as a card, code, or other means of access to a financial account, or any combination thereof, that may be used by a student to initiate electronic fund transfers (34 CFR 668.161(a)(2)(i)).</w:t>
      </w:r>
    </w:p>
    <w:p w14:paraId="6D5260E9" w14:textId="250440DB" w:rsidR="002A7D42" w:rsidRPr="000C04C5" w:rsidRDefault="002A7D42" w:rsidP="002A7D42">
      <w:pPr>
        <w:spacing w:after="240"/>
        <w:jc w:val="both"/>
        <w:rPr>
          <w:rFonts w:ascii="Arial" w:hAnsi="Arial" w:cs="Arial"/>
          <w:bCs/>
          <w:iCs/>
        </w:rPr>
      </w:pPr>
      <w:r w:rsidRPr="002A7D42">
        <w:rPr>
          <w:rFonts w:ascii="Arial" w:hAnsi="Arial" w:cs="Arial"/>
          <w:bCs/>
          <w:iCs/>
        </w:rPr>
        <w:t>Regulations at 34 CFR 668.164(e) and (f) establish two different types of arrangements between schools and financial account providers: Tier One arrangements and Tier Two arrangements. The type of arrangement determines the provisions that are applicable to the school.</w:t>
      </w:r>
    </w:p>
    <w:p w14:paraId="0C5CB45F" w14:textId="77777777" w:rsidR="002A7D42" w:rsidRPr="000C04C5" w:rsidRDefault="002A7D42" w:rsidP="002A7D42">
      <w:pPr>
        <w:spacing w:after="240"/>
        <w:jc w:val="both"/>
        <w:rPr>
          <w:rFonts w:ascii="Arial" w:hAnsi="Arial" w:cs="Arial"/>
          <w:bCs/>
          <w:iCs/>
          <w:u w:val="single"/>
        </w:rPr>
      </w:pPr>
      <w:r w:rsidRPr="000C04C5">
        <w:rPr>
          <w:rFonts w:ascii="Arial" w:hAnsi="Arial" w:cs="Arial"/>
          <w:bCs/>
          <w:iCs/>
          <w:u w:val="single"/>
        </w:rPr>
        <w:t>Tier One Arrangement</w:t>
      </w:r>
    </w:p>
    <w:p w14:paraId="5B805F60" w14:textId="42656196" w:rsidR="002A7D42" w:rsidRPr="000C04C5" w:rsidRDefault="002A7D42" w:rsidP="002A7D42">
      <w:pPr>
        <w:spacing w:after="240"/>
        <w:jc w:val="both"/>
        <w:rPr>
          <w:rFonts w:ascii="Arial" w:hAnsi="Arial" w:cs="Arial"/>
          <w:bCs/>
          <w:iCs/>
        </w:rPr>
      </w:pPr>
      <w:r w:rsidRPr="002A7D42">
        <w:rPr>
          <w:rFonts w:ascii="Arial" w:hAnsi="Arial" w:cs="Arial"/>
          <w:bCs/>
          <w:iCs/>
        </w:rPr>
        <w:t>A Tier One arrangement is an arrangement between a school and a third-party servicer, under which the servicer performs one or more of the functions associated with processing direct payments of Title IV funds on behalf of the school, and the school or third-party servicer makes payments to one of the following:</w:t>
      </w:r>
    </w:p>
    <w:p w14:paraId="66D7CEEC" w14:textId="77777777" w:rsidR="002A7D42" w:rsidRPr="000C04C5" w:rsidRDefault="002A7D42" w:rsidP="002A7D42">
      <w:pPr>
        <w:spacing w:after="240"/>
        <w:jc w:val="both"/>
        <w:rPr>
          <w:rFonts w:ascii="Arial" w:hAnsi="Arial" w:cs="Arial"/>
          <w:bCs/>
          <w:iCs/>
        </w:rPr>
      </w:pPr>
      <w:r w:rsidRPr="000C04C5">
        <w:rPr>
          <w:rFonts w:ascii="Arial" w:hAnsi="Arial" w:cs="Arial"/>
          <w:bCs/>
          <w:iCs/>
        </w:rPr>
        <w:t>•</w:t>
      </w:r>
      <w:r w:rsidRPr="000C04C5">
        <w:rPr>
          <w:rFonts w:ascii="Arial" w:hAnsi="Arial" w:cs="Arial"/>
          <w:bCs/>
          <w:iCs/>
        </w:rPr>
        <w:tab/>
        <w:t>One or more financial accounts that are offered to students under the contract;</w:t>
      </w:r>
    </w:p>
    <w:p w14:paraId="002A26E7" w14:textId="2EF2E750" w:rsidR="002A7D42" w:rsidRPr="000C04C5" w:rsidRDefault="002A7D42" w:rsidP="002A7D42">
      <w:pPr>
        <w:spacing w:after="240"/>
        <w:ind w:left="720" w:hanging="720"/>
        <w:jc w:val="both"/>
        <w:rPr>
          <w:rFonts w:ascii="Arial" w:hAnsi="Arial" w:cs="Arial"/>
          <w:bCs/>
          <w:iCs/>
        </w:rPr>
      </w:pPr>
      <w:r w:rsidRPr="000C04C5">
        <w:rPr>
          <w:rFonts w:ascii="Arial" w:hAnsi="Arial" w:cs="Arial"/>
          <w:bCs/>
          <w:iCs/>
        </w:rPr>
        <w:t>•</w:t>
      </w:r>
      <w:r w:rsidRPr="000C04C5">
        <w:rPr>
          <w:rFonts w:ascii="Arial" w:hAnsi="Arial" w:cs="Arial"/>
          <w:bCs/>
          <w:iCs/>
        </w:rPr>
        <w:tab/>
      </w:r>
      <w:r w:rsidRPr="002A7D42">
        <w:rPr>
          <w:rFonts w:ascii="Arial" w:hAnsi="Arial" w:cs="Arial"/>
          <w:bCs/>
          <w:iCs/>
        </w:rPr>
        <w:t>A financial account where information about the account is communicated directly to students by the third-party servicer, or the school on behalf of or in conjunction with the third-party servicer; or</w:t>
      </w:r>
    </w:p>
    <w:p w14:paraId="6C23265C" w14:textId="3B4C63D4" w:rsidR="002A7D42" w:rsidRPr="000C04C5" w:rsidRDefault="002A7D42" w:rsidP="002A7D42">
      <w:pPr>
        <w:spacing w:after="240"/>
        <w:ind w:left="720" w:hanging="720"/>
        <w:jc w:val="both"/>
        <w:rPr>
          <w:rFonts w:ascii="Arial" w:hAnsi="Arial" w:cs="Arial"/>
          <w:bCs/>
          <w:iCs/>
        </w:rPr>
      </w:pPr>
      <w:r w:rsidRPr="000C04C5">
        <w:rPr>
          <w:rFonts w:ascii="Arial" w:hAnsi="Arial" w:cs="Arial"/>
          <w:bCs/>
          <w:iCs/>
        </w:rPr>
        <w:lastRenderedPageBreak/>
        <w:t>•</w:t>
      </w:r>
      <w:r w:rsidRPr="000C04C5">
        <w:rPr>
          <w:rFonts w:ascii="Arial" w:hAnsi="Arial" w:cs="Arial"/>
          <w:bCs/>
          <w:iCs/>
        </w:rPr>
        <w:tab/>
      </w:r>
      <w:r w:rsidRPr="002A7D42">
        <w:rPr>
          <w:rFonts w:ascii="Arial" w:hAnsi="Arial" w:cs="Arial"/>
          <w:bCs/>
          <w:iCs/>
        </w:rPr>
        <w:t>A financial account where information about the account is communicated directly to students by an entity contracted or affiliated with the third-party servicer. (34 CFR 668.164(e)(1)).</w:t>
      </w:r>
    </w:p>
    <w:p w14:paraId="1B838B57" w14:textId="7B2725BE" w:rsidR="002A7D42" w:rsidRPr="000C04C5" w:rsidRDefault="002A7D42" w:rsidP="002A7D42">
      <w:pPr>
        <w:spacing w:after="240"/>
        <w:jc w:val="both"/>
        <w:rPr>
          <w:rFonts w:ascii="Arial" w:hAnsi="Arial" w:cs="Arial"/>
          <w:bCs/>
          <w:iCs/>
        </w:rPr>
      </w:pPr>
      <w:r w:rsidRPr="002A7D42">
        <w:rPr>
          <w:rFonts w:ascii="Arial" w:hAnsi="Arial" w:cs="Arial"/>
          <w:bCs/>
          <w:iCs/>
        </w:rPr>
        <w:t>Examples of functions associated with processing direct payments of Title IV funds on behalf of the school include: receiving Title IV funds; posting Title IV funds to student accounts; calculating a student’s Title IV credit balance; processing documents for direct payment to students; and disbursing or delivering FSA funds.</w:t>
      </w:r>
    </w:p>
    <w:p w14:paraId="20854A78" w14:textId="77777777" w:rsidR="002A7D42" w:rsidRPr="000C04C5" w:rsidRDefault="002A7D42" w:rsidP="002A7D42">
      <w:pPr>
        <w:spacing w:after="240"/>
        <w:jc w:val="both"/>
        <w:rPr>
          <w:rFonts w:ascii="Arial" w:hAnsi="Arial" w:cs="Arial"/>
          <w:bCs/>
          <w:iCs/>
          <w:u w:val="single"/>
        </w:rPr>
      </w:pPr>
      <w:r w:rsidRPr="000C04C5">
        <w:rPr>
          <w:rFonts w:ascii="Arial" w:hAnsi="Arial" w:cs="Arial"/>
          <w:bCs/>
          <w:iCs/>
          <w:u w:val="single"/>
        </w:rPr>
        <w:t>Tier Two Arrangement</w:t>
      </w:r>
    </w:p>
    <w:p w14:paraId="3486AA79" w14:textId="056741A8" w:rsidR="002A7D42" w:rsidRPr="000C04C5" w:rsidRDefault="002A7D42" w:rsidP="002A7D42">
      <w:pPr>
        <w:spacing w:after="240"/>
        <w:jc w:val="both"/>
        <w:rPr>
          <w:rFonts w:ascii="Arial" w:hAnsi="Arial" w:cs="Arial"/>
          <w:bCs/>
          <w:iCs/>
        </w:rPr>
      </w:pPr>
      <w:r w:rsidRPr="002A7D42">
        <w:rPr>
          <w:rFonts w:ascii="Arial" w:hAnsi="Arial" w:cs="Arial"/>
          <w:bCs/>
          <w:iCs/>
        </w:rPr>
        <w:t>A Tier Two arrangement is an arrangement between a school and a financial institution, or entity that offers financial accounts through a financial institution, under which financial accounts are offered and marketed directly to students (34 CFR 668.164(f)(1)). ED considers that a financial account is marketed directly if: (a) the school communicates information directly to its students about the financial account and how it may be opened; the financial account or access device is cobranded with the school's name, logo, mascot, or other affiliation and is marketed principally to students at the institution; or (c) a card or tool that is provided to the student for school purposes, such as a student ID card, is validated, enabling the student to use the device to access a financial account (34 CFR 668.164(f)(3)).</w:t>
      </w:r>
    </w:p>
    <w:p w14:paraId="2D46A55F" w14:textId="31F65450" w:rsidR="002A7D42" w:rsidRPr="000C04C5" w:rsidRDefault="002A7D42" w:rsidP="002A7D42">
      <w:pPr>
        <w:spacing w:after="240"/>
        <w:jc w:val="both"/>
        <w:rPr>
          <w:rFonts w:ascii="Arial" w:hAnsi="Arial" w:cs="Arial"/>
          <w:bCs/>
          <w:iCs/>
        </w:rPr>
      </w:pPr>
      <w:r w:rsidRPr="002A7D42">
        <w:rPr>
          <w:rFonts w:ascii="Arial" w:hAnsi="Arial" w:cs="Arial"/>
          <w:bCs/>
          <w:iCs/>
        </w:rPr>
        <w:t>The requirements applicable to schools with Tier Two arrangements differ depending on whether the school falls above or below certain thresholds (referred to as the credit balance thresholds). If, in the school’s prior three award years, the school had an average 500 or more students, or an average of 5 percent or more of its enrollment, receiving credit balances, then the school is considered above the credit balance thresholds and must comply with additional provisions (34 CFR 668.164(f)(2)(i) and (ii)).</w:t>
      </w:r>
    </w:p>
    <w:p w14:paraId="0A42F6F2" w14:textId="77777777" w:rsidR="002A7D42" w:rsidRPr="000C04C5" w:rsidRDefault="002A7D42" w:rsidP="002A7D42">
      <w:pPr>
        <w:spacing w:after="240"/>
        <w:jc w:val="both"/>
        <w:rPr>
          <w:rFonts w:ascii="Arial" w:hAnsi="Arial" w:cs="Arial"/>
          <w:bCs/>
          <w:iCs/>
          <w:u w:val="single"/>
        </w:rPr>
      </w:pPr>
      <w:r w:rsidRPr="000C04C5">
        <w:rPr>
          <w:rFonts w:ascii="Arial" w:hAnsi="Arial" w:cs="Arial"/>
          <w:bCs/>
          <w:iCs/>
          <w:u w:val="single"/>
        </w:rPr>
        <w:t>Required Disclosures</w:t>
      </w:r>
    </w:p>
    <w:p w14:paraId="474398D8" w14:textId="77777777" w:rsidR="002A7D42" w:rsidRPr="002A7D42" w:rsidRDefault="002A7D42" w:rsidP="002A7D42">
      <w:pPr>
        <w:spacing w:after="240"/>
        <w:jc w:val="both"/>
        <w:rPr>
          <w:rFonts w:ascii="Arial" w:hAnsi="Arial" w:cs="Arial"/>
          <w:bCs/>
          <w:iCs/>
        </w:rPr>
      </w:pPr>
      <w:r w:rsidRPr="002A7D42">
        <w:rPr>
          <w:rFonts w:ascii="Arial" w:hAnsi="Arial" w:cs="Arial"/>
          <w:bCs/>
          <w:iCs/>
        </w:rPr>
        <w:t>A school must disclose conspicuously on its Web site the contract(s) establishing the Tier One or Tier Two arrangement, except for any portions that, if disclosed, would compromise personal privacy, proprietary information technology, or the security of information technology or of physical facilities (34 CFR 668.164(e)(2)(vi) and 668.164(f)(4)(iii)).</w:t>
      </w:r>
    </w:p>
    <w:p w14:paraId="71CD5324" w14:textId="77777777" w:rsidR="002A7D42" w:rsidRPr="002A7D42" w:rsidRDefault="002A7D42" w:rsidP="002A7D42">
      <w:pPr>
        <w:spacing w:after="240"/>
        <w:jc w:val="both"/>
        <w:rPr>
          <w:rFonts w:ascii="Arial" w:hAnsi="Arial" w:cs="Arial"/>
          <w:bCs/>
          <w:iCs/>
        </w:rPr>
      </w:pPr>
      <w:r w:rsidRPr="002A7D42">
        <w:rPr>
          <w:rFonts w:ascii="Arial" w:hAnsi="Arial" w:cs="Arial"/>
          <w:bCs/>
          <w:iCs/>
        </w:rPr>
        <w:t>Schools with Tier One arrangements or Tier Two arrangements above the credit balance threshold must also disclose on their Web site: (a) the total consideration for the year, monetary and non-monetary, paid or received by the parties under the terms of the contract; (b) for any year in which the school's enrolled students open 30 or more financial accounts under the arrangement, (i) the number of students who had financial accounts under the contract at any time during the most recently completed award year, and (ii) the mean and median of the actual costs incurred by those account holders. This disclosure must be updated within 60 days after the end of each award year.</w:t>
      </w:r>
    </w:p>
    <w:p w14:paraId="04CC4B53" w14:textId="77777777" w:rsidR="002A7D42" w:rsidRPr="002A7D42" w:rsidRDefault="002A7D42" w:rsidP="002A7D42">
      <w:pPr>
        <w:spacing w:after="240"/>
        <w:jc w:val="both"/>
        <w:rPr>
          <w:rFonts w:ascii="Arial" w:hAnsi="Arial" w:cs="Arial"/>
          <w:bCs/>
          <w:iCs/>
        </w:rPr>
      </w:pPr>
      <w:r w:rsidRPr="002A7D42">
        <w:rPr>
          <w:rFonts w:ascii="Arial" w:hAnsi="Arial" w:cs="Arial"/>
          <w:bCs/>
          <w:iCs/>
        </w:rPr>
        <w:t>A school must also provide to ED an up-to-date URL for the contract for publication in a centralized database accessible to the public. Unless the school has a Tier Two arrangement under the credit balance threshold, the URL must also include the contract data described in the paragraph above (34 CFR 668.164(e)(2)(viii); 668.164(f)(4)(iii)(B); 668.164(f)(4)(v)).</w:t>
      </w:r>
    </w:p>
    <w:p w14:paraId="55AA475D" w14:textId="3B3E8C29" w:rsidR="002A7D42" w:rsidRPr="000C04C5" w:rsidRDefault="002A7D42" w:rsidP="002A7D42">
      <w:pPr>
        <w:spacing w:after="240"/>
        <w:jc w:val="both"/>
        <w:rPr>
          <w:rFonts w:ascii="Arial" w:hAnsi="Arial" w:cs="Arial"/>
          <w:bCs/>
          <w:iCs/>
        </w:rPr>
      </w:pPr>
      <w:r w:rsidRPr="002A7D42">
        <w:rPr>
          <w:rFonts w:ascii="Arial" w:hAnsi="Arial" w:cs="Arial"/>
          <w:bCs/>
          <w:iCs/>
        </w:rPr>
        <w:t>For additional details, see</w:t>
      </w:r>
      <w:r w:rsidRPr="000C04C5">
        <w:rPr>
          <w:rFonts w:ascii="Arial" w:hAnsi="Arial" w:cs="Arial"/>
          <w:bCs/>
          <w:iCs/>
        </w:rPr>
        <w:t xml:space="preserve"> </w:t>
      </w:r>
      <w:hyperlink r:id="rId94" w:history="1">
        <w:r w:rsidRPr="000C04C5">
          <w:rPr>
            <w:rStyle w:val="Hyperlink"/>
            <w:rFonts w:cs="Arial"/>
            <w:bCs/>
            <w:iCs/>
          </w:rPr>
          <w:t>Electronic Announcement Dated July 1, 2016</w:t>
        </w:r>
      </w:hyperlink>
      <w:r w:rsidRPr="000C04C5">
        <w:rPr>
          <w:rFonts w:ascii="Arial" w:hAnsi="Arial" w:cs="Arial"/>
          <w:bCs/>
          <w:iCs/>
        </w:rPr>
        <w:t xml:space="preserve">; Cash Management Electronic Announcement #2: Posting Contract Information and Providing Contract URL to the Department of Education and </w:t>
      </w:r>
      <w:hyperlink r:id="rId95" w:history="1">
        <w:r w:rsidRPr="000C04C5">
          <w:rPr>
            <w:rStyle w:val="Hyperlink"/>
            <w:rFonts w:cs="Arial"/>
            <w:bCs/>
            <w:iCs/>
          </w:rPr>
          <w:t>Electronic Announcement Dated June 16, 2017</w:t>
        </w:r>
      </w:hyperlink>
      <w:r w:rsidRPr="000C04C5">
        <w:rPr>
          <w:rFonts w:ascii="Arial" w:hAnsi="Arial" w:cs="Arial"/>
          <w:bCs/>
          <w:iCs/>
        </w:rPr>
        <w:t>; Cash Management Electronic Announcement #7: Tier One and Tier Two Contract Data Reporting Format.</w:t>
      </w:r>
    </w:p>
    <w:p w14:paraId="00809ED2" w14:textId="77777777" w:rsidR="002A7D42" w:rsidRPr="000C04C5" w:rsidRDefault="002A7D42" w:rsidP="002A7D42">
      <w:pPr>
        <w:spacing w:after="240"/>
        <w:jc w:val="both"/>
        <w:rPr>
          <w:rFonts w:ascii="Arial" w:hAnsi="Arial" w:cs="Arial"/>
          <w:bCs/>
          <w:iCs/>
          <w:u w:val="single"/>
        </w:rPr>
      </w:pPr>
      <w:r w:rsidRPr="000C04C5">
        <w:rPr>
          <w:rFonts w:ascii="Arial" w:hAnsi="Arial" w:cs="Arial"/>
          <w:bCs/>
          <w:iCs/>
          <w:u w:val="single"/>
        </w:rPr>
        <w:t>Other Requirements of Tier One and Tier Two Arrangements</w:t>
      </w:r>
    </w:p>
    <w:p w14:paraId="61597E35" w14:textId="53B69ABE" w:rsidR="002A7D42" w:rsidRPr="000C04C5" w:rsidRDefault="002A7D42" w:rsidP="002A7D42">
      <w:pPr>
        <w:spacing w:after="240"/>
        <w:jc w:val="both"/>
        <w:rPr>
          <w:rFonts w:ascii="Arial" w:hAnsi="Arial" w:cs="Arial"/>
          <w:bCs/>
          <w:iCs/>
        </w:rPr>
      </w:pPr>
      <w:r w:rsidRPr="002A7D42">
        <w:rPr>
          <w:rFonts w:ascii="Arial" w:hAnsi="Arial" w:cs="Arial"/>
          <w:bCs/>
          <w:iCs/>
        </w:rPr>
        <w:lastRenderedPageBreak/>
        <w:t>Schools have a series of obligations to ensure that students are protected when they enter into a Tier One or Tier Two arrangement:</w:t>
      </w:r>
    </w:p>
    <w:p w14:paraId="414B9FA1" w14:textId="2122BF68" w:rsidR="002A7D42" w:rsidRPr="000C04C5" w:rsidRDefault="002A7D42" w:rsidP="002A7D42">
      <w:pPr>
        <w:spacing w:after="240"/>
        <w:ind w:left="720" w:hanging="720"/>
        <w:jc w:val="both"/>
        <w:rPr>
          <w:rFonts w:ascii="Arial" w:hAnsi="Arial" w:cs="Arial"/>
          <w:bCs/>
          <w:iCs/>
        </w:rPr>
      </w:pPr>
      <w:r w:rsidRPr="000C04C5">
        <w:rPr>
          <w:rFonts w:ascii="Arial" w:hAnsi="Arial" w:cs="Arial"/>
          <w:bCs/>
          <w:iCs/>
        </w:rPr>
        <w:t>•</w:t>
      </w:r>
      <w:r w:rsidRPr="000C04C5">
        <w:rPr>
          <w:rFonts w:ascii="Arial" w:hAnsi="Arial" w:cs="Arial"/>
          <w:bCs/>
          <w:iCs/>
        </w:rPr>
        <w:tab/>
      </w:r>
      <w:r w:rsidRPr="000C04C5">
        <w:rPr>
          <w:rFonts w:ascii="Arial" w:hAnsi="Arial" w:cs="Arial"/>
          <w:bCs/>
          <w:i/>
        </w:rPr>
        <w:t>Student Choice</w:t>
      </w:r>
      <w:r w:rsidRPr="000C04C5">
        <w:rPr>
          <w:rFonts w:ascii="Arial" w:hAnsi="Arial" w:cs="Arial"/>
          <w:bCs/>
          <w:iCs/>
        </w:rPr>
        <w:t xml:space="preserve">: </w:t>
      </w:r>
      <w:r w:rsidRPr="002A7D42">
        <w:rPr>
          <w:rFonts w:ascii="Arial" w:hAnsi="Arial" w:cs="Arial"/>
          <w:bCs/>
          <w:iCs/>
        </w:rPr>
        <w:t>All Tier One and Tier Two schools must establish a selection process under which the student chooses one of several options for receiving payments by electronic funds transfer. (34 CFR 668.164(d)(4)(i))</w:t>
      </w:r>
    </w:p>
    <w:p w14:paraId="0D37C9C5" w14:textId="3031C269" w:rsidR="002A7D42" w:rsidRPr="000C04C5" w:rsidRDefault="002A7D42" w:rsidP="002A7D42">
      <w:pPr>
        <w:spacing w:after="240"/>
        <w:ind w:left="720" w:hanging="720"/>
        <w:jc w:val="both"/>
        <w:rPr>
          <w:rFonts w:ascii="Arial" w:hAnsi="Arial" w:cs="Arial"/>
          <w:bCs/>
          <w:iCs/>
        </w:rPr>
      </w:pPr>
      <w:r w:rsidRPr="000C04C5">
        <w:rPr>
          <w:rFonts w:ascii="Arial" w:hAnsi="Arial" w:cs="Arial"/>
          <w:bCs/>
          <w:iCs/>
        </w:rPr>
        <w:t>•</w:t>
      </w:r>
      <w:r w:rsidRPr="000C04C5">
        <w:rPr>
          <w:rFonts w:ascii="Arial" w:hAnsi="Arial" w:cs="Arial"/>
          <w:bCs/>
          <w:iCs/>
        </w:rPr>
        <w:tab/>
      </w:r>
      <w:r w:rsidRPr="000C04C5">
        <w:rPr>
          <w:rFonts w:ascii="Arial" w:hAnsi="Arial" w:cs="Arial"/>
          <w:bCs/>
          <w:i/>
        </w:rPr>
        <w:t>Student Consent</w:t>
      </w:r>
      <w:r w:rsidRPr="000C04C5">
        <w:rPr>
          <w:rFonts w:ascii="Arial" w:hAnsi="Arial" w:cs="Arial"/>
          <w:bCs/>
          <w:iCs/>
        </w:rPr>
        <w:t xml:space="preserve">: </w:t>
      </w:r>
      <w:r w:rsidRPr="002A7D42">
        <w:rPr>
          <w:rFonts w:ascii="Arial" w:hAnsi="Arial" w:cs="Arial"/>
          <w:bCs/>
          <w:iCs/>
        </w:rPr>
        <w:t>For all Tier One and Tier Two arrangements, in any instance where an access device is provided to a student and that access device does not serve an institutional purpose other than electronic fund transfers, such as a student ID card, it is the institution’s responsibility to ensure that the student’s consent has been obtained before the access device is validated, even if the consent is obtained through the financial institution, allowing the student to access the financial account. For all Tier One and Tier Two arrangements, in any instance where an access device does serve an institutional purpose, other than electronic fund transfers is provided to a student prior to validation of the access device, the institution or the financial institution must obtain the student’s consent before validating the device and allowing the student access to the financial account. (34 CFR 668.164(e)(2)(i) and 668.164(f)(4)(i)(B), see EA for additional detail).</w:t>
      </w:r>
    </w:p>
    <w:p w14:paraId="30443BB8" w14:textId="6253B849" w:rsidR="002A7D42" w:rsidRPr="000C04C5" w:rsidRDefault="002A7D42" w:rsidP="002A7D42">
      <w:pPr>
        <w:spacing w:after="240"/>
        <w:ind w:left="720" w:hanging="720"/>
        <w:jc w:val="both"/>
        <w:rPr>
          <w:rFonts w:ascii="Arial" w:hAnsi="Arial" w:cs="Arial"/>
          <w:bCs/>
          <w:iCs/>
        </w:rPr>
      </w:pPr>
      <w:r w:rsidRPr="000C04C5">
        <w:rPr>
          <w:rFonts w:ascii="Arial" w:hAnsi="Arial" w:cs="Arial"/>
          <w:bCs/>
          <w:iCs/>
        </w:rPr>
        <w:t>•</w:t>
      </w:r>
      <w:r w:rsidRPr="000C04C5">
        <w:rPr>
          <w:rFonts w:ascii="Arial" w:hAnsi="Arial" w:cs="Arial"/>
          <w:bCs/>
          <w:iCs/>
        </w:rPr>
        <w:tab/>
      </w:r>
      <w:r w:rsidRPr="000C04C5">
        <w:rPr>
          <w:rFonts w:ascii="Arial" w:hAnsi="Arial" w:cs="Arial"/>
          <w:bCs/>
          <w:i/>
        </w:rPr>
        <w:t>Terms and Conditions</w:t>
      </w:r>
      <w:r w:rsidRPr="000C04C5">
        <w:rPr>
          <w:rFonts w:ascii="Arial" w:hAnsi="Arial" w:cs="Arial"/>
          <w:bCs/>
          <w:iCs/>
        </w:rPr>
        <w:t xml:space="preserve">: </w:t>
      </w:r>
      <w:r w:rsidRPr="002A7D42">
        <w:rPr>
          <w:rFonts w:ascii="Arial" w:hAnsi="Arial" w:cs="Arial"/>
          <w:bCs/>
          <w:iCs/>
        </w:rPr>
        <w:t>All Tier One and Tier Two schools must inform the student of the terms and conditions of the financial account before the financial account is opened (34 CFR 668.164(e)(2)(iii) and (f)(4)(ii)).</w:t>
      </w:r>
    </w:p>
    <w:p w14:paraId="44B3E1AD" w14:textId="19A8B11D" w:rsidR="002A7D42" w:rsidRPr="000C04C5" w:rsidRDefault="002A7D42" w:rsidP="002A7D42">
      <w:pPr>
        <w:spacing w:after="240"/>
        <w:ind w:left="720" w:hanging="720"/>
        <w:jc w:val="both"/>
        <w:rPr>
          <w:rFonts w:ascii="Arial" w:hAnsi="Arial" w:cs="Arial"/>
          <w:bCs/>
          <w:iCs/>
        </w:rPr>
      </w:pPr>
      <w:r w:rsidRPr="000C04C5">
        <w:rPr>
          <w:rFonts w:ascii="Arial" w:hAnsi="Arial" w:cs="Arial"/>
          <w:bCs/>
          <w:iCs/>
        </w:rPr>
        <w:t>•</w:t>
      </w:r>
      <w:r w:rsidRPr="000C04C5">
        <w:rPr>
          <w:rFonts w:ascii="Arial" w:hAnsi="Arial" w:cs="Arial"/>
          <w:bCs/>
          <w:iCs/>
        </w:rPr>
        <w:tab/>
      </w:r>
      <w:r w:rsidRPr="000C04C5">
        <w:rPr>
          <w:rFonts w:ascii="Arial" w:hAnsi="Arial" w:cs="Arial"/>
          <w:bCs/>
          <w:i/>
        </w:rPr>
        <w:t>Credit Cards and Extending Credit</w:t>
      </w:r>
      <w:r w:rsidRPr="000C04C5">
        <w:rPr>
          <w:rFonts w:ascii="Arial" w:hAnsi="Arial" w:cs="Arial"/>
          <w:bCs/>
          <w:iCs/>
        </w:rPr>
        <w:t xml:space="preserve">: </w:t>
      </w:r>
      <w:r w:rsidRPr="002A7D42">
        <w:rPr>
          <w:rFonts w:ascii="Arial" w:hAnsi="Arial" w:cs="Arial"/>
          <w:bCs/>
          <w:iCs/>
        </w:rPr>
        <w:t>All Tier One and Tier Two schools must ensure that financial accounts are not marketed or portrayed as, or converted into, credit cards. (34 CFR 668.164(e)(2)(v) and (f)(4)(vii)). Tier One schools must also ensure that no credit is extended or associated with the financial account (34 CFR 668.164(e)(2)(v)(B)).</w:t>
      </w:r>
    </w:p>
    <w:p w14:paraId="43E58FE6" w14:textId="66A7CC0E" w:rsidR="002A7D42" w:rsidRPr="000C04C5" w:rsidRDefault="002A7D42" w:rsidP="002A7D42">
      <w:pPr>
        <w:spacing w:after="240"/>
        <w:ind w:left="720" w:hanging="720"/>
        <w:jc w:val="both"/>
        <w:rPr>
          <w:rFonts w:ascii="Arial" w:hAnsi="Arial" w:cs="Arial"/>
          <w:bCs/>
          <w:iCs/>
        </w:rPr>
      </w:pPr>
      <w:r w:rsidRPr="000C04C5">
        <w:rPr>
          <w:rFonts w:ascii="Arial" w:hAnsi="Arial" w:cs="Arial"/>
          <w:bCs/>
          <w:iCs/>
        </w:rPr>
        <w:t>•</w:t>
      </w:r>
      <w:r w:rsidRPr="000C04C5">
        <w:rPr>
          <w:rFonts w:ascii="Arial" w:hAnsi="Arial" w:cs="Arial"/>
          <w:bCs/>
          <w:iCs/>
        </w:rPr>
        <w:tab/>
      </w:r>
      <w:r w:rsidRPr="000C04C5">
        <w:rPr>
          <w:rFonts w:ascii="Arial" w:hAnsi="Arial" w:cs="Arial"/>
          <w:bCs/>
          <w:i/>
        </w:rPr>
        <w:t>Student Costs</w:t>
      </w:r>
      <w:r w:rsidRPr="000C04C5">
        <w:rPr>
          <w:rFonts w:ascii="Arial" w:hAnsi="Arial" w:cs="Arial"/>
          <w:bCs/>
          <w:iCs/>
        </w:rPr>
        <w:t xml:space="preserve">: </w:t>
      </w:r>
      <w:r w:rsidRPr="002A7D42">
        <w:rPr>
          <w:rFonts w:ascii="Arial" w:hAnsi="Arial" w:cs="Arial"/>
          <w:bCs/>
          <w:iCs/>
        </w:rPr>
        <w:t>All Tier One and Tier Two schools must ensure that the student does not incur any cost for opening the financial account or initially receiving an access device. (34 CFR 668.164(e)(2)(iv)(B)(1) and (f)(4)(x)). Tier One schools must also ensure that the student does not incur costs for conducting point-of-sale transactions in a State or conducting a balance inquiry or withdrawal of funds at an ATM in a State that belongs to the surcharge-free regional or national network (34 CFR 668.164(e)(2)(iv)(B)). Tier One schools must also ensure no fee is charged to the student for any transaction or withdrawal that exceeds the balance in the financial account or on the access device, except that a transaction or withdrawal that exceeds the balance may be permitted only for an inadvertently authorized overdraft, so long as no fee is charged to the student for such inadvertently authorized overdraft (34 CFR 668.164(e)(2)(v)(B)).</w:t>
      </w:r>
    </w:p>
    <w:p w14:paraId="58CE5387" w14:textId="6051669A" w:rsidR="002A7D42" w:rsidRPr="00792173" w:rsidRDefault="002A7D42" w:rsidP="002A7D42">
      <w:pPr>
        <w:spacing w:after="240"/>
        <w:ind w:left="720" w:hanging="720"/>
        <w:jc w:val="both"/>
        <w:rPr>
          <w:rFonts w:ascii="Arial" w:hAnsi="Arial" w:cs="Arial"/>
          <w:bCs/>
          <w:iCs/>
        </w:rPr>
      </w:pPr>
      <w:r w:rsidRPr="00792173">
        <w:rPr>
          <w:rFonts w:ascii="Arial" w:hAnsi="Arial" w:cs="Arial"/>
          <w:bCs/>
          <w:iCs/>
        </w:rPr>
        <w:t>•</w:t>
      </w:r>
      <w:r w:rsidRPr="00792173">
        <w:rPr>
          <w:rFonts w:ascii="Arial" w:hAnsi="Arial" w:cs="Arial"/>
          <w:bCs/>
          <w:iCs/>
        </w:rPr>
        <w:tab/>
      </w:r>
      <w:r w:rsidRPr="00792173">
        <w:rPr>
          <w:rFonts w:ascii="Arial" w:hAnsi="Arial" w:cs="Arial"/>
          <w:bCs/>
          <w:i/>
        </w:rPr>
        <w:t>Student Access</w:t>
      </w:r>
      <w:r w:rsidRPr="00792173">
        <w:rPr>
          <w:rFonts w:ascii="Arial" w:hAnsi="Arial" w:cs="Arial"/>
          <w:bCs/>
          <w:iCs/>
        </w:rPr>
        <w:t xml:space="preserve">: </w:t>
      </w:r>
      <w:r w:rsidRPr="002A7D42">
        <w:rPr>
          <w:rFonts w:ascii="Arial" w:hAnsi="Arial" w:cs="Arial"/>
          <w:bCs/>
          <w:iCs/>
        </w:rPr>
        <w:t>Tier One schools and any Tier Two schools above the credit balance threshold must ensure that the student has access to the funds in the financial account through surcharge-free Automated Teller Machines (ATMs) sufficient in number and housed and serviced such that Title IV funds are reasonably available to students, including at the times the school or its third- party servicer makes direct payments into them (34 CFR 164(e)(2)(iv)(A) and (f)(4)(vi)). Tier One schools must also ensure that the student is provided convenient access to funds in part and in full up to the account balance via domestic withdrawals and transfers without charge, during the student's entire period of enrollment following the date that such title IV, HEA program funds are deposited or transferred to the financial account (34 CFR 668.164(e)(2)(v)(C)).</w:t>
      </w:r>
    </w:p>
    <w:p w14:paraId="7E674E3C" w14:textId="4FD047FC" w:rsidR="002A7D42" w:rsidRPr="00792173" w:rsidRDefault="002A7D42" w:rsidP="002A7D42">
      <w:pPr>
        <w:spacing w:after="240"/>
        <w:ind w:left="720" w:hanging="720"/>
        <w:jc w:val="both"/>
        <w:rPr>
          <w:rFonts w:ascii="Arial" w:hAnsi="Arial" w:cs="Arial"/>
          <w:bCs/>
          <w:iCs/>
        </w:rPr>
      </w:pPr>
      <w:r w:rsidRPr="00792173">
        <w:rPr>
          <w:rFonts w:ascii="Arial" w:hAnsi="Arial" w:cs="Arial"/>
          <w:bCs/>
          <w:iCs/>
        </w:rPr>
        <w:t>•</w:t>
      </w:r>
      <w:r w:rsidRPr="00792173">
        <w:rPr>
          <w:rFonts w:ascii="Arial" w:hAnsi="Arial" w:cs="Arial"/>
          <w:bCs/>
          <w:iCs/>
        </w:rPr>
        <w:tab/>
      </w:r>
      <w:r w:rsidRPr="00792173">
        <w:rPr>
          <w:rFonts w:ascii="Arial" w:hAnsi="Arial" w:cs="Arial"/>
          <w:bCs/>
          <w:i/>
        </w:rPr>
        <w:t>Best Financial Interest of Students</w:t>
      </w:r>
      <w:r w:rsidRPr="00792173">
        <w:rPr>
          <w:rFonts w:ascii="Arial" w:hAnsi="Arial" w:cs="Arial"/>
          <w:bCs/>
          <w:iCs/>
        </w:rPr>
        <w:t xml:space="preserve">: </w:t>
      </w:r>
      <w:r w:rsidRPr="002A7D42">
        <w:rPr>
          <w:rFonts w:ascii="Arial" w:hAnsi="Arial" w:cs="Arial"/>
          <w:bCs/>
          <w:iCs/>
        </w:rPr>
        <w:t>Tier One schools and any Tier Two schools above the credit balance threshold must ensure that the terms of the accounts offered pursuant to the arrangement are not inconsistent with the best financial interests of the students opening them. ED considers this requirement to be met if</w:t>
      </w:r>
      <w:r>
        <w:rPr>
          <w:rFonts w:ascii="Arial" w:hAnsi="Arial" w:cs="Arial"/>
          <w:bCs/>
          <w:iCs/>
        </w:rPr>
        <w:t xml:space="preserve"> (a) </w:t>
      </w:r>
      <w:r w:rsidRPr="002A7D42">
        <w:rPr>
          <w:rFonts w:ascii="Arial" w:hAnsi="Arial" w:cs="Arial"/>
          <w:bCs/>
          <w:iCs/>
        </w:rPr>
        <w:t xml:space="preserve">the school documents that it conducts reasonable due diligence </w:t>
      </w:r>
      <w:r w:rsidRPr="002A7D42">
        <w:rPr>
          <w:rFonts w:ascii="Arial" w:hAnsi="Arial" w:cs="Arial"/>
          <w:bCs/>
          <w:iCs/>
        </w:rPr>
        <w:lastRenderedPageBreak/>
        <w:t>reviews at least every two years to ascertain whether the fees imposed under the arrangement are, considered as a whole, consistent with or below prevailing market rates; and (b) all contracts for the marketing or offering of accounts pursuant to the arrangement to the school’s students make provision for termination of the arrangement by the school based on (i) complaints received from students or (ii) a determination by the school that the fees assessed under the arrangement are not consistent with or are higher than prevailing market rates. (34 CFR 668.164(e)(2)(ix) and (f)(4)(vii)).</w:t>
      </w:r>
    </w:p>
    <w:p w14:paraId="5C315F16" w14:textId="2A92BC26" w:rsidR="002A7D42" w:rsidRPr="00792173" w:rsidRDefault="002A7D42" w:rsidP="002A7D42">
      <w:pPr>
        <w:spacing w:after="240"/>
        <w:jc w:val="both"/>
        <w:rPr>
          <w:rFonts w:ascii="Arial" w:hAnsi="Arial" w:cs="Arial"/>
          <w:bCs/>
          <w:iCs/>
        </w:rPr>
      </w:pPr>
      <w:r w:rsidRPr="002A7D42">
        <w:rPr>
          <w:rFonts w:ascii="Arial" w:hAnsi="Arial" w:cs="Arial"/>
          <w:bCs/>
          <w:iCs/>
        </w:rPr>
        <w:t>These schools must take affirmative steps, by way of contractual arrangements with the third-party servicer as necessary, to ensure that requirements for these arrangements are met with respect to all accounts offered pursuant to the arrangement (34 CFR 668.164(e)(2)(x) and (f)(4)(ix)).</w:t>
      </w:r>
    </w:p>
    <w:p w14:paraId="6D19C29B" w14:textId="556CA23A" w:rsidR="002A7D42" w:rsidRPr="00792173" w:rsidRDefault="002A7D42" w:rsidP="002A7D42">
      <w:pPr>
        <w:spacing w:after="240"/>
        <w:jc w:val="both"/>
        <w:rPr>
          <w:rFonts w:ascii="Arial" w:hAnsi="Arial" w:cs="Arial"/>
          <w:bCs/>
          <w:iCs/>
        </w:rPr>
      </w:pPr>
      <w:r w:rsidRPr="002A7D42">
        <w:rPr>
          <w:rFonts w:ascii="Arial" w:hAnsi="Arial" w:cs="Arial"/>
          <w:bCs/>
          <w:iCs/>
        </w:rPr>
        <w:t>Additional guidance on Tier One and Tier Two arrangements can be found in Dear Colleague Letter</w:t>
      </w:r>
      <w:r w:rsidRPr="00792173">
        <w:rPr>
          <w:rFonts w:ascii="Arial" w:hAnsi="Arial" w:cs="Arial"/>
          <w:bCs/>
          <w:iCs/>
        </w:rPr>
        <w:t xml:space="preserve"> </w:t>
      </w:r>
      <w:hyperlink r:id="rId96" w:history="1">
        <w:r w:rsidRPr="00792173">
          <w:rPr>
            <w:rStyle w:val="Hyperlink"/>
            <w:rFonts w:cs="Arial"/>
            <w:bCs/>
            <w:iCs/>
          </w:rPr>
          <w:t>GEN-22-14</w:t>
        </w:r>
      </w:hyperlink>
      <w:r w:rsidRPr="00792173">
        <w:rPr>
          <w:rFonts w:ascii="Arial" w:hAnsi="Arial" w:cs="Arial"/>
          <w:bCs/>
          <w:iCs/>
        </w:rPr>
        <w:t xml:space="preserve">; Volume 4, Chapter 2 of the FSA Handbook; and the </w:t>
      </w:r>
      <w:hyperlink r:id="rId97" w:history="1">
        <w:r w:rsidRPr="00546D39">
          <w:rPr>
            <w:rStyle w:val="Hyperlink"/>
            <w:rFonts w:cs="Arial"/>
            <w:bCs/>
            <w:iCs/>
          </w:rPr>
          <w:t>Cash Management Q&amp;A</w:t>
        </w:r>
      </w:hyperlink>
      <w:r w:rsidRPr="00792173">
        <w:rPr>
          <w:rFonts w:ascii="Arial" w:hAnsi="Arial" w:cs="Arial"/>
          <w:bCs/>
          <w:iCs/>
        </w:rPr>
        <w:t>.</w:t>
      </w:r>
    </w:p>
    <w:p w14:paraId="0BDC4ACC" w14:textId="0D7E392A" w:rsidR="004171E2" w:rsidRPr="00F00D94" w:rsidRDefault="002A7D42" w:rsidP="002A7D42">
      <w:pPr>
        <w:spacing w:after="240"/>
        <w:jc w:val="both"/>
        <w:rPr>
          <w:rFonts w:ascii="Arial" w:hAnsi="Arial" w:cs="Arial"/>
        </w:rPr>
      </w:pPr>
      <w:r w:rsidRPr="004E2CCB">
        <w:rPr>
          <w:rFonts w:ascii="Arial" w:hAnsi="Arial" w:cs="Arial"/>
          <w:bCs/>
          <w:i/>
        </w:rPr>
        <w:t>(Source: 202</w:t>
      </w:r>
      <w:r>
        <w:rPr>
          <w:rFonts w:ascii="Arial" w:hAnsi="Arial" w:cs="Arial"/>
          <w:bCs/>
          <w:i/>
        </w:rPr>
        <w:t>5</w:t>
      </w:r>
      <w:r w:rsidRPr="004E2CCB">
        <w:rPr>
          <w:rFonts w:ascii="Arial" w:hAnsi="Arial" w:cs="Arial"/>
          <w:bCs/>
          <w:i/>
        </w:rPr>
        <w:t xml:space="preserve"> OMB Compliance Supplement, Part 5, Student Financial Assistance Cluster)</w:t>
      </w:r>
    </w:p>
    <w:p w14:paraId="1D2E3C91" w14:textId="77777777" w:rsidR="004171E2" w:rsidRPr="000706D1" w:rsidRDefault="004171E2" w:rsidP="004171E2">
      <w:pPr>
        <w:pStyle w:val="Heading3"/>
        <w:jc w:val="both"/>
        <w:rPr>
          <w:rFonts w:cs="Arial"/>
          <w:sz w:val="24"/>
          <w:szCs w:val="24"/>
        </w:rPr>
      </w:pPr>
      <w:bookmarkStart w:id="75" w:name="_Toc210306840"/>
      <w:r w:rsidRPr="000706D1">
        <w:rPr>
          <w:rFonts w:cs="Arial"/>
          <w:sz w:val="24"/>
          <w:szCs w:val="24"/>
        </w:rPr>
        <w:t>Additional Program Specific Information</w:t>
      </w:r>
      <w:bookmarkEnd w:id="75"/>
    </w:p>
    <w:p w14:paraId="11D652F5" w14:textId="77777777" w:rsidR="004171E2" w:rsidRPr="00AA5B05" w:rsidRDefault="004171E2" w:rsidP="004171E2">
      <w:pPr>
        <w:spacing w:after="240"/>
        <w:jc w:val="both"/>
        <w:rPr>
          <w:rFonts w:ascii="Arial" w:hAnsi="Arial" w:cs="Arial"/>
          <w:b/>
          <w:highlight w:val="yellow"/>
        </w:rPr>
      </w:pPr>
      <w:r w:rsidRPr="00AA5B05">
        <w:rPr>
          <w:rFonts w:ascii="Arial" w:hAnsi="Arial" w:cs="Arial"/>
          <w:b/>
          <w:highlight w:val="yellow"/>
        </w:rPr>
        <w:t>Add program specific requirements from:</w:t>
      </w:r>
    </w:p>
    <w:p w14:paraId="66393108" w14:textId="30D46434"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7D42">
        <w:rPr>
          <w:rFonts w:ascii="Arial" w:hAnsi="Arial" w:cs="Arial"/>
          <w:b/>
          <w:highlight w:val="yellow"/>
        </w:rPr>
        <w:t xml:space="preserve"> and</w:t>
      </w:r>
    </w:p>
    <w:p w14:paraId="129B897B" w14:textId="77777777"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3F5F0AC" w14:textId="77777777" w:rsidR="004171E2" w:rsidRPr="00AA5B05" w:rsidRDefault="004171E2" w:rsidP="004171E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1EF124" w14:textId="77777777" w:rsidR="004171E2" w:rsidRPr="000706D1" w:rsidRDefault="004171E2" w:rsidP="004171E2">
      <w:pPr>
        <w:pStyle w:val="Heading3"/>
        <w:jc w:val="both"/>
        <w:rPr>
          <w:rFonts w:cs="Arial"/>
          <w:sz w:val="24"/>
          <w:szCs w:val="24"/>
        </w:rPr>
      </w:pPr>
      <w:bookmarkStart w:id="76" w:name="_Toc210306841"/>
      <w:r w:rsidRPr="000706D1">
        <w:rPr>
          <w:rFonts w:cs="Arial"/>
          <w:sz w:val="24"/>
          <w:szCs w:val="24"/>
        </w:rPr>
        <w:t>Audit Objectives and Control Testing</w:t>
      </w:r>
      <w:bookmarkEnd w:id="76"/>
    </w:p>
    <w:p w14:paraId="6715D941" w14:textId="77777777" w:rsidR="004171E2" w:rsidRPr="00F00D94" w:rsidRDefault="004171E2" w:rsidP="004171E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C3C7106" w14:textId="77777777" w:rsidR="004171E2" w:rsidRPr="00F00D94" w:rsidRDefault="004171E2" w:rsidP="004171E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C8C7EC" w14:textId="77777777" w:rsidR="004171E2"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2AA9348" w14:textId="54C8D90E" w:rsidR="004171E2" w:rsidRPr="002A7D42" w:rsidRDefault="002A7D42" w:rsidP="002A7D42">
      <w:pPr>
        <w:pStyle w:val="ListParagraph"/>
        <w:numPr>
          <w:ilvl w:val="1"/>
          <w:numId w:val="57"/>
        </w:numPr>
        <w:spacing w:after="240"/>
        <w:ind w:left="360" w:hanging="360"/>
        <w:jc w:val="both"/>
        <w:rPr>
          <w:rFonts w:ascii="Arial" w:hAnsi="Arial" w:cs="Arial"/>
          <w:iCs/>
        </w:rPr>
      </w:pPr>
      <w:r w:rsidRPr="002A7D42">
        <w:rPr>
          <w:rFonts w:ascii="Arial" w:hAnsi="Arial" w:cs="Arial"/>
        </w:rPr>
        <w:t>Determine if the institution uses a servicer or a financial institution to deliver Title IV credit balance refunds (or to make direct payments of FSA credit balances) and if the institution is following applicable ED requirements.</w:t>
      </w:r>
    </w:p>
    <w:p w14:paraId="310AF158" w14:textId="14EE6B6B" w:rsidR="002A7D42" w:rsidRPr="002A7D42" w:rsidRDefault="002A7D42" w:rsidP="002A7D42">
      <w:pPr>
        <w:tabs>
          <w:tab w:val="left" w:pos="450"/>
        </w:tabs>
        <w:spacing w:after="240"/>
        <w:jc w:val="both"/>
        <w:rPr>
          <w:rFonts w:ascii="Arial" w:hAnsi="Arial" w:cs="Arial"/>
          <w:iCs/>
        </w:rPr>
      </w:pPr>
      <w:r w:rsidRPr="002A7D42">
        <w:rPr>
          <w:rFonts w:ascii="Arial" w:hAnsi="Arial" w:cs="Arial"/>
          <w:bCs/>
          <w:i/>
        </w:rPr>
        <w:t>(So</w:t>
      </w:r>
      <w:r w:rsidRPr="004E2CCB">
        <w:rPr>
          <w:rFonts w:ascii="Arial" w:hAnsi="Arial" w:cs="Arial"/>
          <w:bCs/>
          <w:i/>
        </w:rPr>
        <w:t>urce: 202</w:t>
      </w:r>
      <w:r>
        <w:rPr>
          <w:rFonts w:ascii="Arial" w:hAnsi="Arial" w:cs="Arial"/>
          <w:bCs/>
          <w:i/>
        </w:rPr>
        <w:t>5</w:t>
      </w:r>
      <w:r w:rsidRPr="004E2CCB">
        <w:rPr>
          <w:rFonts w:ascii="Arial" w:hAnsi="Arial" w:cs="Arial"/>
          <w:bCs/>
          <w:i/>
        </w:rPr>
        <w:t xml:space="preserve"> OMB Compliance Supplement, Part 5, Student Financial Assistance Cluster)</w:t>
      </w:r>
    </w:p>
    <w:p w14:paraId="24E1163D" w14:textId="77777777" w:rsidR="004171E2" w:rsidRPr="00634FA3" w:rsidRDefault="004171E2" w:rsidP="004171E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171E2" w:rsidRPr="00F00D94" w14:paraId="62DF0159" w14:textId="77777777" w:rsidTr="00E0350C">
        <w:tc>
          <w:tcPr>
            <w:tcW w:w="5000" w:type="pct"/>
          </w:tcPr>
          <w:p w14:paraId="6A1ED6E8" w14:textId="77777777" w:rsidR="004171E2" w:rsidRPr="006F5FFA" w:rsidRDefault="004171E2" w:rsidP="0005458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C277DB0"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20DA8FF" w14:textId="77777777" w:rsidR="004171E2" w:rsidRPr="00F00D94" w:rsidRDefault="004171E2" w:rsidP="0005458C">
            <w:pPr>
              <w:pStyle w:val="AuditProcedureHeading"/>
              <w:spacing w:after="240"/>
              <w:jc w:val="both"/>
              <w:rPr>
                <w:rFonts w:cs="Arial"/>
                <w:b/>
                <w:bCs/>
                <w:szCs w:val="20"/>
                <w:u w:val="single"/>
              </w:rPr>
            </w:pPr>
          </w:p>
          <w:p w14:paraId="7119133A" w14:textId="77777777" w:rsidR="004171E2" w:rsidRPr="00F00D94" w:rsidRDefault="004171E2" w:rsidP="0005458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A039B0B" w14:textId="77777777" w:rsidR="004171E2" w:rsidRPr="00F00D94" w:rsidRDefault="004171E2" w:rsidP="0005458C">
            <w:pPr>
              <w:pStyle w:val="AuditProcedureHeading"/>
              <w:spacing w:after="240"/>
              <w:jc w:val="both"/>
              <w:rPr>
                <w:rFonts w:cs="Arial"/>
                <w:b/>
                <w:bCs/>
                <w:szCs w:val="20"/>
                <w:u w:val="single"/>
              </w:rPr>
            </w:pPr>
          </w:p>
          <w:p w14:paraId="275FE251"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47A17CB" w14:textId="77777777" w:rsidR="004171E2" w:rsidRPr="00F00D94" w:rsidRDefault="004171E2" w:rsidP="0005458C">
            <w:pPr>
              <w:spacing w:after="240"/>
              <w:jc w:val="both"/>
              <w:rPr>
                <w:rFonts w:ascii="Arial" w:hAnsi="Arial" w:cs="Arial"/>
                <w:b/>
                <w:sz w:val="20"/>
                <w:u w:val="single"/>
              </w:rPr>
            </w:pPr>
          </w:p>
          <w:p w14:paraId="7AEF7C77" w14:textId="77777777" w:rsidR="004171E2" w:rsidRPr="00F00D94" w:rsidRDefault="004171E2" w:rsidP="0005458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086EA80" w14:textId="77777777" w:rsidR="004171E2" w:rsidRPr="00C35E5F" w:rsidRDefault="004171E2" w:rsidP="0005458C">
            <w:pPr>
              <w:spacing w:after="240"/>
              <w:jc w:val="both"/>
              <w:rPr>
                <w:rFonts w:ascii="Arial" w:eastAsiaTheme="minorHAnsi" w:hAnsi="Arial" w:cs="Arial"/>
                <w:sz w:val="20"/>
                <w:szCs w:val="20"/>
              </w:rPr>
            </w:pPr>
          </w:p>
        </w:tc>
      </w:tr>
    </w:tbl>
    <w:p w14:paraId="20438CCC" w14:textId="77777777" w:rsidR="004171E2" w:rsidRPr="00F00D94" w:rsidRDefault="004171E2" w:rsidP="004171E2">
      <w:pPr>
        <w:spacing w:after="240"/>
        <w:jc w:val="both"/>
        <w:rPr>
          <w:rFonts w:ascii="Arial" w:hAnsi="Arial" w:cs="Arial"/>
          <w:b/>
          <w:bCs/>
        </w:rPr>
      </w:pPr>
    </w:p>
    <w:p w14:paraId="5A7D434D" w14:textId="77777777" w:rsidR="004171E2" w:rsidRPr="000706D1" w:rsidRDefault="004171E2" w:rsidP="004171E2">
      <w:pPr>
        <w:pStyle w:val="Heading3"/>
        <w:jc w:val="both"/>
        <w:rPr>
          <w:rFonts w:cs="Arial"/>
          <w:sz w:val="24"/>
          <w:szCs w:val="24"/>
        </w:rPr>
      </w:pPr>
      <w:bookmarkStart w:id="77" w:name="_Toc210306842"/>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77"/>
    </w:p>
    <w:tbl>
      <w:tblPr>
        <w:tblStyle w:val="TableGrid"/>
        <w:tblW w:w="9558" w:type="dxa"/>
        <w:tblLayout w:type="fixed"/>
        <w:tblLook w:val="04A0" w:firstRow="1" w:lastRow="0" w:firstColumn="1" w:lastColumn="0" w:noHBand="0" w:noVBand="1"/>
      </w:tblPr>
      <w:tblGrid>
        <w:gridCol w:w="9558"/>
      </w:tblGrid>
      <w:tr w:rsidR="004171E2" w:rsidRPr="00F00D94" w14:paraId="0D7AA836" w14:textId="77777777" w:rsidTr="00634FA3">
        <w:tc>
          <w:tcPr>
            <w:tcW w:w="9558" w:type="dxa"/>
          </w:tcPr>
          <w:p w14:paraId="128BCEF8" w14:textId="77777777" w:rsidR="004171E2" w:rsidRDefault="004171E2" w:rsidP="0005458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88FCC73" w14:textId="77777777" w:rsidR="004171E2" w:rsidRPr="00AC7B25" w:rsidRDefault="004171E2" w:rsidP="0005458C">
            <w:pPr>
              <w:spacing w:after="240"/>
              <w:jc w:val="both"/>
              <w:rPr>
                <w:rFonts w:ascii="Arial" w:hAnsi="Arial" w:cs="Arial"/>
                <w:i/>
                <w:sz w:val="20"/>
                <w:szCs w:val="20"/>
              </w:rPr>
            </w:pPr>
            <w:r>
              <w:rPr>
                <w:rFonts w:ascii="Arial" w:hAnsi="Arial" w:cs="Arial"/>
                <w:i/>
                <w:sz w:val="20"/>
                <w:szCs w:val="20"/>
              </w:rPr>
              <w:t>(Source: 2025 OMB Compliance Supplement Part 3.2)</w:t>
            </w:r>
          </w:p>
          <w:p w14:paraId="75773AC2" w14:textId="0FDAF385" w:rsidR="002A7D42" w:rsidRPr="00546D39" w:rsidRDefault="002A7D42" w:rsidP="002A7D42">
            <w:pPr>
              <w:spacing w:after="240"/>
              <w:ind w:left="612" w:hanging="612"/>
              <w:jc w:val="both"/>
              <w:rPr>
                <w:rFonts w:ascii="Arial" w:hAnsi="Arial" w:cs="Arial"/>
                <w:i/>
                <w:iCs/>
                <w:sz w:val="20"/>
              </w:rPr>
            </w:pPr>
            <w:r w:rsidRPr="00546D39">
              <w:rPr>
                <w:rFonts w:ascii="Arial" w:hAnsi="Arial" w:cs="Arial"/>
                <w:sz w:val="20"/>
              </w:rPr>
              <w:t>a.</w:t>
            </w:r>
            <w:r w:rsidRPr="00546D39">
              <w:rPr>
                <w:rFonts w:ascii="Arial" w:hAnsi="Arial" w:cs="Arial"/>
                <w:sz w:val="20"/>
              </w:rPr>
              <w:tab/>
            </w:r>
            <w:r w:rsidRPr="002A7D42">
              <w:rPr>
                <w:rFonts w:ascii="Arial" w:hAnsi="Arial" w:cs="Arial"/>
                <w:sz w:val="20"/>
              </w:rPr>
              <w:t xml:space="preserve">For any arrangements that the institution has with an outside entity to make direct payments of Title IV credit balances by EFT, obtain the full contract (including all attachments, appendices, affiliation agreements, and addendums) and any promotional materials provided by the entity to the school. Determine whether the arrangement is a Tier One Arrangement or a Tier Two Arrangement. </w:t>
            </w:r>
            <w:r w:rsidRPr="002A7D42">
              <w:rPr>
                <w:rFonts w:ascii="Arial" w:hAnsi="Arial" w:cs="Arial"/>
                <w:i/>
                <w:iCs/>
                <w:sz w:val="20"/>
              </w:rPr>
              <w:t>Note: As you are reviewing these records, you should be alert to evidence that the entity is performing functions associated with processing direct payments, which would be indicative of a Tier One Arrangement, especially the following functions provided by ED as examples: receiving Title IV funds; posting Title IV funds to student accounts; calculating a student’s Title IV credit balance; processing documents for direct payment to students; and disbursing or delivering FSA funds.</w:t>
            </w:r>
          </w:p>
          <w:p w14:paraId="7A162607" w14:textId="6C627A16" w:rsidR="002A7D42" w:rsidRPr="00546D39" w:rsidRDefault="002A7D42" w:rsidP="002A7D42">
            <w:pPr>
              <w:spacing w:after="240"/>
              <w:ind w:left="612" w:hanging="612"/>
              <w:jc w:val="both"/>
              <w:rPr>
                <w:rFonts w:ascii="Arial" w:hAnsi="Arial" w:cs="Arial"/>
                <w:sz w:val="20"/>
              </w:rPr>
            </w:pPr>
            <w:r w:rsidRPr="00546D39">
              <w:rPr>
                <w:rFonts w:ascii="Arial" w:hAnsi="Arial" w:cs="Arial"/>
                <w:sz w:val="20"/>
              </w:rPr>
              <w:t>b.</w:t>
            </w:r>
            <w:r w:rsidRPr="00546D39">
              <w:rPr>
                <w:rFonts w:ascii="Arial" w:hAnsi="Arial" w:cs="Arial"/>
                <w:sz w:val="20"/>
              </w:rPr>
              <w:tab/>
            </w:r>
            <w:r w:rsidRPr="002A7D42">
              <w:rPr>
                <w:rFonts w:ascii="Arial" w:hAnsi="Arial" w:cs="Arial"/>
                <w:sz w:val="20"/>
              </w:rPr>
              <w:t>For institutions with any Tier Two arrangements, confirm that the institution performed the required annual credit balance threshold calculation to determine if they were above or below the credit balance threshold and evaluate the annual calculation for accuracy.</w:t>
            </w:r>
          </w:p>
          <w:p w14:paraId="3EBDCD8F" w14:textId="77777777" w:rsidR="002A7D42" w:rsidRPr="00546D39" w:rsidRDefault="002A7D42" w:rsidP="002A7D42">
            <w:pPr>
              <w:spacing w:after="240"/>
              <w:ind w:left="612" w:hanging="612"/>
              <w:jc w:val="both"/>
              <w:rPr>
                <w:rFonts w:ascii="Arial" w:hAnsi="Arial" w:cs="Arial"/>
                <w:sz w:val="20"/>
              </w:rPr>
            </w:pPr>
            <w:r w:rsidRPr="00546D39">
              <w:rPr>
                <w:rFonts w:ascii="Arial" w:hAnsi="Arial" w:cs="Arial"/>
                <w:sz w:val="20"/>
              </w:rPr>
              <w:t>c.</w:t>
            </w:r>
            <w:r w:rsidRPr="00546D39">
              <w:rPr>
                <w:rFonts w:ascii="Arial" w:hAnsi="Arial" w:cs="Arial"/>
                <w:sz w:val="20"/>
              </w:rPr>
              <w:tab/>
              <w:t>For institutions with any Tier One or Tier Two arrangement,</w:t>
            </w:r>
          </w:p>
          <w:p w14:paraId="1283B9E6" w14:textId="7B3868BF" w:rsidR="002A7D42" w:rsidRPr="00546D39" w:rsidRDefault="002A7D42" w:rsidP="002A7D42">
            <w:pPr>
              <w:spacing w:after="240"/>
              <w:ind w:left="1332" w:hanging="720"/>
              <w:jc w:val="both"/>
              <w:rPr>
                <w:rFonts w:ascii="Arial" w:hAnsi="Arial" w:cs="Arial"/>
                <w:sz w:val="20"/>
              </w:rPr>
            </w:pPr>
            <w:r w:rsidRPr="00546D39">
              <w:rPr>
                <w:rFonts w:ascii="Arial" w:hAnsi="Arial" w:cs="Arial"/>
                <w:sz w:val="20"/>
              </w:rPr>
              <w:t>(1)</w:t>
            </w:r>
            <w:r w:rsidRPr="00546D39">
              <w:rPr>
                <w:rFonts w:ascii="Arial" w:hAnsi="Arial" w:cs="Arial"/>
                <w:sz w:val="20"/>
              </w:rPr>
              <w:tab/>
            </w:r>
            <w:r w:rsidRPr="002A7D42">
              <w:rPr>
                <w:rFonts w:ascii="Arial" w:hAnsi="Arial" w:cs="Arial"/>
                <w:sz w:val="20"/>
              </w:rPr>
              <w:t>determine whether the school established a selection process under which the student chooses an option for receiving payments by electronic funds transfer;</w:t>
            </w:r>
          </w:p>
          <w:p w14:paraId="627F62F3" w14:textId="17EAAEFE" w:rsidR="002A7D42" w:rsidRPr="00546D39" w:rsidRDefault="002A7D42" w:rsidP="002A7D42">
            <w:pPr>
              <w:spacing w:after="240"/>
              <w:ind w:left="1332" w:hanging="720"/>
              <w:jc w:val="both"/>
              <w:rPr>
                <w:rFonts w:ascii="Arial" w:hAnsi="Arial" w:cs="Arial"/>
                <w:sz w:val="20"/>
              </w:rPr>
            </w:pPr>
            <w:r w:rsidRPr="00546D39">
              <w:rPr>
                <w:rFonts w:ascii="Arial" w:hAnsi="Arial" w:cs="Arial"/>
                <w:sz w:val="20"/>
              </w:rPr>
              <w:t>(2)</w:t>
            </w:r>
            <w:r w:rsidRPr="00546D39">
              <w:rPr>
                <w:rFonts w:ascii="Arial" w:hAnsi="Arial" w:cs="Arial"/>
                <w:sz w:val="20"/>
              </w:rPr>
              <w:tab/>
            </w:r>
            <w:r w:rsidRPr="002A7D42">
              <w:rPr>
                <w:rFonts w:ascii="Arial" w:hAnsi="Arial" w:cs="Arial"/>
                <w:sz w:val="20"/>
              </w:rPr>
              <w:t xml:space="preserve">For a sample of students for whom a financial account under the arrangement was opened and the access device does not serve an institutional purpose other than electronic fund transfers, determine whether the school informed the student of the terms and conditions of </w:t>
            </w:r>
            <w:r w:rsidRPr="002A7D42">
              <w:rPr>
                <w:rFonts w:ascii="Arial" w:hAnsi="Arial" w:cs="Arial"/>
                <w:sz w:val="20"/>
              </w:rPr>
              <w:lastRenderedPageBreak/>
              <w:t>the financial account and obtained the student’s consent before the access device was validated;</w:t>
            </w:r>
          </w:p>
          <w:p w14:paraId="4C03FF89" w14:textId="77777777" w:rsidR="002A7D42" w:rsidRPr="00546D39" w:rsidRDefault="002A7D42" w:rsidP="002A7D42">
            <w:pPr>
              <w:spacing w:after="240"/>
              <w:ind w:left="1332" w:hanging="720"/>
              <w:jc w:val="both"/>
              <w:rPr>
                <w:rFonts w:ascii="Arial" w:hAnsi="Arial" w:cs="Arial"/>
                <w:sz w:val="20"/>
              </w:rPr>
            </w:pPr>
            <w:r w:rsidRPr="00546D39">
              <w:rPr>
                <w:rFonts w:ascii="Arial" w:hAnsi="Arial" w:cs="Arial"/>
                <w:sz w:val="20"/>
              </w:rPr>
              <w:t>(3)</w:t>
            </w:r>
            <w:r w:rsidRPr="00546D39">
              <w:rPr>
                <w:rFonts w:ascii="Arial" w:hAnsi="Arial" w:cs="Arial"/>
                <w:sz w:val="20"/>
              </w:rPr>
              <w:tab/>
              <w:t>Through review of the contract between the school and servicer determine that</w:t>
            </w:r>
          </w:p>
          <w:p w14:paraId="506EFCE4" w14:textId="5E96014A" w:rsidR="002A7D42" w:rsidRPr="00546D39" w:rsidRDefault="002A7D42" w:rsidP="002A7D42">
            <w:pPr>
              <w:spacing w:after="240"/>
              <w:ind w:left="2052" w:hanging="720"/>
              <w:jc w:val="both"/>
              <w:rPr>
                <w:rFonts w:ascii="Arial" w:hAnsi="Arial" w:cs="Arial"/>
                <w:sz w:val="20"/>
              </w:rPr>
            </w:pPr>
            <w:r w:rsidRPr="00546D39">
              <w:rPr>
                <w:rFonts w:ascii="Arial" w:hAnsi="Arial" w:cs="Arial"/>
                <w:sz w:val="20"/>
              </w:rPr>
              <w:t>(A)</w:t>
            </w:r>
            <w:r w:rsidRPr="00546D39">
              <w:rPr>
                <w:rFonts w:ascii="Arial" w:hAnsi="Arial" w:cs="Arial"/>
                <w:sz w:val="20"/>
              </w:rPr>
              <w:tab/>
            </w:r>
            <w:r w:rsidRPr="002A7D42">
              <w:rPr>
                <w:rFonts w:ascii="Arial" w:hAnsi="Arial" w:cs="Arial"/>
                <w:sz w:val="20"/>
              </w:rPr>
              <w:t>The financial account or access device is not marketed or portrayed as, or converted into, a credit card; and</w:t>
            </w:r>
          </w:p>
          <w:p w14:paraId="4CE893AA" w14:textId="5A8709CF" w:rsidR="002A7D42" w:rsidRPr="00546D39" w:rsidRDefault="002A7D42" w:rsidP="002A7D42">
            <w:pPr>
              <w:spacing w:after="240"/>
              <w:ind w:left="2052" w:hanging="720"/>
              <w:jc w:val="both"/>
              <w:rPr>
                <w:rFonts w:ascii="Arial" w:hAnsi="Arial" w:cs="Arial"/>
                <w:sz w:val="20"/>
              </w:rPr>
            </w:pPr>
            <w:r w:rsidRPr="00546D39">
              <w:rPr>
                <w:rFonts w:ascii="Arial" w:hAnsi="Arial" w:cs="Arial"/>
                <w:sz w:val="20"/>
              </w:rPr>
              <w:t>(B)</w:t>
            </w:r>
            <w:r w:rsidRPr="00546D39">
              <w:rPr>
                <w:rFonts w:ascii="Arial" w:hAnsi="Arial" w:cs="Arial"/>
                <w:sz w:val="20"/>
              </w:rPr>
              <w:tab/>
            </w:r>
            <w:r w:rsidRPr="002A7D42">
              <w:rPr>
                <w:rFonts w:ascii="Arial" w:hAnsi="Arial" w:cs="Arial"/>
                <w:sz w:val="20"/>
              </w:rPr>
              <w:t>The student would not incur costs for opening the account or receiving the access device;</w:t>
            </w:r>
          </w:p>
          <w:p w14:paraId="1175BCA0" w14:textId="6353D8BA" w:rsidR="002A7D42" w:rsidRPr="00546D39" w:rsidRDefault="002A7D42" w:rsidP="002A7D42">
            <w:pPr>
              <w:spacing w:after="240"/>
              <w:ind w:left="1332" w:hanging="720"/>
              <w:jc w:val="both"/>
              <w:rPr>
                <w:rFonts w:ascii="Arial" w:hAnsi="Arial" w:cs="Arial"/>
                <w:sz w:val="20"/>
              </w:rPr>
            </w:pPr>
            <w:r w:rsidRPr="00546D39">
              <w:rPr>
                <w:rFonts w:ascii="Arial" w:hAnsi="Arial" w:cs="Arial"/>
                <w:sz w:val="20"/>
              </w:rPr>
              <w:t>(4)</w:t>
            </w:r>
            <w:r w:rsidRPr="00546D39">
              <w:rPr>
                <w:rFonts w:ascii="Arial" w:hAnsi="Arial" w:cs="Arial"/>
                <w:sz w:val="20"/>
              </w:rPr>
              <w:tab/>
            </w:r>
            <w:r w:rsidRPr="002A7D42">
              <w:rPr>
                <w:rFonts w:ascii="Arial" w:hAnsi="Arial" w:cs="Arial"/>
                <w:sz w:val="20"/>
              </w:rPr>
              <w:t>Determine whether the school contract(s) establishing the arrangement between the school and financial account provider exist on the school’s website;</w:t>
            </w:r>
          </w:p>
          <w:p w14:paraId="6CD1EDC2" w14:textId="58C096D5" w:rsidR="002A7D42" w:rsidRPr="00546D39" w:rsidRDefault="002A7D42" w:rsidP="002A7D42">
            <w:pPr>
              <w:spacing w:after="240"/>
              <w:ind w:left="1332" w:hanging="720"/>
              <w:jc w:val="both"/>
              <w:rPr>
                <w:rFonts w:ascii="Arial" w:hAnsi="Arial" w:cs="Arial"/>
                <w:sz w:val="20"/>
              </w:rPr>
            </w:pPr>
            <w:r w:rsidRPr="00546D39">
              <w:rPr>
                <w:rFonts w:ascii="Arial" w:hAnsi="Arial" w:cs="Arial"/>
                <w:sz w:val="20"/>
              </w:rPr>
              <w:t>(5)</w:t>
            </w:r>
            <w:r w:rsidRPr="00546D39">
              <w:rPr>
                <w:rFonts w:ascii="Arial" w:hAnsi="Arial" w:cs="Arial"/>
                <w:sz w:val="20"/>
              </w:rPr>
              <w:tab/>
            </w:r>
            <w:r w:rsidRPr="002A7D42">
              <w:rPr>
                <w:rFonts w:ascii="Arial" w:hAnsi="Arial" w:cs="Arial"/>
                <w:sz w:val="20"/>
              </w:rPr>
              <w:t>Obtain documentation to determine if the school provided a URL for the contract to ED for publication in the Cash Management Contracts Database. (You m</w:t>
            </w:r>
            <w:r w:rsidRPr="002A7D42">
              <w:rPr>
                <w:rFonts w:ascii="Arial" w:hAnsi="Arial" w:cs="Arial"/>
                <w:sz w:val="20"/>
                <w:szCs w:val="20"/>
              </w:rPr>
              <w:t xml:space="preserve">ay check the database directly at </w:t>
            </w:r>
            <w:hyperlink r:id="rId98">
              <w:r w:rsidRPr="002A7D42">
                <w:rPr>
                  <w:rFonts w:ascii="Arial" w:hAnsi="Arial" w:cs="Arial"/>
                  <w:color w:val="2D74B5"/>
                  <w:sz w:val="20"/>
                  <w:szCs w:val="20"/>
                  <w:u w:val="single" w:color="2D74B5"/>
                </w:rPr>
                <w:t>Cash Management</w:t>
              </w:r>
            </w:hyperlink>
            <w:hyperlink r:id="rId99">
              <w:r w:rsidRPr="002A7D42">
                <w:rPr>
                  <w:rFonts w:ascii="Arial" w:hAnsi="Arial" w:cs="Arial"/>
                  <w:color w:val="2D74B5"/>
                  <w:sz w:val="20"/>
                  <w:szCs w:val="20"/>
                  <w:u w:val="single" w:color="2D74B5"/>
                </w:rPr>
                <w:t xml:space="preserve"> Contracts | Federal Student</w:t>
              </w:r>
              <w:r w:rsidRPr="002A7D42">
                <w:rPr>
                  <w:rFonts w:ascii="Arial" w:hAnsi="Arial" w:cs="Arial"/>
                  <w:color w:val="2D74B5"/>
                  <w:spacing w:val="-2"/>
                  <w:sz w:val="20"/>
                  <w:szCs w:val="20"/>
                  <w:u w:val="single" w:color="2D74B5"/>
                </w:rPr>
                <w:t xml:space="preserve"> </w:t>
              </w:r>
              <w:r w:rsidRPr="002A7D42">
                <w:rPr>
                  <w:rFonts w:ascii="Arial" w:hAnsi="Arial" w:cs="Arial"/>
                  <w:color w:val="2D74B5"/>
                  <w:sz w:val="20"/>
                  <w:szCs w:val="20"/>
                  <w:u w:val="single" w:color="2D74B5"/>
                </w:rPr>
                <w:t>Aid</w:t>
              </w:r>
            </w:hyperlink>
            <w:r w:rsidRPr="002A7D42">
              <w:rPr>
                <w:rFonts w:ascii="Arial" w:hAnsi="Arial" w:cs="Arial"/>
                <w:sz w:val="20"/>
                <w:szCs w:val="20"/>
              </w:rPr>
              <w:t>)</w:t>
            </w:r>
            <w:r w:rsidRPr="00546D39">
              <w:rPr>
                <w:rFonts w:ascii="Arial" w:hAnsi="Arial" w:cs="Arial"/>
                <w:sz w:val="20"/>
              </w:rPr>
              <w:t>)</w:t>
            </w:r>
          </w:p>
          <w:p w14:paraId="4C9B2F0D" w14:textId="77777777" w:rsidR="002A7D42" w:rsidRPr="00546D39" w:rsidRDefault="002A7D42" w:rsidP="002A7D42">
            <w:pPr>
              <w:spacing w:after="240"/>
              <w:ind w:left="612" w:hanging="612"/>
              <w:jc w:val="both"/>
              <w:rPr>
                <w:rFonts w:ascii="Arial" w:hAnsi="Arial" w:cs="Arial"/>
                <w:sz w:val="20"/>
              </w:rPr>
            </w:pPr>
            <w:r w:rsidRPr="00546D39">
              <w:rPr>
                <w:rFonts w:ascii="Arial" w:hAnsi="Arial" w:cs="Arial"/>
                <w:sz w:val="20"/>
              </w:rPr>
              <w:t>d.</w:t>
            </w:r>
            <w:r w:rsidRPr="00546D39">
              <w:rPr>
                <w:rFonts w:ascii="Arial" w:hAnsi="Arial" w:cs="Arial"/>
                <w:sz w:val="20"/>
              </w:rPr>
              <w:tab/>
              <w:t>For institutions with any Tier One arrangement or a Tier Two arrangement above the credit balance threshold -</w:t>
            </w:r>
          </w:p>
          <w:p w14:paraId="7868DE0F" w14:textId="77777777" w:rsidR="002A7D42" w:rsidRPr="00546D39" w:rsidRDefault="002A7D42" w:rsidP="002A7D42">
            <w:pPr>
              <w:spacing w:after="240"/>
              <w:ind w:left="1332" w:hanging="720"/>
              <w:jc w:val="both"/>
              <w:rPr>
                <w:rFonts w:ascii="Arial" w:hAnsi="Arial" w:cs="Arial"/>
                <w:sz w:val="20"/>
              </w:rPr>
            </w:pPr>
            <w:r w:rsidRPr="00546D39">
              <w:rPr>
                <w:rFonts w:ascii="Arial" w:hAnsi="Arial" w:cs="Arial"/>
                <w:sz w:val="20"/>
              </w:rPr>
              <w:t>(1)</w:t>
            </w:r>
            <w:r w:rsidRPr="00546D39">
              <w:rPr>
                <w:rFonts w:ascii="Arial" w:hAnsi="Arial" w:cs="Arial"/>
                <w:sz w:val="20"/>
              </w:rPr>
              <w:tab/>
              <w:t>Through review of the contract between the school and servicer,</w:t>
            </w:r>
          </w:p>
          <w:p w14:paraId="6A1BEB92" w14:textId="0DCC4B43" w:rsidR="002A7D42" w:rsidRPr="00546D39" w:rsidRDefault="002A7D42" w:rsidP="002A7D42">
            <w:pPr>
              <w:spacing w:after="240"/>
              <w:ind w:left="2052" w:hanging="720"/>
              <w:jc w:val="both"/>
              <w:rPr>
                <w:rFonts w:ascii="Arial" w:hAnsi="Arial" w:cs="Arial"/>
                <w:sz w:val="20"/>
              </w:rPr>
            </w:pPr>
            <w:r w:rsidRPr="00546D39">
              <w:rPr>
                <w:rFonts w:ascii="Arial" w:hAnsi="Arial" w:cs="Arial"/>
                <w:sz w:val="20"/>
              </w:rPr>
              <w:t>(A)</w:t>
            </w:r>
            <w:r w:rsidRPr="00546D39">
              <w:rPr>
                <w:rFonts w:ascii="Arial" w:hAnsi="Arial" w:cs="Arial"/>
                <w:sz w:val="20"/>
              </w:rPr>
              <w:tab/>
            </w:r>
            <w:r w:rsidRPr="002A7D42">
              <w:rPr>
                <w:rFonts w:ascii="Arial" w:hAnsi="Arial" w:cs="Arial"/>
                <w:sz w:val="20"/>
              </w:rPr>
              <w:t>Determine that students would have access to the funds through surcharge-free ATMs, including at the times payments are made; and</w:t>
            </w:r>
          </w:p>
          <w:p w14:paraId="4C291F46" w14:textId="543411C1" w:rsidR="002A7D42" w:rsidRPr="00546D39" w:rsidRDefault="002A7D42" w:rsidP="002A7D42">
            <w:pPr>
              <w:spacing w:after="240"/>
              <w:ind w:left="2052" w:hanging="720"/>
              <w:jc w:val="both"/>
              <w:rPr>
                <w:rFonts w:ascii="Arial" w:hAnsi="Arial" w:cs="Arial"/>
                <w:sz w:val="20"/>
              </w:rPr>
            </w:pPr>
            <w:r w:rsidRPr="00546D39">
              <w:rPr>
                <w:rFonts w:ascii="Arial" w:hAnsi="Arial" w:cs="Arial"/>
                <w:sz w:val="20"/>
              </w:rPr>
              <w:t>(B)</w:t>
            </w:r>
            <w:r w:rsidRPr="00546D39">
              <w:rPr>
                <w:rFonts w:ascii="Arial" w:hAnsi="Arial" w:cs="Arial"/>
                <w:sz w:val="20"/>
              </w:rPr>
              <w:tab/>
            </w:r>
            <w:r w:rsidRPr="002A7D42">
              <w:rPr>
                <w:rFonts w:ascii="Arial" w:hAnsi="Arial" w:cs="Arial"/>
                <w:sz w:val="20"/>
              </w:rPr>
              <w:t>Determine that the contracts make provisions for termination of the arrangement by the school based on i) complaints received from students or (ii) a determination by the school that the fees assessed under the arrangement are not consistent with or are higher than prevailing market rates;</w:t>
            </w:r>
          </w:p>
          <w:p w14:paraId="60A19519" w14:textId="272A3A71" w:rsidR="002A7D42" w:rsidRPr="00546D39" w:rsidRDefault="002A7D42" w:rsidP="002A7D42">
            <w:pPr>
              <w:spacing w:after="240"/>
              <w:ind w:left="1332" w:hanging="720"/>
              <w:jc w:val="both"/>
              <w:rPr>
                <w:rFonts w:ascii="Arial" w:hAnsi="Arial" w:cs="Arial"/>
                <w:sz w:val="20"/>
              </w:rPr>
            </w:pPr>
            <w:r w:rsidRPr="00546D39">
              <w:rPr>
                <w:rFonts w:ascii="Arial" w:hAnsi="Arial" w:cs="Arial"/>
                <w:sz w:val="20"/>
              </w:rPr>
              <w:t>(2)</w:t>
            </w:r>
            <w:r w:rsidRPr="00546D39">
              <w:rPr>
                <w:rFonts w:ascii="Arial" w:hAnsi="Arial" w:cs="Arial"/>
                <w:sz w:val="20"/>
              </w:rPr>
              <w:tab/>
            </w:r>
            <w:r w:rsidRPr="002A7D42">
              <w:rPr>
                <w:rFonts w:ascii="Arial" w:hAnsi="Arial" w:cs="Arial"/>
                <w:sz w:val="20"/>
              </w:rPr>
              <w:t>Through review of the latest due diligence review performed by the school, determine that the school is ascertaining whether the fees imposed under the arrangement are consistent with or below prevailing market rates through its due diligence reviews at least every two years;</w:t>
            </w:r>
          </w:p>
          <w:p w14:paraId="31E1C3AA" w14:textId="26557EEA" w:rsidR="002A7D42" w:rsidRPr="00546D39" w:rsidRDefault="002A7D42" w:rsidP="002A7D42">
            <w:pPr>
              <w:spacing w:after="240"/>
              <w:ind w:left="1332" w:hanging="720"/>
              <w:jc w:val="both"/>
              <w:rPr>
                <w:rFonts w:ascii="Arial" w:hAnsi="Arial" w:cs="Arial"/>
                <w:sz w:val="20"/>
              </w:rPr>
            </w:pPr>
            <w:r w:rsidRPr="00546D39">
              <w:rPr>
                <w:rFonts w:ascii="Arial" w:hAnsi="Arial" w:cs="Arial"/>
                <w:sz w:val="20"/>
              </w:rPr>
              <w:t>(3)</w:t>
            </w:r>
            <w:r w:rsidRPr="00546D39">
              <w:rPr>
                <w:rFonts w:ascii="Arial" w:hAnsi="Arial" w:cs="Arial"/>
                <w:sz w:val="20"/>
              </w:rPr>
              <w:tab/>
            </w:r>
            <w:r w:rsidRPr="002A7D42">
              <w:rPr>
                <w:rFonts w:ascii="Arial" w:hAnsi="Arial" w:cs="Arial"/>
                <w:sz w:val="20"/>
              </w:rPr>
              <w:t>Determine whether all required cost information related to the arrangement existed on the school’s website and that the cost information was updated within 60 days after the end of each award year; and</w:t>
            </w:r>
          </w:p>
          <w:p w14:paraId="3D1C1398" w14:textId="5F770FED" w:rsidR="002A7D42" w:rsidRPr="00546D39" w:rsidRDefault="002A7D42" w:rsidP="002A7D42">
            <w:pPr>
              <w:spacing w:after="240"/>
              <w:ind w:left="1332" w:hanging="720"/>
              <w:jc w:val="both"/>
              <w:rPr>
                <w:rFonts w:ascii="Arial" w:hAnsi="Arial" w:cs="Arial"/>
                <w:sz w:val="20"/>
              </w:rPr>
            </w:pPr>
            <w:r w:rsidRPr="00546D39">
              <w:rPr>
                <w:rFonts w:ascii="Arial" w:hAnsi="Arial" w:cs="Arial"/>
                <w:sz w:val="20"/>
              </w:rPr>
              <w:t>(4)</w:t>
            </w:r>
            <w:r w:rsidRPr="00546D39">
              <w:rPr>
                <w:rFonts w:ascii="Arial" w:hAnsi="Arial" w:cs="Arial"/>
                <w:sz w:val="20"/>
              </w:rPr>
              <w:tab/>
            </w:r>
            <w:r w:rsidRPr="002A7D42">
              <w:rPr>
                <w:rFonts w:ascii="Arial" w:hAnsi="Arial" w:cs="Arial"/>
                <w:sz w:val="20"/>
              </w:rPr>
              <w:t>Obtain documentation to determine if the school provided a URL for the cost information to ED for publication in the Cash Management Contracts Database. (You may check the database directly at</w:t>
            </w:r>
            <w:r w:rsidRPr="00546D39">
              <w:rPr>
                <w:rFonts w:ascii="Arial" w:hAnsi="Arial" w:cs="Arial"/>
                <w:sz w:val="20"/>
              </w:rPr>
              <w:t xml:space="preserve"> </w:t>
            </w:r>
            <w:hyperlink r:id="rId100" w:history="1">
              <w:r w:rsidRPr="00E97A14">
                <w:rPr>
                  <w:rStyle w:val="Hyperlink"/>
                  <w:rFonts w:cs="Arial"/>
                  <w:sz w:val="20"/>
                </w:rPr>
                <w:t>Cash Management Contracts | Federal Student Aid</w:t>
              </w:r>
            </w:hyperlink>
            <w:r w:rsidRPr="00546D39">
              <w:rPr>
                <w:rFonts w:ascii="Arial" w:hAnsi="Arial" w:cs="Arial"/>
                <w:sz w:val="20"/>
              </w:rPr>
              <w:t>)</w:t>
            </w:r>
          </w:p>
          <w:p w14:paraId="5FA30EC6" w14:textId="4FC05101" w:rsidR="004171E2" w:rsidRPr="001B6A61" w:rsidRDefault="002A7D42" w:rsidP="002A7D42">
            <w:pPr>
              <w:spacing w:after="240"/>
              <w:ind w:left="611" w:hanging="611"/>
              <w:jc w:val="both"/>
              <w:rPr>
                <w:rFonts w:ascii="Arial" w:hAnsi="Arial" w:cs="Arial"/>
                <w:b/>
                <w:bCs/>
                <w:sz w:val="20"/>
              </w:rPr>
            </w:pPr>
            <w:r w:rsidRPr="00546D39">
              <w:rPr>
                <w:rFonts w:ascii="Arial" w:hAnsi="Arial" w:cs="Arial"/>
                <w:sz w:val="20"/>
              </w:rPr>
              <w:t>e.</w:t>
            </w:r>
            <w:r w:rsidRPr="00546D39">
              <w:rPr>
                <w:rFonts w:ascii="Arial" w:hAnsi="Arial" w:cs="Arial"/>
                <w:sz w:val="20"/>
              </w:rPr>
              <w:tab/>
            </w:r>
            <w:r w:rsidRPr="002A7D42">
              <w:rPr>
                <w:rFonts w:ascii="Arial" w:hAnsi="Arial" w:cs="Arial"/>
                <w:sz w:val="20"/>
              </w:rPr>
              <w:t>For institutions with any Tier One arrangement, through review of the contract between the school and servicer, determine that the student (1) would not be extended any credit with the financial account; (2) would not incur costs for conducting point-of-sale transactions and balance inquiries, or as overdraft fees; and (3) would be provided access to funds up to the account balance without charge during the student's entire period of enrollment.</w:t>
            </w:r>
          </w:p>
        </w:tc>
      </w:tr>
    </w:tbl>
    <w:p w14:paraId="3593D0C5" w14:textId="77777777" w:rsidR="004171E2" w:rsidRPr="00F00D94" w:rsidRDefault="004171E2" w:rsidP="004171E2">
      <w:pPr>
        <w:tabs>
          <w:tab w:val="left" w:pos="-1440"/>
          <w:tab w:val="left" w:pos="720"/>
        </w:tabs>
        <w:spacing w:after="240"/>
        <w:ind w:left="720" w:hanging="720"/>
        <w:jc w:val="both"/>
        <w:rPr>
          <w:rFonts w:ascii="Arial" w:hAnsi="Arial" w:cs="Arial"/>
        </w:rPr>
      </w:pPr>
    </w:p>
    <w:p w14:paraId="02BCF567" w14:textId="77777777" w:rsidR="004171E2" w:rsidRPr="000706D1" w:rsidRDefault="004171E2" w:rsidP="004171E2">
      <w:pPr>
        <w:pStyle w:val="Heading3"/>
        <w:jc w:val="both"/>
        <w:rPr>
          <w:rFonts w:cs="Arial"/>
          <w:b w:val="0"/>
          <w:sz w:val="24"/>
          <w:szCs w:val="24"/>
        </w:rPr>
      </w:pPr>
      <w:bookmarkStart w:id="78" w:name="_Toc210306843"/>
      <w:r w:rsidRPr="000706D1">
        <w:rPr>
          <w:rFonts w:cs="Arial"/>
          <w:sz w:val="24"/>
          <w:szCs w:val="24"/>
        </w:rPr>
        <w:lastRenderedPageBreak/>
        <w:t>Audit Implications Summary</w:t>
      </w:r>
      <w:bookmarkEnd w:id="78"/>
    </w:p>
    <w:tbl>
      <w:tblPr>
        <w:tblStyle w:val="TableGrid"/>
        <w:tblW w:w="5000" w:type="pct"/>
        <w:tblLook w:val="04A0" w:firstRow="1" w:lastRow="0" w:firstColumn="1" w:lastColumn="0" w:noHBand="0" w:noVBand="1"/>
      </w:tblPr>
      <w:tblGrid>
        <w:gridCol w:w="9350"/>
      </w:tblGrid>
      <w:tr w:rsidR="004171E2" w:rsidRPr="00F00D94" w14:paraId="284EC96E" w14:textId="77777777" w:rsidTr="00E0350C">
        <w:tc>
          <w:tcPr>
            <w:tcW w:w="5000" w:type="pct"/>
          </w:tcPr>
          <w:p w14:paraId="261F301C" w14:textId="77777777" w:rsidR="004171E2" w:rsidRDefault="004171E2" w:rsidP="0005458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58564CA" w14:textId="77777777" w:rsidR="004171E2" w:rsidRPr="006E46AD" w:rsidRDefault="004171E2" w:rsidP="0005458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9784FDB" w14:textId="77777777" w:rsidR="004171E2" w:rsidRPr="006E46AD" w:rsidRDefault="004171E2" w:rsidP="00D12EB7">
            <w:pPr>
              <w:pStyle w:val="ListParagraph"/>
              <w:widowControl w:val="0"/>
              <w:numPr>
                <w:ilvl w:val="0"/>
                <w:numId w:val="6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79C606B" w14:textId="77777777" w:rsidR="004171E2" w:rsidRPr="006E46AD" w:rsidRDefault="004171E2" w:rsidP="0005458C">
            <w:pPr>
              <w:widowControl w:val="0"/>
              <w:spacing w:after="240"/>
              <w:ind w:left="720"/>
              <w:jc w:val="both"/>
              <w:rPr>
                <w:rFonts w:ascii="Arial" w:hAnsi="Arial" w:cs="Arial"/>
                <w:b/>
                <w:sz w:val="20"/>
                <w:szCs w:val="20"/>
              </w:rPr>
            </w:pPr>
          </w:p>
          <w:p w14:paraId="252BDD3D" w14:textId="77777777" w:rsidR="004171E2" w:rsidRPr="006E46AD" w:rsidRDefault="004171E2" w:rsidP="00D12EB7">
            <w:pPr>
              <w:widowControl w:val="0"/>
              <w:numPr>
                <w:ilvl w:val="0"/>
                <w:numId w:val="6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ED32403" w14:textId="77777777" w:rsidR="004171E2" w:rsidRPr="00F00D94" w:rsidRDefault="004171E2" w:rsidP="0005458C">
            <w:pPr>
              <w:pStyle w:val="ListParagraph"/>
              <w:spacing w:after="240"/>
              <w:jc w:val="both"/>
              <w:rPr>
                <w:rFonts w:ascii="Arial" w:hAnsi="Arial" w:cs="Arial"/>
                <w:b/>
              </w:rPr>
            </w:pPr>
          </w:p>
          <w:p w14:paraId="25193912" w14:textId="77777777" w:rsidR="004171E2" w:rsidRPr="00F00D94" w:rsidRDefault="004171E2" w:rsidP="00D12EB7">
            <w:pPr>
              <w:widowControl w:val="0"/>
              <w:numPr>
                <w:ilvl w:val="0"/>
                <w:numId w:val="6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3AF20EF" w14:textId="77777777" w:rsidR="004171E2" w:rsidRPr="00F00D94" w:rsidRDefault="004171E2" w:rsidP="0005458C">
            <w:pPr>
              <w:pStyle w:val="ListParagraph"/>
              <w:spacing w:after="240"/>
              <w:jc w:val="both"/>
              <w:rPr>
                <w:rFonts w:ascii="Arial" w:hAnsi="Arial" w:cs="Arial"/>
                <w:b/>
              </w:rPr>
            </w:pPr>
          </w:p>
          <w:p w14:paraId="008F4FEA" w14:textId="77777777" w:rsidR="004171E2" w:rsidRPr="00F00D94" w:rsidRDefault="004171E2" w:rsidP="00D12EB7">
            <w:pPr>
              <w:widowControl w:val="0"/>
              <w:numPr>
                <w:ilvl w:val="0"/>
                <w:numId w:val="6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4F96461" w14:textId="77777777" w:rsidR="004171E2" w:rsidRPr="00F00D94" w:rsidRDefault="004171E2" w:rsidP="0005458C">
            <w:pPr>
              <w:pStyle w:val="ListParagraph"/>
              <w:spacing w:after="240"/>
              <w:jc w:val="both"/>
              <w:rPr>
                <w:rFonts w:ascii="Arial" w:hAnsi="Arial" w:cs="Arial"/>
                <w:b/>
              </w:rPr>
            </w:pPr>
          </w:p>
          <w:p w14:paraId="3E8CA2B3" w14:textId="77777777" w:rsidR="004171E2" w:rsidRPr="00F00D94" w:rsidRDefault="004171E2" w:rsidP="00D12EB7">
            <w:pPr>
              <w:widowControl w:val="0"/>
              <w:numPr>
                <w:ilvl w:val="0"/>
                <w:numId w:val="6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44A7A9E" w14:textId="77777777" w:rsidR="004171E2" w:rsidRPr="00F00D94" w:rsidRDefault="004171E2" w:rsidP="0005458C">
            <w:pPr>
              <w:pStyle w:val="APStepItem"/>
              <w:numPr>
                <w:ilvl w:val="0"/>
                <w:numId w:val="0"/>
              </w:numPr>
              <w:spacing w:after="240"/>
              <w:rPr>
                <w:rFonts w:cs="Arial"/>
                <w:b/>
              </w:rPr>
            </w:pPr>
          </w:p>
        </w:tc>
      </w:tr>
    </w:tbl>
    <w:p w14:paraId="7192461E" w14:textId="77777777" w:rsidR="004171E2" w:rsidRPr="00F00D94" w:rsidRDefault="004171E2" w:rsidP="004171E2">
      <w:pPr>
        <w:tabs>
          <w:tab w:val="left" w:pos="-1440"/>
          <w:tab w:val="left" w:pos="720"/>
        </w:tabs>
        <w:spacing w:after="240"/>
        <w:ind w:left="720" w:hanging="720"/>
        <w:jc w:val="both"/>
        <w:rPr>
          <w:rFonts w:ascii="Arial" w:hAnsi="Arial" w:cs="Arial"/>
        </w:rPr>
        <w:sectPr w:rsidR="004171E2" w:rsidRPr="00F00D94" w:rsidSect="004171E2">
          <w:headerReference w:type="default" r:id="rId102"/>
          <w:pgSz w:w="12240" w:h="15840" w:code="1"/>
          <w:pgMar w:top="1440" w:right="1440" w:bottom="1440" w:left="1440" w:header="720" w:footer="720" w:gutter="0"/>
          <w:cols w:space="720"/>
          <w:docGrid w:linePitch="360"/>
        </w:sectPr>
      </w:pPr>
    </w:p>
    <w:p w14:paraId="33F5E82C" w14:textId="0728894E" w:rsidR="004171E2" w:rsidRPr="000706D1" w:rsidRDefault="004171E2" w:rsidP="004171E2">
      <w:pPr>
        <w:pStyle w:val="Heading2"/>
        <w:jc w:val="both"/>
        <w:rPr>
          <w:rFonts w:cs="Arial"/>
          <w:sz w:val="24"/>
        </w:rPr>
      </w:pPr>
      <w:bookmarkStart w:id="79" w:name="_Toc210306844"/>
      <w:r w:rsidRPr="000706D1">
        <w:rPr>
          <w:rFonts w:cs="Arial"/>
          <w:sz w:val="24"/>
        </w:rPr>
        <w:lastRenderedPageBreak/>
        <w:t>N</w:t>
      </w:r>
      <w:r w:rsidR="002A7D42">
        <w:rPr>
          <w:rFonts w:cs="Arial"/>
          <w:sz w:val="24"/>
        </w:rPr>
        <w:t>5</w:t>
      </w:r>
      <w:r w:rsidRPr="000706D1">
        <w:rPr>
          <w:rFonts w:cs="Arial"/>
          <w:sz w:val="24"/>
        </w:rPr>
        <w:t>.  SPECIAL TESTS AND PROVISIONS</w:t>
      </w:r>
      <w:r w:rsidR="002A7D42">
        <w:rPr>
          <w:rFonts w:cs="Arial"/>
          <w:sz w:val="24"/>
        </w:rPr>
        <w:t xml:space="preserve"> – Return of Title IV Funds</w:t>
      </w:r>
      <w:bookmarkEnd w:id="79"/>
    </w:p>
    <w:p w14:paraId="7BD8A13E" w14:textId="77777777" w:rsidR="004171E2" w:rsidRPr="000706D1" w:rsidRDefault="004171E2" w:rsidP="004171E2">
      <w:pPr>
        <w:pStyle w:val="Heading3"/>
        <w:jc w:val="both"/>
        <w:rPr>
          <w:rFonts w:cs="Arial"/>
          <w:sz w:val="24"/>
          <w:szCs w:val="24"/>
        </w:rPr>
      </w:pPr>
      <w:bookmarkStart w:id="80" w:name="_Toc210306845"/>
      <w:r w:rsidRPr="000706D1">
        <w:rPr>
          <w:rFonts w:cs="Arial"/>
          <w:sz w:val="24"/>
          <w:szCs w:val="24"/>
        </w:rPr>
        <w:t>OMB Compliance Requirements</w:t>
      </w:r>
      <w:bookmarkEnd w:id="80"/>
    </w:p>
    <w:p w14:paraId="40AECFBE" w14:textId="77777777" w:rsidR="004171E2" w:rsidRPr="005C1EBC" w:rsidRDefault="004171E2" w:rsidP="004171E2">
      <w:pP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0D648E8F" w14:textId="77777777" w:rsidR="004171E2" w:rsidRPr="00F00D94" w:rsidRDefault="004171E2" w:rsidP="004171E2">
      <w:pP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65BDB1F4" w14:textId="77777777" w:rsidR="004171E2" w:rsidRPr="00F00D94"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960CBB6" w14:textId="332693D3" w:rsidR="004171E2" w:rsidRPr="000706D1" w:rsidRDefault="004171E2" w:rsidP="004171E2">
      <w:pPr>
        <w:spacing w:after="240"/>
        <w:jc w:val="both"/>
        <w:rPr>
          <w:rFonts w:ascii="Arial" w:hAnsi="Arial" w:cs="Arial"/>
          <w:b/>
          <w:sz w:val="24"/>
          <w:szCs w:val="24"/>
        </w:rPr>
      </w:pPr>
      <w:r w:rsidRPr="000706D1">
        <w:rPr>
          <w:rFonts w:ascii="Arial" w:hAnsi="Arial" w:cs="Arial"/>
          <w:b/>
          <w:sz w:val="24"/>
          <w:szCs w:val="24"/>
        </w:rPr>
        <w:t xml:space="preserve">Part </w:t>
      </w:r>
      <w:r w:rsidR="002A7D42">
        <w:rPr>
          <w:rFonts w:ascii="Arial" w:hAnsi="Arial" w:cs="Arial"/>
          <w:b/>
          <w:sz w:val="24"/>
          <w:szCs w:val="24"/>
        </w:rPr>
        <w:t>5</w:t>
      </w:r>
      <w:r w:rsidRPr="000706D1">
        <w:rPr>
          <w:rFonts w:ascii="Arial" w:hAnsi="Arial" w:cs="Arial"/>
          <w:b/>
          <w:sz w:val="24"/>
          <w:szCs w:val="24"/>
        </w:rPr>
        <w:t xml:space="preserve"> OMB Program Specific Requirements</w:t>
      </w:r>
    </w:p>
    <w:p w14:paraId="064EEDA5" w14:textId="73B2444F" w:rsidR="00380F71" w:rsidRPr="00380F71" w:rsidRDefault="00380F71" w:rsidP="00380F71">
      <w:pPr>
        <w:spacing w:after="240"/>
        <w:jc w:val="both"/>
        <w:rPr>
          <w:rFonts w:ascii="Arial" w:hAnsi="Arial" w:cs="Arial"/>
          <w:bCs/>
          <w:iCs/>
        </w:rPr>
      </w:pPr>
      <w:r w:rsidRPr="00380F71">
        <w:rPr>
          <w:rFonts w:ascii="Arial" w:hAnsi="Arial" w:cs="Arial"/>
          <w:bCs/>
          <w:iCs/>
        </w:rPr>
        <w:t>When a recipient of Title IV grant or loan assistance withdraws from an institution during a payment period or period of enrollment in which the recipient began attendance, the institution must determine the amount of Title IV aid earned by the student as of the student’s withdrawal date. If the total amount of Title IV assistance earned by the student is less than the amount that was disbursed to the student or on his or her behalf as of the date of the institution’s determination that the student withdrew, the difference must be returned to the Title IV programs as outlined in this section and no additional disbursements may be made to the student for the payment period or period of enrollment. If the amount the student earned is greater than the amount disbursed, the difference between the amounts must be treated as a post- withdrawal disbursement (34 CFR 668.22(a)(1) through (a)(5)).</w:t>
      </w:r>
    </w:p>
    <w:p w14:paraId="3B17433B" w14:textId="1CFF7663" w:rsidR="002A7D42" w:rsidRPr="00044890" w:rsidRDefault="00380F71" w:rsidP="00414F25">
      <w:pPr>
        <w:spacing w:after="240"/>
        <w:jc w:val="both"/>
        <w:rPr>
          <w:rFonts w:ascii="Arial" w:hAnsi="Arial" w:cs="Arial"/>
          <w:bCs/>
          <w:iCs/>
        </w:rPr>
      </w:pPr>
      <w:r w:rsidRPr="00380F71">
        <w:rPr>
          <w:rFonts w:ascii="Arial" w:hAnsi="Arial" w:cs="Arial"/>
          <w:bCs/>
          <w:iCs/>
        </w:rPr>
        <w:t>A student is considered to have withdrawn from a payment period or period of enrollment (34 CFR 668.22(a)(2)) if the student does not meet one of the withdrawal exemptions and:</w:t>
      </w:r>
    </w:p>
    <w:p w14:paraId="3A2ACE98" w14:textId="03DC389D" w:rsidR="00380F71" w:rsidRPr="00380F71" w:rsidRDefault="00380F71" w:rsidP="00414F25">
      <w:pPr>
        <w:pStyle w:val="ListParagraph"/>
        <w:widowControl w:val="0"/>
        <w:numPr>
          <w:ilvl w:val="0"/>
          <w:numId w:val="59"/>
        </w:numPr>
        <w:suppressAutoHyphens w:val="0"/>
        <w:adjustRightInd/>
        <w:spacing w:after="240"/>
        <w:ind w:left="720" w:right="172"/>
        <w:jc w:val="both"/>
        <w:rPr>
          <w:rFonts w:ascii="Arial" w:hAnsi="Arial" w:cs="Arial"/>
        </w:rPr>
      </w:pPr>
      <w:r w:rsidRPr="00380F71">
        <w:rPr>
          <w:rFonts w:ascii="Arial" w:hAnsi="Arial" w:cs="Arial"/>
          <w:color w:val="1F1D1E"/>
        </w:rPr>
        <w:t xml:space="preserve">For credit hour programs, </w:t>
      </w:r>
      <w:r w:rsidRPr="00380F71">
        <w:rPr>
          <w:rFonts w:ascii="Arial" w:hAnsi="Arial" w:cs="Arial"/>
        </w:rPr>
        <w:t>a student is considered to have withdrawn if the student does not complete all the scheduled days in the payment period or period of enrollment.</w:t>
      </w:r>
    </w:p>
    <w:p w14:paraId="35EC2AE7" w14:textId="77777777" w:rsidR="00380F71" w:rsidRPr="00380F71" w:rsidRDefault="00380F71" w:rsidP="00414F25">
      <w:pPr>
        <w:pStyle w:val="ListParagraph"/>
        <w:widowControl w:val="0"/>
        <w:numPr>
          <w:ilvl w:val="0"/>
          <w:numId w:val="59"/>
        </w:numPr>
        <w:suppressAutoHyphens w:val="0"/>
        <w:adjustRightInd/>
        <w:spacing w:after="240"/>
        <w:ind w:left="720" w:right="198"/>
        <w:jc w:val="both"/>
        <w:rPr>
          <w:rFonts w:ascii="Arial" w:hAnsi="Arial" w:cs="Arial"/>
        </w:rPr>
      </w:pPr>
      <w:r w:rsidRPr="00380F71">
        <w:rPr>
          <w:rFonts w:ascii="Arial" w:hAnsi="Arial" w:cs="Arial"/>
        </w:rPr>
        <w:t>For clock hour programs, a student is considered to have withdrawn if the student does not complete all the clock hours and weeks of instructional time in the payment period or period of</w:t>
      </w:r>
      <w:r w:rsidRPr="00380F71">
        <w:rPr>
          <w:rFonts w:ascii="Arial" w:hAnsi="Arial" w:cs="Arial"/>
          <w:spacing w:val="-1"/>
        </w:rPr>
        <w:t xml:space="preserve"> </w:t>
      </w:r>
      <w:r w:rsidRPr="00380F71">
        <w:rPr>
          <w:rFonts w:ascii="Arial" w:hAnsi="Arial" w:cs="Arial"/>
        </w:rPr>
        <w:t>enrollment.</w:t>
      </w:r>
    </w:p>
    <w:p w14:paraId="4036A8AC" w14:textId="77777777" w:rsidR="00380F71" w:rsidRPr="00380F71" w:rsidRDefault="00380F71" w:rsidP="00414F25">
      <w:pPr>
        <w:pStyle w:val="ListParagraph"/>
        <w:widowControl w:val="0"/>
        <w:numPr>
          <w:ilvl w:val="0"/>
          <w:numId w:val="59"/>
        </w:numPr>
        <w:suppressAutoHyphens w:val="0"/>
        <w:adjustRightInd/>
        <w:spacing w:after="240"/>
        <w:ind w:left="720" w:right="201"/>
        <w:jc w:val="both"/>
        <w:rPr>
          <w:rFonts w:ascii="Arial" w:hAnsi="Arial" w:cs="Arial"/>
        </w:rPr>
      </w:pPr>
      <w:r w:rsidRPr="00380F71">
        <w:rPr>
          <w:rFonts w:ascii="Arial" w:hAnsi="Arial" w:cs="Arial"/>
        </w:rPr>
        <w:t>For a student in a standard or non-standard-term program, excluding a subscription-based program, is considered to have withdrawn if he or she is not scheduled to begin another course within a payment period or period of enrollment for more than 45 calendar days after the end of the module the student ceased attending unless the student is on an approved leave of</w:t>
      </w:r>
      <w:r w:rsidRPr="00380F71">
        <w:rPr>
          <w:rFonts w:ascii="Arial" w:hAnsi="Arial" w:cs="Arial"/>
          <w:spacing w:val="-7"/>
        </w:rPr>
        <w:t xml:space="preserve"> </w:t>
      </w:r>
      <w:r w:rsidRPr="00380F71">
        <w:rPr>
          <w:rFonts w:ascii="Arial" w:hAnsi="Arial" w:cs="Arial"/>
        </w:rPr>
        <w:t>absence.</w:t>
      </w:r>
    </w:p>
    <w:p w14:paraId="52F8511F" w14:textId="77777777" w:rsidR="00380F71" w:rsidRPr="00380F71" w:rsidRDefault="00380F71" w:rsidP="00414F25">
      <w:pPr>
        <w:pStyle w:val="ListParagraph"/>
        <w:widowControl w:val="0"/>
        <w:numPr>
          <w:ilvl w:val="0"/>
          <w:numId w:val="59"/>
        </w:numPr>
        <w:suppressAutoHyphens w:val="0"/>
        <w:adjustRightInd/>
        <w:spacing w:after="240"/>
        <w:ind w:left="720" w:right="185"/>
        <w:jc w:val="both"/>
        <w:rPr>
          <w:rFonts w:ascii="Arial" w:hAnsi="Arial" w:cs="Arial"/>
        </w:rPr>
      </w:pPr>
      <w:r w:rsidRPr="00380F71">
        <w:rPr>
          <w:rFonts w:ascii="Arial" w:hAnsi="Arial" w:cs="Arial"/>
        </w:rPr>
        <w:lastRenderedPageBreak/>
        <w:t>For a student in a subscription-based or a non-term program, the student is unable to resume attendance within a payment period or period of enrollment for more than 60 days after ceasing attendance, unless the student is on approved leave of absence.</w:t>
      </w:r>
    </w:p>
    <w:p w14:paraId="22E90AAA" w14:textId="5C001C5B" w:rsidR="00380F71" w:rsidRPr="00380F71" w:rsidRDefault="00380F71" w:rsidP="00380F71">
      <w:pPr>
        <w:spacing w:after="240"/>
        <w:jc w:val="both"/>
        <w:rPr>
          <w:rFonts w:ascii="Arial" w:hAnsi="Arial" w:cs="Arial"/>
          <w:bCs/>
          <w:iCs/>
        </w:rPr>
      </w:pPr>
      <w:r w:rsidRPr="00380F71">
        <w:rPr>
          <w:rFonts w:ascii="Arial" w:hAnsi="Arial" w:cs="Arial"/>
          <w:bCs/>
          <w:iCs/>
        </w:rPr>
        <w:t>For Title IV purposes, a program “offered in modules” is a program that uses a standard term or nonstandard-term academic calendar, is not a subscription-based program, and has a course or courses in the program that do not span the entire length of the payment period or period of enrollment (34 CFR 668.22(l)). A student is not considered to have withdrawn from a program offered in modules if the institution obtains written confirmation from the student, at the time that otherwise would have been a withdrawal, of the date that he or she will attend a module that begins later in the same payment period or period of enrollment and, for standard and non-standard-term programs offered in modules, excluding subscription-based programs, that module begins no later than 45 calendar days after the end of the module the student ceased attending.</w:t>
      </w:r>
    </w:p>
    <w:p w14:paraId="0ED498C6" w14:textId="4238A321" w:rsidR="00380F71" w:rsidRPr="00380F71" w:rsidRDefault="00380F71" w:rsidP="00380F71">
      <w:pPr>
        <w:spacing w:after="240"/>
        <w:jc w:val="both"/>
        <w:rPr>
          <w:rFonts w:ascii="Arial" w:hAnsi="Arial" w:cs="Arial"/>
          <w:bCs/>
          <w:iCs/>
        </w:rPr>
      </w:pPr>
      <w:r w:rsidRPr="00380F71">
        <w:rPr>
          <w:rFonts w:ascii="Arial" w:hAnsi="Arial" w:cs="Arial"/>
          <w:bCs/>
          <w:iCs/>
        </w:rPr>
        <w:t>For a subscription-based program, a student is not considered to have withdrawn if the institution obtains written confirmation from the student at the time that otherwise would have been a withdrawal, of the date that he or she will resume attendance, and that date occurs within the same payment period or period of enrollment and is no later than 60 calendar days after the student ceased attendance.</w:t>
      </w:r>
    </w:p>
    <w:p w14:paraId="4459A6FB" w14:textId="5736EE13" w:rsidR="00380F71" w:rsidRPr="00380F71" w:rsidRDefault="00380F71" w:rsidP="00380F71">
      <w:pPr>
        <w:spacing w:after="240"/>
        <w:jc w:val="both"/>
        <w:rPr>
          <w:rFonts w:ascii="Arial" w:hAnsi="Arial" w:cs="Arial"/>
          <w:bCs/>
          <w:iCs/>
        </w:rPr>
      </w:pPr>
      <w:r w:rsidRPr="00380F71">
        <w:rPr>
          <w:rFonts w:ascii="Arial" w:hAnsi="Arial" w:cs="Arial"/>
          <w:bCs/>
          <w:iCs/>
        </w:rPr>
        <w:t>For a non-term program, a student is not considered to have withdrawn if the institution obtains written confirmation from the student at the time that otherwise would have been a withdrawal, of the date that he or she will resume attendance, and that date is no later than 60 calendar days after the student ceased attendance.</w:t>
      </w:r>
    </w:p>
    <w:p w14:paraId="53BA32B0" w14:textId="3E67BB5B" w:rsidR="002A7D42" w:rsidRPr="00044890" w:rsidRDefault="00380F71" w:rsidP="00380F71">
      <w:pPr>
        <w:spacing w:after="240"/>
        <w:jc w:val="both"/>
        <w:rPr>
          <w:rFonts w:ascii="Arial" w:hAnsi="Arial" w:cs="Arial"/>
          <w:bCs/>
          <w:iCs/>
        </w:rPr>
      </w:pPr>
      <w:r w:rsidRPr="00380F71">
        <w:rPr>
          <w:rFonts w:ascii="Arial" w:hAnsi="Arial" w:cs="Arial"/>
          <w:bCs/>
          <w:iCs/>
        </w:rPr>
        <w:t>If the institution obtains the written confirmation, but the student does not return as scheduled, the student is considered to have withdrawn. The student’s withdrawal date and the total number of calendar days in the payment period or period of enrollment are the date and days that would have applied had the student not provided written confirmation of future attendance (34 CFR 668.22(a)(2)(ii)(C)).</w:t>
      </w:r>
    </w:p>
    <w:p w14:paraId="29376F78" w14:textId="77777777" w:rsidR="002A7D42" w:rsidRPr="00044890" w:rsidRDefault="002A7D42" w:rsidP="002A7D42">
      <w:pPr>
        <w:spacing w:after="240"/>
        <w:jc w:val="both"/>
        <w:rPr>
          <w:rFonts w:ascii="Arial" w:hAnsi="Arial" w:cs="Arial"/>
          <w:bCs/>
          <w:i/>
        </w:rPr>
      </w:pPr>
      <w:r w:rsidRPr="00044890">
        <w:rPr>
          <w:rFonts w:ascii="Arial" w:hAnsi="Arial" w:cs="Arial"/>
          <w:bCs/>
          <w:i/>
        </w:rPr>
        <w:t>R2T4 Withdrawal Exemptions</w:t>
      </w:r>
    </w:p>
    <w:p w14:paraId="4EBC06CA" w14:textId="1272F0A8" w:rsidR="002A7D42" w:rsidRPr="00044890" w:rsidRDefault="00380F71" w:rsidP="002A7D42">
      <w:pPr>
        <w:spacing w:after="240"/>
        <w:jc w:val="both"/>
        <w:rPr>
          <w:rFonts w:ascii="Arial" w:hAnsi="Arial" w:cs="Arial"/>
          <w:bCs/>
          <w:iCs/>
        </w:rPr>
      </w:pPr>
      <w:r w:rsidRPr="00380F71">
        <w:rPr>
          <w:rFonts w:ascii="Arial" w:hAnsi="Arial" w:cs="Arial"/>
          <w:bCs/>
          <w:iCs/>
        </w:rPr>
        <w:t>Under 34 CFR 668.22(a)(2)(ii)(A), ED established withdrawal exemption criteria which, if met, allows a student who has withdrawn or otherwise ceased attendance to not be considered a withdrawn student for Title IV purposes, which means that no R2T4 calculation is necessary for that student. Prior to conducting an R2T4 calculation for a student who has ceased attendance during a payment period or period of enrollment, an institution should review the student’s circumstances to see if the student qualifies for any of the R2T4 withdrawal exemptions.</w:t>
      </w:r>
    </w:p>
    <w:p w14:paraId="1E5D5611" w14:textId="77777777" w:rsidR="002A7D42" w:rsidRPr="00044890" w:rsidRDefault="002A7D42" w:rsidP="002A7D42">
      <w:pPr>
        <w:spacing w:after="240"/>
        <w:jc w:val="both"/>
        <w:rPr>
          <w:rFonts w:ascii="Arial" w:hAnsi="Arial" w:cs="Arial"/>
          <w:bCs/>
          <w:iCs/>
        </w:rPr>
      </w:pPr>
      <w:r w:rsidRPr="00044890">
        <w:rPr>
          <w:rFonts w:ascii="Arial" w:hAnsi="Arial" w:cs="Arial"/>
          <w:bCs/>
          <w:iCs/>
        </w:rPr>
        <w:t>The withdrawal exemption categories are as follows:</w:t>
      </w:r>
    </w:p>
    <w:p w14:paraId="7DBB861D" w14:textId="77777777" w:rsidR="002A7D42" w:rsidRPr="00044890" w:rsidRDefault="002A7D42" w:rsidP="002A7D42">
      <w:pPr>
        <w:spacing w:after="240"/>
        <w:jc w:val="both"/>
        <w:rPr>
          <w:rFonts w:ascii="Arial" w:hAnsi="Arial" w:cs="Arial"/>
          <w:bCs/>
          <w:iCs/>
        </w:rPr>
      </w:pPr>
      <w:r w:rsidRPr="00044890">
        <w:rPr>
          <w:rFonts w:ascii="Arial" w:hAnsi="Arial" w:cs="Arial"/>
          <w:bCs/>
          <w:iCs/>
        </w:rPr>
        <w:t>a.</w:t>
      </w:r>
      <w:r w:rsidRPr="00044890">
        <w:rPr>
          <w:rFonts w:ascii="Arial" w:hAnsi="Arial" w:cs="Arial"/>
          <w:bCs/>
          <w:iCs/>
        </w:rPr>
        <w:tab/>
        <w:t>Withdrawal exemption for graduates/completers</w:t>
      </w:r>
    </w:p>
    <w:p w14:paraId="1E1512BA" w14:textId="25E501D2" w:rsidR="002A7D42" w:rsidRPr="00044890" w:rsidRDefault="002A7D42" w:rsidP="002A7D42">
      <w:pPr>
        <w:spacing w:after="240"/>
        <w:ind w:left="1440" w:hanging="720"/>
        <w:jc w:val="both"/>
        <w:rPr>
          <w:rFonts w:ascii="Arial" w:hAnsi="Arial" w:cs="Arial"/>
          <w:bCs/>
          <w:iCs/>
        </w:rPr>
      </w:pPr>
      <w:r w:rsidRPr="00044890">
        <w:rPr>
          <w:rFonts w:ascii="Arial" w:hAnsi="Arial" w:cs="Arial"/>
          <w:bCs/>
          <w:iCs/>
        </w:rPr>
        <w:t>•</w:t>
      </w:r>
      <w:r w:rsidRPr="00044890">
        <w:rPr>
          <w:rFonts w:ascii="Arial" w:hAnsi="Arial" w:cs="Arial"/>
          <w:bCs/>
          <w:iCs/>
        </w:rPr>
        <w:tab/>
      </w:r>
      <w:r w:rsidR="00380F71" w:rsidRPr="00380F71">
        <w:rPr>
          <w:rFonts w:ascii="Arial" w:hAnsi="Arial" w:cs="Arial"/>
          <w:bCs/>
          <w:iCs/>
        </w:rPr>
        <w:t>A student who completes all the requirements for graduation from his or her program before completing the days or hours in the period that he or she was scheduled to complete is not considered to have withdrawn</w:t>
      </w:r>
    </w:p>
    <w:p w14:paraId="297C3DB7" w14:textId="78134453" w:rsidR="002A7D42" w:rsidRPr="00044890" w:rsidRDefault="00380F71" w:rsidP="002A7D42">
      <w:pPr>
        <w:spacing w:after="240"/>
        <w:ind w:left="720"/>
        <w:jc w:val="both"/>
        <w:rPr>
          <w:rFonts w:ascii="Arial" w:hAnsi="Arial" w:cs="Arial"/>
          <w:bCs/>
          <w:iCs/>
        </w:rPr>
      </w:pPr>
      <w:r w:rsidRPr="00380F71">
        <w:rPr>
          <w:rFonts w:ascii="Arial" w:hAnsi="Arial" w:cs="Arial"/>
          <w:bCs/>
          <w:iCs/>
        </w:rPr>
        <w:t>Note: Institutions with clock-hour programs in which a student graduates without successfully completing all of the established hours in the program must re- prorate the amount of Title IV aid and only pay the student for the hours successfully completed. See the 2024-2025 FSA Handbook, Volumes 5, 7 and 8 for more information and examples.</w:t>
      </w:r>
    </w:p>
    <w:p w14:paraId="1E586EA6" w14:textId="77777777" w:rsidR="002A7D42" w:rsidRPr="00044890" w:rsidRDefault="002A7D42" w:rsidP="002A7D42">
      <w:pPr>
        <w:spacing w:after="240"/>
        <w:jc w:val="both"/>
        <w:rPr>
          <w:rFonts w:ascii="Arial" w:hAnsi="Arial" w:cs="Arial"/>
          <w:bCs/>
          <w:iCs/>
        </w:rPr>
      </w:pPr>
      <w:r w:rsidRPr="00044890">
        <w:rPr>
          <w:rFonts w:ascii="Arial" w:hAnsi="Arial" w:cs="Arial"/>
          <w:bCs/>
          <w:iCs/>
        </w:rPr>
        <w:t>b.</w:t>
      </w:r>
      <w:r w:rsidRPr="00044890">
        <w:rPr>
          <w:rFonts w:ascii="Arial" w:hAnsi="Arial" w:cs="Arial"/>
          <w:bCs/>
          <w:iCs/>
        </w:rPr>
        <w:tab/>
        <w:t>Withdrawal exemptions for programs offered in modules</w:t>
      </w:r>
    </w:p>
    <w:p w14:paraId="5587FBA3" w14:textId="14C3E845" w:rsidR="00380F71" w:rsidRPr="00380F71" w:rsidRDefault="002A7D42" w:rsidP="00380F71">
      <w:pPr>
        <w:spacing w:after="240"/>
        <w:ind w:left="1440" w:hanging="720"/>
        <w:jc w:val="both"/>
        <w:rPr>
          <w:rFonts w:ascii="Arial" w:hAnsi="Arial" w:cs="Arial"/>
          <w:bCs/>
          <w:iCs/>
        </w:rPr>
      </w:pPr>
      <w:r w:rsidRPr="00044890">
        <w:rPr>
          <w:rFonts w:ascii="Arial" w:hAnsi="Arial" w:cs="Arial"/>
          <w:bCs/>
          <w:iCs/>
        </w:rPr>
        <w:lastRenderedPageBreak/>
        <w:t>(1)</w:t>
      </w:r>
      <w:r w:rsidRPr="00044890">
        <w:rPr>
          <w:rFonts w:ascii="Arial" w:hAnsi="Arial" w:cs="Arial"/>
          <w:bCs/>
          <w:iCs/>
        </w:rPr>
        <w:tab/>
      </w:r>
      <w:r w:rsidR="00380F71" w:rsidRPr="00380F71">
        <w:rPr>
          <w:rFonts w:ascii="Arial" w:hAnsi="Arial" w:cs="Arial"/>
          <w:bCs/>
          <w:iCs/>
        </w:rPr>
        <w:t>A student is not considered to have withdrawn if the student successfully completes one module that includes 49 percent or more of the number of days in the payment period, excluding scheduled breaks of five or more consecutive days and all days between modules</w:t>
      </w:r>
    </w:p>
    <w:p w14:paraId="5142483D" w14:textId="6D79D23F" w:rsidR="00380F71" w:rsidRPr="00380F71" w:rsidRDefault="00380F71" w:rsidP="00380F71">
      <w:pPr>
        <w:spacing w:after="240"/>
        <w:ind w:left="1440" w:hanging="720"/>
        <w:jc w:val="both"/>
        <w:rPr>
          <w:rFonts w:ascii="Arial" w:hAnsi="Arial" w:cs="Arial"/>
          <w:bCs/>
          <w:iCs/>
        </w:rPr>
      </w:pPr>
      <w:r w:rsidRPr="00380F71">
        <w:rPr>
          <w:rFonts w:ascii="Arial" w:hAnsi="Arial" w:cs="Arial"/>
          <w:bCs/>
          <w:iCs/>
        </w:rPr>
        <w:t>(2)</w:t>
      </w:r>
      <w:r w:rsidRPr="00380F71">
        <w:rPr>
          <w:rFonts w:ascii="Arial" w:hAnsi="Arial" w:cs="Arial"/>
          <w:bCs/>
          <w:iCs/>
        </w:rPr>
        <w:tab/>
        <w:t>A student is not considered to have withdrawn if the student successfully completes a combination of modules that when combined contain 49 percent or more of the number of days in the payment period, excluding scheduled breaks of five or more consecutive days and all days between modules</w:t>
      </w:r>
    </w:p>
    <w:p w14:paraId="7FC6A660" w14:textId="76DA3B6D" w:rsidR="002A7D42" w:rsidRPr="00380F71" w:rsidRDefault="00380F71" w:rsidP="00380F71">
      <w:pPr>
        <w:spacing w:after="240"/>
        <w:ind w:left="1440" w:hanging="720"/>
        <w:jc w:val="both"/>
        <w:rPr>
          <w:rFonts w:ascii="Arial" w:hAnsi="Arial" w:cs="Arial"/>
          <w:bCs/>
          <w:iCs/>
        </w:rPr>
      </w:pPr>
      <w:r w:rsidRPr="00380F71">
        <w:rPr>
          <w:rFonts w:ascii="Arial" w:hAnsi="Arial" w:cs="Arial"/>
          <w:bCs/>
          <w:iCs/>
        </w:rPr>
        <w:t>(3)</w:t>
      </w:r>
      <w:r w:rsidRPr="00380F71">
        <w:rPr>
          <w:rFonts w:ascii="Arial" w:hAnsi="Arial" w:cs="Arial"/>
          <w:bCs/>
          <w:iCs/>
        </w:rPr>
        <w:tab/>
        <w:t>A student is not considered to have withdrawn if the student successfully completes coursework equal to or greater than the coursework required for the institution’s definition of a half-time student under section 668.2 for the payment period</w:t>
      </w:r>
    </w:p>
    <w:p w14:paraId="02E99C54" w14:textId="0803F274" w:rsidR="002A7D42" w:rsidRPr="00380F71" w:rsidRDefault="00380F71" w:rsidP="002A7D42">
      <w:pPr>
        <w:spacing w:after="240"/>
        <w:jc w:val="both"/>
        <w:rPr>
          <w:rFonts w:ascii="Arial" w:hAnsi="Arial" w:cs="Arial"/>
          <w:bCs/>
          <w:iCs/>
        </w:rPr>
      </w:pPr>
      <w:r w:rsidRPr="00380F71">
        <w:rPr>
          <w:rFonts w:ascii="Arial" w:hAnsi="Arial" w:cs="Arial"/>
        </w:rPr>
        <w:t xml:space="preserve">For additional information and examples regarding withdrawal exemptions, please see the 2024-2025 </w:t>
      </w:r>
      <w:r w:rsidRPr="00380F71">
        <w:rPr>
          <w:rFonts w:ascii="Arial" w:hAnsi="Arial" w:cs="Arial"/>
          <w:i/>
        </w:rPr>
        <w:t>FSA Handbook</w:t>
      </w:r>
      <w:r w:rsidRPr="00380F71">
        <w:rPr>
          <w:rFonts w:ascii="Arial" w:hAnsi="Arial" w:cs="Arial"/>
        </w:rPr>
        <w:t>, Volume 5, Chapter 1.</w:t>
      </w:r>
    </w:p>
    <w:p w14:paraId="571EE1E9" w14:textId="77777777" w:rsidR="002A7D42" w:rsidRPr="00044890" w:rsidRDefault="002A7D42" w:rsidP="002A7D42">
      <w:pPr>
        <w:spacing w:after="240"/>
        <w:jc w:val="both"/>
        <w:rPr>
          <w:rFonts w:ascii="Arial" w:hAnsi="Arial" w:cs="Arial"/>
          <w:bCs/>
          <w:i/>
        </w:rPr>
      </w:pPr>
      <w:r w:rsidRPr="00044890">
        <w:rPr>
          <w:rFonts w:ascii="Arial" w:hAnsi="Arial" w:cs="Arial"/>
          <w:bCs/>
          <w:i/>
        </w:rPr>
        <w:t>Post-withdrawal Disbursements</w:t>
      </w:r>
    </w:p>
    <w:p w14:paraId="56CD859B" w14:textId="1CBED6AC" w:rsidR="002A7D42" w:rsidRPr="00044890" w:rsidRDefault="00380F71" w:rsidP="002A7D42">
      <w:pPr>
        <w:spacing w:after="240"/>
        <w:jc w:val="both"/>
        <w:rPr>
          <w:rFonts w:ascii="Arial" w:hAnsi="Arial" w:cs="Arial"/>
          <w:bCs/>
          <w:iCs/>
        </w:rPr>
      </w:pPr>
      <w:r w:rsidRPr="00380F71">
        <w:rPr>
          <w:rFonts w:ascii="Arial" w:hAnsi="Arial" w:cs="Arial"/>
          <w:bCs/>
          <w:iCs/>
        </w:rPr>
        <w:t>Post-withdrawal disbursements must be made from available grant funds before available loan funds (34 CFR 668.22(a)(6)). Post-withdrawal disbursements of grant funds may be credited to the student’s account, without the student’s authorization, for current-year outstanding charges for tuition, fees, and food and housing (if contracted with the institution) on the student’s account, up to the amount of those outstanding charges. For current-year outstanding charges other than tuition, fees, and food and housing (if contracted with the institution), the institution must have the student’s authorization to credit the student’s account with grant funds. Any grant funds not disbursed to the student’s account must be disbursed to the student no later than 45 days after the date of the institution’s determination that the student withdrew (34 CFR 668.22(a)(6)(ii)(B)(1)).</w:t>
      </w:r>
    </w:p>
    <w:p w14:paraId="1859579D" w14:textId="5B80D969" w:rsidR="00380F71" w:rsidRPr="00380F71" w:rsidRDefault="00380F71" w:rsidP="00380F71">
      <w:pPr>
        <w:spacing w:after="240"/>
        <w:jc w:val="both"/>
        <w:rPr>
          <w:rFonts w:ascii="Arial" w:hAnsi="Arial" w:cs="Arial"/>
          <w:bCs/>
          <w:iCs/>
        </w:rPr>
      </w:pPr>
      <w:r w:rsidRPr="00380F71">
        <w:rPr>
          <w:rFonts w:ascii="Arial" w:hAnsi="Arial" w:cs="Arial"/>
          <w:bCs/>
          <w:iCs/>
        </w:rPr>
        <w:t>Post-withdrawal disbursements of loan funds may be credited to the student’s account if current-year outstanding charges exist on the student’s account, up to the amount of the current-year outstanding charges only after obtaining confirmation from the student, or parent in the case of a parent PLUS loan, that he or she still wishes to have some or all of the loan funds disbursed.</w:t>
      </w:r>
    </w:p>
    <w:p w14:paraId="71DEFB84" w14:textId="3682E64C" w:rsidR="002A7D42" w:rsidRPr="00044890" w:rsidRDefault="00380F71" w:rsidP="00380F71">
      <w:pPr>
        <w:spacing w:after="240"/>
        <w:jc w:val="both"/>
        <w:rPr>
          <w:rFonts w:ascii="Arial" w:hAnsi="Arial" w:cs="Arial"/>
          <w:bCs/>
          <w:iCs/>
        </w:rPr>
      </w:pPr>
      <w:r w:rsidRPr="00380F71">
        <w:rPr>
          <w:rFonts w:ascii="Arial" w:hAnsi="Arial" w:cs="Arial"/>
          <w:bCs/>
          <w:iCs/>
        </w:rPr>
        <w:t>If the institution wishes to credit the student’s account with a post-withdrawal disbursement of loan funds or wishes to pay a post-withdrawal disbursement of loan funds directly to the student, or parent in the case of a parent PLUS loan, the institution must, within 30 days of the date the institution determines that the student withdrew, send a written notification to the student, or parent in the case of a parent PLUS loan, that</w:t>
      </w:r>
    </w:p>
    <w:p w14:paraId="49C80AB7" w14:textId="16B7D200" w:rsidR="00380F71" w:rsidRPr="00380F71" w:rsidRDefault="002A7D42" w:rsidP="00380F71">
      <w:pPr>
        <w:spacing w:after="240"/>
        <w:ind w:left="720" w:hanging="720"/>
        <w:jc w:val="both"/>
        <w:rPr>
          <w:rFonts w:ascii="Arial" w:hAnsi="Arial" w:cs="Arial"/>
          <w:bCs/>
          <w:iCs/>
        </w:rPr>
      </w:pPr>
      <w:r w:rsidRPr="00044890">
        <w:rPr>
          <w:rFonts w:ascii="Arial" w:hAnsi="Arial" w:cs="Arial"/>
          <w:bCs/>
          <w:iCs/>
        </w:rPr>
        <w:t>a.</w:t>
      </w:r>
      <w:r w:rsidRPr="00044890">
        <w:rPr>
          <w:rFonts w:ascii="Arial" w:hAnsi="Arial" w:cs="Arial"/>
          <w:bCs/>
          <w:iCs/>
        </w:rPr>
        <w:tab/>
      </w:r>
      <w:r w:rsidR="00380F71" w:rsidRPr="00380F71">
        <w:rPr>
          <w:rFonts w:ascii="Arial" w:hAnsi="Arial" w:cs="Arial"/>
          <w:bCs/>
          <w:iCs/>
        </w:rPr>
        <w:t>Asks the student or parent if he or she wants a post-withdrawal disbursement of some or all of the loan funds credited to the student’s account, or a post- withdrawal disbursement of some or all of the loan funds as a direct disbursement</w:t>
      </w:r>
      <w:r w:rsidR="00380F71">
        <w:rPr>
          <w:rFonts w:ascii="Arial" w:hAnsi="Arial" w:cs="Arial"/>
          <w:bCs/>
          <w:iCs/>
        </w:rPr>
        <w:t>/</w:t>
      </w:r>
    </w:p>
    <w:p w14:paraId="04431DFA" w14:textId="08D199A4" w:rsidR="00380F71" w:rsidRPr="00380F71" w:rsidRDefault="00380F71" w:rsidP="00380F71">
      <w:pPr>
        <w:spacing w:after="240"/>
        <w:ind w:left="720" w:hanging="720"/>
        <w:jc w:val="both"/>
        <w:rPr>
          <w:rFonts w:ascii="Arial" w:hAnsi="Arial" w:cs="Arial"/>
          <w:bCs/>
          <w:iCs/>
        </w:rPr>
      </w:pPr>
      <w:r w:rsidRPr="00380F71">
        <w:rPr>
          <w:rFonts w:ascii="Arial" w:hAnsi="Arial" w:cs="Arial"/>
          <w:bCs/>
          <w:iCs/>
        </w:rPr>
        <w:t>b.</w:t>
      </w:r>
      <w:r w:rsidRPr="00380F71">
        <w:rPr>
          <w:rFonts w:ascii="Arial" w:hAnsi="Arial" w:cs="Arial"/>
          <w:bCs/>
          <w:iCs/>
        </w:rPr>
        <w:tab/>
        <w:t>Explains that, if the borrower does not want the loan funds credited to the student’s account, it is up to the institution to decide whether it will disburse the loan funds as a direct disbursement to the borrower;</w:t>
      </w:r>
    </w:p>
    <w:p w14:paraId="76B69BA2" w14:textId="57FD563D" w:rsidR="00380F71" w:rsidRPr="00380F71" w:rsidRDefault="00380F71" w:rsidP="00380F71">
      <w:pPr>
        <w:spacing w:after="240"/>
        <w:ind w:left="720" w:hanging="720"/>
        <w:jc w:val="both"/>
        <w:rPr>
          <w:rFonts w:ascii="Arial" w:hAnsi="Arial" w:cs="Arial"/>
          <w:bCs/>
          <w:iCs/>
        </w:rPr>
      </w:pPr>
      <w:r w:rsidRPr="00380F71">
        <w:rPr>
          <w:rFonts w:ascii="Arial" w:hAnsi="Arial" w:cs="Arial"/>
          <w:bCs/>
          <w:iCs/>
        </w:rPr>
        <w:t>c.</w:t>
      </w:r>
      <w:r w:rsidRPr="00380F71">
        <w:rPr>
          <w:rFonts w:ascii="Arial" w:hAnsi="Arial" w:cs="Arial"/>
          <w:bCs/>
          <w:iCs/>
        </w:rPr>
        <w:tab/>
        <w:t>Explains the obligation of the borrower to repay any loan funds disbursed; and</w:t>
      </w:r>
    </w:p>
    <w:p w14:paraId="5529C5E8" w14:textId="567D80FF" w:rsidR="002A7D42" w:rsidRPr="00044890" w:rsidRDefault="00380F71" w:rsidP="00380F71">
      <w:pPr>
        <w:spacing w:after="240"/>
        <w:ind w:left="720" w:hanging="720"/>
        <w:jc w:val="both"/>
        <w:rPr>
          <w:rFonts w:ascii="Arial" w:hAnsi="Arial" w:cs="Arial"/>
          <w:bCs/>
          <w:iCs/>
        </w:rPr>
      </w:pPr>
      <w:r w:rsidRPr="00380F71">
        <w:rPr>
          <w:rFonts w:ascii="Arial" w:hAnsi="Arial" w:cs="Arial"/>
          <w:bCs/>
          <w:iCs/>
        </w:rPr>
        <w:t>d.</w:t>
      </w:r>
      <w:r w:rsidRPr="00380F71">
        <w:rPr>
          <w:rFonts w:ascii="Arial" w:hAnsi="Arial" w:cs="Arial"/>
          <w:bCs/>
          <w:iCs/>
        </w:rPr>
        <w:tab/>
        <w:t xml:space="preserve">Explains that no post-withdrawal disbursement will be made (other than a credit of grant funds to the student’s account for tuition and fees and food and housing, if contracted for with the institution, or a credit of grant funds for other institutional charges for which the institution has the student’s authorization or a direct disbursement of grant funds) unless the student or parent responds within </w:t>
      </w:r>
      <w:r w:rsidRPr="00380F71">
        <w:rPr>
          <w:rFonts w:ascii="Arial" w:hAnsi="Arial" w:cs="Arial"/>
          <w:bCs/>
          <w:iCs/>
        </w:rPr>
        <w:lastRenderedPageBreak/>
        <w:t>14 days of the date the institution sent the notification (or a later time frame set by the institution), or the institution chooses to make a post-withdrawal disbursement based on a late response (34 CFR668.22(a)(6) and 668.164(c)).</w:t>
      </w:r>
    </w:p>
    <w:p w14:paraId="30D2C7DF" w14:textId="1FF02C82" w:rsidR="00380F71" w:rsidRPr="00380F71" w:rsidRDefault="00380F71" w:rsidP="00380F71">
      <w:pPr>
        <w:spacing w:after="240"/>
        <w:jc w:val="both"/>
        <w:rPr>
          <w:rFonts w:ascii="Arial" w:hAnsi="Arial" w:cs="Arial"/>
          <w:bCs/>
          <w:iCs/>
        </w:rPr>
      </w:pPr>
      <w:r w:rsidRPr="00380F71">
        <w:rPr>
          <w:rFonts w:ascii="Arial" w:hAnsi="Arial" w:cs="Arial"/>
          <w:bCs/>
          <w:iCs/>
        </w:rPr>
        <w:t>If a student or parent accepts a post-withdrawal disbursement of loan funds, the institution must make the disbursement within 180 days after the date of the institution’s determination that the student withdrew and in accordance with the request of the recipient (34 CFR668.22(a)(6)(iii)(C) and 668.164(c)(1), (c)(2), (c)(3), and (j)).</w:t>
      </w:r>
    </w:p>
    <w:p w14:paraId="3FA9406C" w14:textId="214A94A6" w:rsidR="002A7D42" w:rsidRPr="00380F71" w:rsidRDefault="00380F71" w:rsidP="00380F71">
      <w:pPr>
        <w:spacing w:after="240"/>
        <w:jc w:val="both"/>
        <w:rPr>
          <w:rFonts w:ascii="Arial" w:hAnsi="Arial" w:cs="Arial"/>
          <w:bCs/>
          <w:iCs/>
        </w:rPr>
      </w:pPr>
      <w:r w:rsidRPr="00380F71">
        <w:rPr>
          <w:rFonts w:ascii="Arial" w:hAnsi="Arial" w:cs="Arial"/>
          <w:bCs/>
          <w:iCs/>
        </w:rPr>
        <w:t>Subject to the above, an institution may credit a student’s account for minor prior-award- year charges, if not more than $200 (34 CFR668.164(c)(3)).</w:t>
      </w:r>
    </w:p>
    <w:p w14:paraId="5B19361D" w14:textId="77777777" w:rsidR="002A7D42" w:rsidRPr="00380F71" w:rsidRDefault="002A7D42" w:rsidP="00380F71">
      <w:pPr>
        <w:spacing w:after="240"/>
        <w:jc w:val="both"/>
        <w:rPr>
          <w:rFonts w:ascii="Arial" w:hAnsi="Arial" w:cs="Arial"/>
          <w:bCs/>
          <w:i/>
        </w:rPr>
      </w:pPr>
      <w:r w:rsidRPr="00380F71">
        <w:rPr>
          <w:rFonts w:ascii="Arial" w:hAnsi="Arial" w:cs="Arial"/>
          <w:bCs/>
          <w:i/>
        </w:rPr>
        <w:t>Withdrawal Date</w:t>
      </w:r>
    </w:p>
    <w:p w14:paraId="371373F3" w14:textId="77777777" w:rsidR="00380F71" w:rsidRPr="00380F71" w:rsidRDefault="00380F71" w:rsidP="00414F25">
      <w:pPr>
        <w:pStyle w:val="BodyText"/>
        <w:jc w:val="both"/>
        <w:rPr>
          <w:rFonts w:ascii="Arial" w:hAnsi="Arial" w:cs="Arial"/>
          <w:szCs w:val="20"/>
        </w:rPr>
      </w:pPr>
      <w:r w:rsidRPr="00380F71">
        <w:rPr>
          <w:rFonts w:ascii="Arial" w:hAnsi="Arial" w:cs="Arial"/>
          <w:szCs w:val="20"/>
        </w:rPr>
        <w:t>If an institution is required to take attendance, the withdrawal date is the last date of academic attendance, as determined by the institution from its attendance records. An institution is required to take attendance if:</w:t>
      </w:r>
    </w:p>
    <w:p w14:paraId="31472613" w14:textId="77777777" w:rsidR="00380F71" w:rsidRPr="00380F71" w:rsidRDefault="00380F71" w:rsidP="00414F25">
      <w:pPr>
        <w:pStyle w:val="ListParagraph"/>
        <w:widowControl w:val="0"/>
        <w:numPr>
          <w:ilvl w:val="0"/>
          <w:numId w:val="70"/>
        </w:numPr>
        <w:tabs>
          <w:tab w:val="left" w:pos="8910"/>
        </w:tabs>
        <w:suppressAutoHyphens w:val="0"/>
        <w:adjustRightInd/>
        <w:spacing w:after="240"/>
        <w:ind w:left="720"/>
        <w:jc w:val="both"/>
        <w:rPr>
          <w:rFonts w:ascii="Arial" w:hAnsi="Arial" w:cs="Arial"/>
        </w:rPr>
      </w:pPr>
      <w:r w:rsidRPr="00380F71">
        <w:rPr>
          <w:rFonts w:ascii="Arial" w:hAnsi="Arial" w:cs="Arial"/>
        </w:rPr>
        <w:t>The institution is required to take attendance for some or all of its students by an entity outside of the institution (such as the institution’s accrediting agency or state</w:t>
      </w:r>
      <w:r w:rsidRPr="00380F71">
        <w:rPr>
          <w:rFonts w:ascii="Arial" w:hAnsi="Arial" w:cs="Arial"/>
          <w:spacing w:val="-1"/>
        </w:rPr>
        <w:t xml:space="preserve"> </w:t>
      </w:r>
      <w:r w:rsidRPr="00380F71">
        <w:rPr>
          <w:rFonts w:ascii="Arial" w:hAnsi="Arial" w:cs="Arial"/>
        </w:rPr>
        <w:t>agency);</w:t>
      </w:r>
    </w:p>
    <w:p w14:paraId="545C6E4A" w14:textId="77777777" w:rsidR="00380F71" w:rsidRPr="00380F71" w:rsidRDefault="00380F71" w:rsidP="00D12EB7">
      <w:pPr>
        <w:pStyle w:val="ListParagraph"/>
        <w:widowControl w:val="0"/>
        <w:numPr>
          <w:ilvl w:val="0"/>
          <w:numId w:val="70"/>
        </w:numPr>
        <w:suppressAutoHyphens w:val="0"/>
        <w:adjustRightInd/>
        <w:spacing w:after="240"/>
        <w:ind w:left="720"/>
        <w:jc w:val="both"/>
        <w:rPr>
          <w:rFonts w:ascii="Arial" w:hAnsi="Arial" w:cs="Arial"/>
        </w:rPr>
      </w:pPr>
      <w:r w:rsidRPr="00380F71">
        <w:rPr>
          <w:rFonts w:ascii="Arial" w:hAnsi="Arial" w:cs="Arial"/>
        </w:rPr>
        <w:t>The institution itself has a requirement that its instructors take attendance;</w:t>
      </w:r>
      <w:r w:rsidRPr="00380F71">
        <w:rPr>
          <w:rFonts w:ascii="Arial" w:hAnsi="Arial" w:cs="Arial"/>
          <w:spacing w:val="-11"/>
        </w:rPr>
        <w:t xml:space="preserve"> </w:t>
      </w:r>
      <w:r w:rsidRPr="00380F71">
        <w:rPr>
          <w:rFonts w:ascii="Arial" w:hAnsi="Arial" w:cs="Arial"/>
        </w:rPr>
        <w:t>or</w:t>
      </w:r>
    </w:p>
    <w:p w14:paraId="0F063911" w14:textId="77777777" w:rsidR="00380F71" w:rsidRPr="00380F71" w:rsidRDefault="00380F71" w:rsidP="00D12EB7">
      <w:pPr>
        <w:pStyle w:val="ListParagraph"/>
        <w:widowControl w:val="0"/>
        <w:numPr>
          <w:ilvl w:val="0"/>
          <w:numId w:val="70"/>
        </w:numPr>
        <w:suppressAutoHyphens w:val="0"/>
        <w:adjustRightInd/>
        <w:spacing w:after="240"/>
        <w:ind w:left="720" w:right="159"/>
        <w:jc w:val="both"/>
        <w:rPr>
          <w:rFonts w:ascii="Arial" w:hAnsi="Arial" w:cs="Arial"/>
        </w:rPr>
      </w:pPr>
      <w:r w:rsidRPr="00380F71">
        <w:rPr>
          <w:rFonts w:ascii="Arial" w:hAnsi="Arial" w:cs="Arial"/>
        </w:rPr>
        <w:t>The institution or an outside entity has a requirement that can only be met by taking attendance or a comparable process, including, but not limited to, requiring that students in a program demonstrate attendance in the classes of that program or a portion of that program (34 CFR</w:t>
      </w:r>
      <w:r w:rsidRPr="00380F71">
        <w:rPr>
          <w:rFonts w:ascii="Arial" w:hAnsi="Arial" w:cs="Arial"/>
          <w:spacing w:val="-4"/>
        </w:rPr>
        <w:t xml:space="preserve"> </w:t>
      </w:r>
      <w:r w:rsidRPr="00380F71">
        <w:rPr>
          <w:rFonts w:ascii="Arial" w:hAnsi="Arial" w:cs="Arial"/>
        </w:rPr>
        <w:t>668.22(b)(3)).</w:t>
      </w:r>
    </w:p>
    <w:p w14:paraId="213D5719" w14:textId="77777777" w:rsidR="00380F71" w:rsidRPr="00380F71" w:rsidRDefault="00380F71" w:rsidP="00380F71">
      <w:pPr>
        <w:pStyle w:val="BodyText"/>
        <w:ind w:left="720" w:right="159"/>
        <w:jc w:val="both"/>
        <w:rPr>
          <w:rFonts w:ascii="Arial" w:hAnsi="Arial" w:cs="Arial"/>
          <w:szCs w:val="20"/>
        </w:rPr>
      </w:pPr>
      <w:r w:rsidRPr="00380F71">
        <w:rPr>
          <w:rFonts w:ascii="Arial" w:hAnsi="Arial" w:cs="Arial"/>
          <w:szCs w:val="20"/>
        </w:rPr>
        <w:t xml:space="preserve">Note: As provided in </w:t>
      </w:r>
      <w:hyperlink r:id="rId103">
        <w:r w:rsidRPr="00380F71">
          <w:rPr>
            <w:rFonts w:ascii="Arial" w:hAnsi="Arial" w:cs="Arial"/>
            <w:color w:val="2D74B5"/>
            <w:szCs w:val="20"/>
            <w:u w:val="single" w:color="2D74B5"/>
          </w:rPr>
          <w:t>ED’s Program Integrity Q&amp;As for Return of Title IV Funds,</w:t>
        </w:r>
      </w:hyperlink>
      <w:r w:rsidRPr="00380F71">
        <w:rPr>
          <w:rFonts w:ascii="Arial" w:hAnsi="Arial" w:cs="Arial"/>
          <w:color w:val="2D74B5"/>
          <w:szCs w:val="20"/>
        </w:rPr>
        <w:t xml:space="preserve"> </w:t>
      </w:r>
      <w:r w:rsidRPr="00380F71">
        <w:rPr>
          <w:rFonts w:ascii="Arial" w:hAnsi="Arial" w:cs="Arial"/>
          <w:szCs w:val="20"/>
        </w:rPr>
        <w:t>t</w:t>
      </w:r>
      <w:r w:rsidRPr="00380F71">
        <w:rPr>
          <w:rFonts w:ascii="Arial" w:hAnsi="Arial" w:cs="Arial"/>
          <w:color w:val="030913"/>
          <w:szCs w:val="20"/>
        </w:rPr>
        <w:t>he monitoring of whether online students log into classes does not by itself result in an institution being an institution that is required to take attendance for Title IV, HEA program purposes because monitoring logins alone is not monitoring academic engagement (as defined under 34 CFR 600.2). However, an institution that collects and maintains information about students’ online activities for the purpose of tracking academic engagement is considered to be an institution that is required to take attendance for programs involving such tracking if that</w:t>
      </w:r>
      <w:r w:rsidRPr="00380F71">
        <w:rPr>
          <w:rFonts w:ascii="Arial" w:hAnsi="Arial" w:cs="Arial"/>
          <w:color w:val="030913"/>
          <w:spacing w:val="-19"/>
          <w:szCs w:val="20"/>
        </w:rPr>
        <w:t xml:space="preserve"> </w:t>
      </w:r>
      <w:r w:rsidRPr="00380F71">
        <w:rPr>
          <w:rFonts w:ascii="Arial" w:hAnsi="Arial" w:cs="Arial"/>
          <w:color w:val="030913"/>
          <w:szCs w:val="20"/>
        </w:rPr>
        <w:t>tracking:</w:t>
      </w:r>
    </w:p>
    <w:p w14:paraId="49430FA8" w14:textId="77777777" w:rsidR="00380F71" w:rsidRPr="00380F71" w:rsidRDefault="00380F71" w:rsidP="00D12EB7">
      <w:pPr>
        <w:pStyle w:val="ListParagraph"/>
        <w:widowControl w:val="0"/>
        <w:numPr>
          <w:ilvl w:val="1"/>
          <w:numId w:val="70"/>
        </w:numPr>
        <w:suppressAutoHyphens w:val="0"/>
        <w:adjustRightInd/>
        <w:spacing w:after="240"/>
        <w:ind w:left="1440" w:right="293"/>
        <w:jc w:val="both"/>
        <w:rPr>
          <w:rFonts w:ascii="Arial" w:hAnsi="Arial" w:cs="Arial"/>
        </w:rPr>
      </w:pPr>
      <w:r w:rsidRPr="00380F71">
        <w:rPr>
          <w:rFonts w:ascii="Arial" w:hAnsi="Arial" w:cs="Arial"/>
          <w:color w:val="030913"/>
        </w:rPr>
        <w:t>Involves monitoring student attendance in a synchronous class, lecture, recitation, or field or laboratory activity, physically or online via a distance education platform, where there is an opportunity for interaction between the instructor and students;</w:t>
      </w:r>
      <w:r w:rsidRPr="00380F71">
        <w:rPr>
          <w:rFonts w:ascii="Arial" w:hAnsi="Arial" w:cs="Arial"/>
          <w:color w:val="030913"/>
          <w:spacing w:val="-2"/>
        </w:rPr>
        <w:t xml:space="preserve"> </w:t>
      </w:r>
      <w:r w:rsidRPr="00380F71">
        <w:rPr>
          <w:rFonts w:ascii="Arial" w:hAnsi="Arial" w:cs="Arial"/>
          <w:color w:val="030913"/>
        </w:rPr>
        <w:t>or</w:t>
      </w:r>
    </w:p>
    <w:p w14:paraId="2CBC7500" w14:textId="77777777" w:rsidR="00380F71" w:rsidRPr="00380F71" w:rsidRDefault="00380F71" w:rsidP="00D12EB7">
      <w:pPr>
        <w:pStyle w:val="ListParagraph"/>
        <w:widowControl w:val="0"/>
        <w:numPr>
          <w:ilvl w:val="1"/>
          <w:numId w:val="70"/>
        </w:numPr>
        <w:suppressAutoHyphens w:val="0"/>
        <w:adjustRightInd/>
        <w:spacing w:after="240"/>
        <w:ind w:left="1440" w:right="185"/>
        <w:jc w:val="both"/>
        <w:rPr>
          <w:rFonts w:ascii="Arial" w:hAnsi="Arial" w:cs="Arial"/>
        </w:rPr>
      </w:pPr>
      <w:r w:rsidRPr="00380F71">
        <w:rPr>
          <w:rFonts w:ascii="Arial" w:hAnsi="Arial" w:cs="Arial"/>
          <w:color w:val="030913"/>
        </w:rPr>
        <w:t>Is used to administratively withdraw students or to enforce an institutional attendance</w:t>
      </w:r>
      <w:r w:rsidRPr="00380F71">
        <w:rPr>
          <w:rFonts w:ascii="Arial" w:hAnsi="Arial" w:cs="Arial"/>
          <w:color w:val="030913"/>
          <w:spacing w:val="-1"/>
        </w:rPr>
        <w:t xml:space="preserve"> </w:t>
      </w:r>
      <w:r w:rsidRPr="00380F71">
        <w:rPr>
          <w:rFonts w:ascii="Arial" w:hAnsi="Arial" w:cs="Arial"/>
          <w:color w:val="030913"/>
        </w:rPr>
        <w:t>policy.</w:t>
      </w:r>
    </w:p>
    <w:p w14:paraId="0ACA8011" w14:textId="02B4FB24" w:rsidR="00380F71" w:rsidRPr="00380F71" w:rsidRDefault="00380F71" w:rsidP="00380F71">
      <w:pPr>
        <w:pStyle w:val="BodyText"/>
        <w:ind w:right="135"/>
        <w:jc w:val="both"/>
        <w:rPr>
          <w:rFonts w:ascii="Arial" w:hAnsi="Arial" w:cs="Arial"/>
          <w:szCs w:val="20"/>
        </w:rPr>
      </w:pPr>
      <w:r w:rsidRPr="00380F71">
        <w:rPr>
          <w:rFonts w:ascii="Arial" w:hAnsi="Arial" w:cs="Arial"/>
          <w:szCs w:val="20"/>
        </w:rPr>
        <w:t>If an institution is not required to take attendance, the withdrawal date is (1) the date, as</w:t>
      </w:r>
      <w:r w:rsidR="002A7D42" w:rsidRPr="00380F71">
        <w:rPr>
          <w:rFonts w:ascii="Arial" w:hAnsi="Arial" w:cs="Arial"/>
          <w:bCs/>
          <w:iCs/>
          <w:szCs w:val="20"/>
        </w:rPr>
        <w:t xml:space="preserve"> </w:t>
      </w:r>
      <w:r w:rsidRPr="00380F71">
        <w:rPr>
          <w:rFonts w:ascii="Arial" w:hAnsi="Arial" w:cs="Arial"/>
          <w:szCs w:val="20"/>
        </w:rPr>
        <w:t xml:space="preserve">determined by the institution, that the student began the withdrawal process prescribed by the institution; (2) the date, as determined by the institution, that the student otherwise provided official notification to the institution, in writing or orally, of his or her intent to withdraw; (3) if the student ceases attendance without providing official notification to the institution of his or her withdrawal, the midpoint of the payment period or, if applicable, the period of enrollment; (4) if the institution determines that a student did not begin the withdrawal process or otherwise notify the institution of the intent to withdraw due to illness, accident, grievous personal loss or other circumstances beyond the student’s control, the date the institution determines is related to that circumstance; (5) if a student does not return from an approved leave of absence, the date that the institution determines the student began the leave of absence; or (6) if the student takes an unapproved leave of absence, the date that the student began the leave of absence. Notwithstanding the above, an institution that is not required to take attendance may use as the withdrawal </w:t>
      </w:r>
      <w:r w:rsidRPr="00380F71">
        <w:rPr>
          <w:rFonts w:ascii="Arial" w:hAnsi="Arial" w:cs="Arial"/>
          <w:szCs w:val="20"/>
        </w:rPr>
        <w:lastRenderedPageBreak/>
        <w:t>date, the last date of attendance at an academically related activity as documented by the institution (34 CFR668.22(c) and (l)).</w:t>
      </w:r>
    </w:p>
    <w:p w14:paraId="2D62B183" w14:textId="77777777" w:rsidR="00380F71" w:rsidRPr="00380F71" w:rsidRDefault="00380F71" w:rsidP="00380F71">
      <w:pPr>
        <w:pStyle w:val="BodyText"/>
        <w:ind w:right="222"/>
        <w:jc w:val="both"/>
        <w:rPr>
          <w:rFonts w:ascii="Arial" w:hAnsi="Arial" w:cs="Arial"/>
          <w:szCs w:val="20"/>
        </w:rPr>
      </w:pPr>
      <w:r w:rsidRPr="00380F71">
        <w:rPr>
          <w:rFonts w:ascii="Arial" w:hAnsi="Arial" w:cs="Arial"/>
          <w:szCs w:val="20"/>
        </w:rPr>
        <w:t xml:space="preserve">Title IV funds may be expended only towards the education of the students who can be proven to have </w:t>
      </w:r>
      <w:proofErr w:type="gramStart"/>
      <w:r w:rsidRPr="00380F71">
        <w:rPr>
          <w:rFonts w:ascii="Arial" w:hAnsi="Arial" w:cs="Arial"/>
          <w:szCs w:val="20"/>
        </w:rPr>
        <w:t>been in attendance at</w:t>
      </w:r>
      <w:proofErr w:type="gramEnd"/>
      <w:r w:rsidRPr="00380F71">
        <w:rPr>
          <w:rFonts w:ascii="Arial" w:hAnsi="Arial" w:cs="Arial"/>
          <w:szCs w:val="20"/>
        </w:rPr>
        <w:t xml:space="preserve"> the institution. In a distance education context, documenting that a student has logged into an online distance education platform or system is not sufficient, by itself, to demonstrate attendance by the student. To avoid returning all funds for a student that did not begin attendance, an institution must be able to document “attendance at any class.” To qualify as a last date of attendance for Return of Title IV purposes, an institution must demonstrate that a student participated in class or was otherwise engaged in an academically related activity, such as by contributing to an online discussion or initiating contact with a faculty member to ask a course-related question.</w:t>
      </w:r>
    </w:p>
    <w:p w14:paraId="55534145" w14:textId="77777777" w:rsidR="00380F71" w:rsidRPr="00380F71" w:rsidRDefault="00380F71" w:rsidP="00380F71">
      <w:pPr>
        <w:pStyle w:val="BodyText"/>
        <w:ind w:right="161"/>
        <w:jc w:val="both"/>
        <w:rPr>
          <w:rFonts w:ascii="Arial" w:hAnsi="Arial" w:cs="Arial"/>
          <w:szCs w:val="20"/>
        </w:rPr>
      </w:pPr>
      <w:r w:rsidRPr="00380F71">
        <w:rPr>
          <w:rFonts w:ascii="Arial" w:hAnsi="Arial" w:cs="Arial"/>
          <w:szCs w:val="20"/>
        </w:rPr>
        <w:t>An institution that requires attendance be taken on only one specified day (e.g., to meet a census reporting requirement), is not considered an institution required to take attendance (34 CFR 668.22(b)(3)(iv)).</w:t>
      </w:r>
    </w:p>
    <w:p w14:paraId="0BF1C700" w14:textId="75FBE714" w:rsidR="002A7D42" w:rsidRPr="00044890" w:rsidRDefault="002A7D42" w:rsidP="00380F71">
      <w:pPr>
        <w:spacing w:after="240"/>
        <w:jc w:val="both"/>
        <w:rPr>
          <w:rFonts w:ascii="Arial" w:hAnsi="Arial" w:cs="Arial"/>
          <w:bCs/>
          <w:i/>
        </w:rPr>
      </w:pPr>
      <w:r w:rsidRPr="00044890">
        <w:rPr>
          <w:rFonts w:ascii="Arial" w:hAnsi="Arial" w:cs="Arial"/>
          <w:bCs/>
          <w:i/>
        </w:rPr>
        <w:t>Calculation of the Amount of Title IV Assistance Earned</w:t>
      </w:r>
    </w:p>
    <w:p w14:paraId="7A0E6C4C" w14:textId="6DE26D02" w:rsidR="00380F71" w:rsidRPr="00380F71" w:rsidRDefault="00380F71" w:rsidP="00380F71">
      <w:pPr>
        <w:spacing w:after="240"/>
        <w:jc w:val="both"/>
        <w:rPr>
          <w:rFonts w:ascii="Arial" w:hAnsi="Arial" w:cs="Arial"/>
          <w:bCs/>
          <w:iCs/>
        </w:rPr>
      </w:pPr>
      <w:r w:rsidRPr="00380F71">
        <w:rPr>
          <w:rFonts w:ascii="Arial" w:hAnsi="Arial" w:cs="Arial"/>
          <w:bCs/>
          <w:iCs/>
        </w:rPr>
        <w:t>The amount of earned Title IV grant or loan assistance is calculated by determining the percentage of Title IV grant or loan assistance that has been earned by the student and applying that percentage to the total amount of Title IV grant or loan assistance that was or could have been disbursed to the student for the payment period or period of enrollment as of the student’s withdrawal date. A student earns 100 percent if his or her withdrawal date is after the completion of 60 percent of (1) the calendar days in the payment period or period of enrollment for a program measured in credit hours, or (2) the clock hours scheduled to be completed for the payment period or period of enrollment for a program measured in clock hours (34 CFR 668.22(e)(2)). Otherwise, the percentage earned by the student is equal to the percentage (60 percent or less) of the payment period or period of enrollment that was completed as of the student’s withdrawal date. The percentage of Title IV grant or loan assistance that has not been earned by the student is the complement of one of these calculations. Standard term-based institutions must always use the payment period as the basis for the determination.</w:t>
      </w:r>
    </w:p>
    <w:p w14:paraId="2BFFD521" w14:textId="165D9241" w:rsidR="002A7D42" w:rsidRPr="00044890" w:rsidRDefault="00380F71" w:rsidP="00380F71">
      <w:pPr>
        <w:spacing w:after="240"/>
        <w:jc w:val="both"/>
        <w:rPr>
          <w:rFonts w:ascii="Arial" w:hAnsi="Arial" w:cs="Arial"/>
          <w:bCs/>
          <w:iCs/>
        </w:rPr>
      </w:pPr>
      <w:r w:rsidRPr="00380F71">
        <w:rPr>
          <w:rFonts w:ascii="Arial" w:hAnsi="Arial" w:cs="Arial"/>
          <w:bCs/>
          <w:iCs/>
        </w:rPr>
        <w:t>The unearned amount of Title IV assistance to be returned is calculated by subtracting the amount of Title IV assistance earned by the student from the amount of Title IV aid that was disbursed to the student as of the date of the institution’s determination that the student withdrew (34 CFR 668.22(e)).</w:t>
      </w:r>
    </w:p>
    <w:p w14:paraId="10A02B7B" w14:textId="77777777" w:rsidR="002A7D42" w:rsidRPr="00044890" w:rsidRDefault="002A7D42" w:rsidP="00380F71">
      <w:pPr>
        <w:spacing w:after="240"/>
        <w:jc w:val="both"/>
        <w:rPr>
          <w:rFonts w:ascii="Arial" w:hAnsi="Arial" w:cs="Arial"/>
          <w:bCs/>
          <w:i/>
        </w:rPr>
      </w:pPr>
      <w:r w:rsidRPr="00044890">
        <w:rPr>
          <w:rFonts w:ascii="Arial" w:hAnsi="Arial" w:cs="Arial"/>
          <w:bCs/>
          <w:i/>
        </w:rPr>
        <w:t>Use of Payment Period or Period of Enrollment</w:t>
      </w:r>
    </w:p>
    <w:p w14:paraId="6BB0D503" w14:textId="59502140" w:rsidR="002A7D42" w:rsidRPr="00044890" w:rsidRDefault="00380F71" w:rsidP="00380F71">
      <w:pPr>
        <w:spacing w:after="240"/>
        <w:jc w:val="both"/>
        <w:rPr>
          <w:rFonts w:ascii="Arial" w:hAnsi="Arial" w:cs="Arial"/>
          <w:bCs/>
          <w:iCs/>
        </w:rPr>
      </w:pPr>
      <w:r w:rsidRPr="00380F71">
        <w:rPr>
          <w:rFonts w:ascii="Arial" w:hAnsi="Arial" w:cs="Arial"/>
          <w:bCs/>
          <w:iCs/>
        </w:rPr>
        <w:t>The treatment of Title IV grant or loan funds if a student withdraws must be determined on a payment period basis for a student who attended a standard term-based (semester, trimester, or quarter) educational program. The treatment of Title IV grant or loan funds if a student withdraws may be determined on either a payment period basis or a period of enrollment basis for a student who attended a non-term based or a non-standard term-based educational program. The institution must use the chosen period consistently for all students in the program, except that an institution may make a separate selection of payment period or period of enrollment for students that transfer to the institution or reenter the institution for students who attend a non-term-based or non-standard term- based program (34 CFR668.22(e)(5)). An institution must use the payment period that ends later to calculate a “Return of Title IV Funds” when a student withdraws from a non-standard term credit hour program with terms that are not substantially equal in length, and the student was disbursed or could have been disbursed Title IV aid under more than one payment period definition (34 CFR668.22(e)(5)(iii)).</w:t>
      </w:r>
    </w:p>
    <w:p w14:paraId="79E8D14B" w14:textId="77777777" w:rsidR="002A7D42" w:rsidRPr="00044890" w:rsidRDefault="002A7D42" w:rsidP="00380F71">
      <w:pPr>
        <w:spacing w:after="240"/>
        <w:jc w:val="both"/>
        <w:rPr>
          <w:rFonts w:ascii="Arial" w:hAnsi="Arial" w:cs="Arial"/>
          <w:bCs/>
          <w:i/>
        </w:rPr>
      </w:pPr>
      <w:r w:rsidRPr="00044890">
        <w:rPr>
          <w:rFonts w:ascii="Arial" w:hAnsi="Arial" w:cs="Arial"/>
          <w:bCs/>
          <w:i/>
        </w:rPr>
        <w:t>Percentage of Payment Period or Period of Enrollment Completed</w:t>
      </w:r>
    </w:p>
    <w:p w14:paraId="3F9617CC" w14:textId="4FC9A6A4" w:rsidR="00380F71" w:rsidRPr="00380F71" w:rsidRDefault="00380F71" w:rsidP="00380F71">
      <w:pPr>
        <w:spacing w:after="240"/>
        <w:jc w:val="both"/>
        <w:rPr>
          <w:rFonts w:ascii="Arial" w:hAnsi="Arial" w:cs="Arial"/>
          <w:bCs/>
          <w:iCs/>
        </w:rPr>
      </w:pPr>
      <w:r w:rsidRPr="00380F71">
        <w:rPr>
          <w:rFonts w:ascii="Arial" w:hAnsi="Arial" w:cs="Arial"/>
          <w:bCs/>
          <w:iCs/>
        </w:rPr>
        <w:t xml:space="preserve">The percentage of the payment period completed or period of enrollment completed is determined in the case of a program that is measured in (1) credit hours, by dividing the total number of calendar days in the payment period or period of enrollment into the number of calendar days completed in that period as of the </w:t>
      </w:r>
      <w:r w:rsidRPr="00380F71">
        <w:rPr>
          <w:rFonts w:ascii="Arial" w:hAnsi="Arial" w:cs="Arial"/>
          <w:bCs/>
          <w:iCs/>
        </w:rPr>
        <w:lastRenderedPageBreak/>
        <w:t>student’s withdrawal date; or (2) clock hours, by dividing the total number of clock hours in the payment period or period of enrollment into the number of clock hours scheduled to be completed as of the student’s withdrawal date. The total number of calendar days in a payment or enrollment period includes all days within the period, except that institutionally scheduled breaks of at least five consecutive calendar days (including module programs that a student is not required to attend for five consecutive calendar days) and days in which the student was on an approved leave of absence are excluded from the total number of calendar days in a payment period or period of enrollment and the number of calendar days completed in that period (34 CFR 668.22(f)).</w:t>
      </w:r>
    </w:p>
    <w:p w14:paraId="518C5FDC" w14:textId="718CD7F2" w:rsidR="00380F71" w:rsidRPr="00380F71" w:rsidRDefault="00380F71" w:rsidP="00380F71">
      <w:pPr>
        <w:spacing w:after="240"/>
        <w:jc w:val="both"/>
        <w:rPr>
          <w:rFonts w:ascii="Arial" w:hAnsi="Arial" w:cs="Arial"/>
          <w:bCs/>
          <w:iCs/>
        </w:rPr>
      </w:pPr>
      <w:r w:rsidRPr="00380F71">
        <w:rPr>
          <w:rFonts w:ascii="Arial" w:hAnsi="Arial" w:cs="Arial"/>
          <w:bCs/>
          <w:iCs/>
        </w:rPr>
        <w:t>Under 34 CFR 668.22(l)(9),a student in a program offered in modules is scheduled to complete the days in a module if the student’s coursework in that module was used to determine the amount of the student’s eligibility for title IV, HEA funds for the payment period or period of enrollment.</w:t>
      </w:r>
    </w:p>
    <w:p w14:paraId="05C1BACB" w14:textId="11466C24" w:rsidR="002A7D42" w:rsidRPr="00044890" w:rsidRDefault="00380F71" w:rsidP="00380F71">
      <w:pPr>
        <w:spacing w:after="240"/>
        <w:jc w:val="both"/>
        <w:rPr>
          <w:rFonts w:ascii="Arial" w:hAnsi="Arial" w:cs="Arial"/>
          <w:bCs/>
          <w:iCs/>
        </w:rPr>
      </w:pPr>
      <w:r w:rsidRPr="00380F71">
        <w:rPr>
          <w:rFonts w:ascii="Arial" w:hAnsi="Arial" w:cs="Arial"/>
          <w:bCs/>
          <w:iCs/>
        </w:rPr>
        <w:t>When a student enrolls in a module during a payment period or period of enrollment, the student is considered to be enrolled in a program offered in modules and the institution must determine the number of days in the denominator of the R2T4 calculation based on whether the coursework, including full-term courses, was used to determine the amount of eligibility for Title IV aid. This determination will depend on several factors:</w:t>
      </w:r>
    </w:p>
    <w:p w14:paraId="7427C021" w14:textId="77777777" w:rsidR="002A7D42" w:rsidRPr="00044890" w:rsidRDefault="002A7D42" w:rsidP="002A7D42">
      <w:pPr>
        <w:spacing w:after="240"/>
        <w:jc w:val="both"/>
        <w:rPr>
          <w:rFonts w:ascii="Arial" w:hAnsi="Arial" w:cs="Arial"/>
          <w:bCs/>
          <w:iCs/>
        </w:rPr>
      </w:pPr>
      <w:r w:rsidRPr="00044890">
        <w:rPr>
          <w:rFonts w:ascii="Arial" w:hAnsi="Arial" w:cs="Arial"/>
          <w:bCs/>
          <w:iCs/>
        </w:rPr>
        <w:t>•</w:t>
      </w:r>
      <w:r w:rsidRPr="00044890">
        <w:rPr>
          <w:rFonts w:ascii="Arial" w:hAnsi="Arial" w:cs="Arial"/>
          <w:bCs/>
          <w:iCs/>
        </w:rPr>
        <w:tab/>
        <w:t>Whether the institution uses an R2T4 Freeze Date;</w:t>
      </w:r>
    </w:p>
    <w:p w14:paraId="3402AFA5" w14:textId="77777777" w:rsidR="002A7D42" w:rsidRPr="00044890" w:rsidRDefault="002A7D42" w:rsidP="002A7D42">
      <w:pPr>
        <w:spacing w:after="240"/>
        <w:jc w:val="both"/>
        <w:rPr>
          <w:rFonts w:ascii="Arial" w:hAnsi="Arial" w:cs="Arial"/>
          <w:bCs/>
          <w:iCs/>
        </w:rPr>
      </w:pPr>
      <w:r w:rsidRPr="00044890">
        <w:rPr>
          <w:rFonts w:ascii="Arial" w:hAnsi="Arial" w:cs="Arial"/>
          <w:bCs/>
          <w:iCs/>
        </w:rPr>
        <w:t>•</w:t>
      </w:r>
      <w:r w:rsidRPr="00044890">
        <w:rPr>
          <w:rFonts w:ascii="Arial" w:hAnsi="Arial" w:cs="Arial"/>
          <w:bCs/>
          <w:iCs/>
        </w:rPr>
        <w:tab/>
        <w:t>The Title IV programs for which the student was eligible; and</w:t>
      </w:r>
    </w:p>
    <w:p w14:paraId="661917F1" w14:textId="77777777" w:rsidR="002A7D42" w:rsidRPr="00044890" w:rsidRDefault="002A7D42" w:rsidP="002A7D42">
      <w:pPr>
        <w:spacing w:after="240"/>
        <w:jc w:val="both"/>
        <w:rPr>
          <w:rFonts w:ascii="Arial" w:hAnsi="Arial" w:cs="Arial"/>
          <w:bCs/>
          <w:iCs/>
        </w:rPr>
      </w:pPr>
      <w:r w:rsidRPr="00044890">
        <w:rPr>
          <w:rFonts w:ascii="Arial" w:hAnsi="Arial" w:cs="Arial"/>
          <w:bCs/>
          <w:iCs/>
        </w:rPr>
        <w:t>•</w:t>
      </w:r>
      <w:r w:rsidRPr="00044890">
        <w:rPr>
          <w:rFonts w:ascii="Arial" w:hAnsi="Arial" w:cs="Arial"/>
          <w:bCs/>
          <w:iCs/>
        </w:rPr>
        <w:tab/>
        <w:t>Which modules/courses the student attended during the period.</w:t>
      </w:r>
    </w:p>
    <w:p w14:paraId="403C1E4C" w14:textId="77777777" w:rsidR="00380F71" w:rsidRPr="00380F71" w:rsidRDefault="00380F71" w:rsidP="00380F71">
      <w:pPr>
        <w:spacing w:after="240"/>
        <w:jc w:val="both"/>
        <w:rPr>
          <w:rFonts w:ascii="Arial" w:hAnsi="Arial" w:cs="Arial"/>
          <w:bCs/>
          <w:iCs/>
        </w:rPr>
      </w:pPr>
      <w:r w:rsidRPr="00380F71">
        <w:rPr>
          <w:rFonts w:ascii="Arial" w:hAnsi="Arial" w:cs="Arial"/>
          <w:bCs/>
          <w:iCs/>
        </w:rPr>
        <w:t>An R2T4 Freeze Date is an optional (not required) policy that uses the student’s enrollment schedule at a fixed calendar point to determine the number of days the student is scheduled to attend during the period for R2T4 purposes. If the institution uses an R2T4 Freeze Date, the days in a module/course are included in the R2T4 calculation if the student attends the module/course or is enrolled in the module/course on the R2T4 Freeze Date, regardless of the types of Title IV aid awarded.</w:t>
      </w:r>
    </w:p>
    <w:p w14:paraId="405C388D" w14:textId="77777777" w:rsidR="00380F71" w:rsidRPr="00380F71" w:rsidRDefault="00380F71" w:rsidP="00380F71">
      <w:pPr>
        <w:spacing w:after="240"/>
        <w:jc w:val="both"/>
        <w:rPr>
          <w:rFonts w:ascii="Arial" w:hAnsi="Arial" w:cs="Arial"/>
          <w:bCs/>
          <w:iCs/>
        </w:rPr>
      </w:pPr>
      <w:r w:rsidRPr="00380F71">
        <w:rPr>
          <w:rFonts w:ascii="Arial" w:hAnsi="Arial" w:cs="Arial"/>
          <w:bCs/>
          <w:iCs/>
        </w:rPr>
        <w:t>Institutions that choose to not establish an R2T4 Freeze Date will monitor changes in the student’s enrollment throughout the period and which module/course days to include in the R2T4 calculation will, in part, depend on the type of Title IV aid awarded.</w:t>
      </w:r>
    </w:p>
    <w:p w14:paraId="2CF2571C" w14:textId="77777777" w:rsidR="00380F71" w:rsidRPr="00380F71" w:rsidRDefault="00380F71" w:rsidP="00380F71">
      <w:pPr>
        <w:spacing w:after="240"/>
        <w:jc w:val="both"/>
        <w:rPr>
          <w:rFonts w:ascii="Arial" w:hAnsi="Arial" w:cs="Arial"/>
          <w:bCs/>
          <w:iCs/>
        </w:rPr>
      </w:pPr>
      <w:r w:rsidRPr="00380F71">
        <w:rPr>
          <w:rFonts w:ascii="Arial" w:hAnsi="Arial" w:cs="Arial"/>
          <w:bCs/>
          <w:iCs/>
        </w:rPr>
        <w:t>If the student is only eligible for Pell Grant and/or TEACH Grant funds during the period and the institution does not use an R2T4 Freeze Date, the days in a module/course must be included in the denominator of the R2T4 calculation only if the student actually attends the module/course.</w:t>
      </w:r>
    </w:p>
    <w:p w14:paraId="1334EA89" w14:textId="77777777" w:rsidR="00380F71" w:rsidRPr="00380F71" w:rsidRDefault="00380F71" w:rsidP="00380F71">
      <w:pPr>
        <w:spacing w:after="240"/>
        <w:jc w:val="both"/>
        <w:rPr>
          <w:rFonts w:ascii="Arial" w:hAnsi="Arial" w:cs="Arial"/>
          <w:bCs/>
          <w:iCs/>
        </w:rPr>
      </w:pPr>
      <w:r w:rsidRPr="00380F71">
        <w:rPr>
          <w:rFonts w:ascii="Arial" w:hAnsi="Arial" w:cs="Arial"/>
          <w:bCs/>
          <w:iCs/>
        </w:rPr>
        <w:t>If the student is eligible for Direct Loan or FSEOG funds during the period (regardless of eligibility for other Title IV programs) and does not use an R2T4 Freeze Date, the days in a module/course must be included in the R2T4 calculation if the student was enrolled in the module/ course on the first day of the period or enrolled in the module/course at any time during the period.</w:t>
      </w:r>
    </w:p>
    <w:p w14:paraId="6E3E6693" w14:textId="2182FCB0" w:rsidR="002A7D42" w:rsidRPr="00044890" w:rsidRDefault="00380F71" w:rsidP="00380F71">
      <w:pPr>
        <w:spacing w:after="240"/>
        <w:jc w:val="both"/>
        <w:rPr>
          <w:rFonts w:ascii="Arial" w:hAnsi="Arial" w:cs="Arial"/>
          <w:bCs/>
          <w:iCs/>
        </w:rPr>
      </w:pPr>
      <w:r w:rsidRPr="00380F71">
        <w:rPr>
          <w:rFonts w:ascii="Arial" w:hAnsi="Arial" w:cs="Arial"/>
          <w:bCs/>
          <w:iCs/>
        </w:rPr>
        <w:t xml:space="preserve">For additional information, please review the 2024-2025 </w:t>
      </w:r>
      <w:r w:rsidRPr="00380F71">
        <w:rPr>
          <w:rFonts w:ascii="Arial" w:hAnsi="Arial" w:cs="Arial"/>
          <w:bCs/>
          <w:i/>
        </w:rPr>
        <w:t>FSA Handbook</w:t>
      </w:r>
      <w:r w:rsidRPr="00380F71">
        <w:rPr>
          <w:rFonts w:ascii="Arial" w:hAnsi="Arial" w:cs="Arial"/>
          <w:bCs/>
          <w:iCs/>
        </w:rPr>
        <w:t>, Volume 5, Chapter 2.</w:t>
      </w:r>
    </w:p>
    <w:p w14:paraId="6AF20378" w14:textId="77777777" w:rsidR="002A7D42" w:rsidRPr="009610FF" w:rsidRDefault="002A7D42" w:rsidP="002A7D42">
      <w:pPr>
        <w:spacing w:after="240"/>
        <w:jc w:val="both"/>
        <w:rPr>
          <w:rFonts w:ascii="Arial" w:hAnsi="Arial" w:cs="Arial"/>
          <w:bCs/>
          <w:i/>
        </w:rPr>
      </w:pPr>
      <w:r w:rsidRPr="009610FF">
        <w:rPr>
          <w:rFonts w:ascii="Arial" w:hAnsi="Arial" w:cs="Arial"/>
          <w:bCs/>
          <w:i/>
        </w:rPr>
        <w:t>Institution’s Return of Unearned Aid</w:t>
      </w:r>
    </w:p>
    <w:p w14:paraId="6EF2B8FA" w14:textId="187CB310" w:rsidR="002A7D42" w:rsidRPr="00044890" w:rsidRDefault="00380F71" w:rsidP="002A7D42">
      <w:pPr>
        <w:spacing w:after="240"/>
        <w:jc w:val="both"/>
        <w:rPr>
          <w:rFonts w:ascii="Arial" w:hAnsi="Arial" w:cs="Arial"/>
          <w:bCs/>
          <w:iCs/>
        </w:rPr>
      </w:pPr>
      <w:r w:rsidRPr="00380F71">
        <w:rPr>
          <w:rFonts w:ascii="Arial" w:hAnsi="Arial" w:cs="Arial"/>
          <w:bCs/>
          <w:iCs/>
        </w:rPr>
        <w:t xml:space="preserve">The institution must return the lesser of (1) the total amount of unearned Title IV assistance to be returned as described above, or (2) an amount equal to the total institutional charges incurred by the student for the payment period or period of enrollment multiplied by the percentage of Title IV grant or loan assistance that has not been earned by the student. If, for a non-term program an institution chooses to calculate the treatment of Title IV assistance on a payment period basis, but the institution charges for a period that is longer than the payment period, “total institutional charges incurred by the student for the payment period” </w:t>
      </w:r>
      <w:r w:rsidRPr="00380F71">
        <w:rPr>
          <w:rFonts w:ascii="Arial" w:hAnsi="Arial" w:cs="Arial"/>
          <w:bCs/>
          <w:iCs/>
        </w:rPr>
        <w:lastRenderedPageBreak/>
        <w:t>is the greater of (1) the prorated amount of institutional charges for the longer period, or (2) the amount of Title IV assistance retained for institutional charges as of the student’s withdrawal date (34 CFR 668.22(g)).</w:t>
      </w:r>
    </w:p>
    <w:p w14:paraId="70AF3851" w14:textId="77777777" w:rsidR="002A7D42" w:rsidRPr="009610FF" w:rsidRDefault="002A7D42" w:rsidP="002A7D42">
      <w:pPr>
        <w:spacing w:after="240"/>
        <w:jc w:val="both"/>
        <w:rPr>
          <w:rFonts w:ascii="Arial" w:hAnsi="Arial" w:cs="Arial"/>
          <w:bCs/>
          <w:i/>
        </w:rPr>
      </w:pPr>
      <w:r w:rsidRPr="009610FF">
        <w:rPr>
          <w:rFonts w:ascii="Arial" w:hAnsi="Arial" w:cs="Arial"/>
          <w:bCs/>
          <w:i/>
        </w:rPr>
        <w:t>Student’s Return of Unearned Aid</w:t>
      </w:r>
    </w:p>
    <w:p w14:paraId="7F25AD61" w14:textId="33DDB542" w:rsidR="00380F71" w:rsidRPr="00380F71" w:rsidRDefault="00380F71" w:rsidP="00380F71">
      <w:pPr>
        <w:spacing w:after="240"/>
        <w:jc w:val="both"/>
        <w:rPr>
          <w:rFonts w:ascii="Arial" w:hAnsi="Arial" w:cs="Arial"/>
          <w:bCs/>
          <w:iCs/>
        </w:rPr>
      </w:pPr>
      <w:r w:rsidRPr="00380F71">
        <w:rPr>
          <w:rFonts w:ascii="Arial" w:hAnsi="Arial" w:cs="Arial"/>
          <w:bCs/>
          <w:iCs/>
        </w:rPr>
        <w:t>The amount a student is responsible for returning is calculated by subtracting the amount of unearned aid that the institution is required to return from the total amount of unearned Title IV assistance to be returned. However, the student need only return 50 percent of the total grant assistance that was disbursed (and that could have been disbursed) for the payment period or period of enrollment. After the 50 percent rule is applied, a student does not have to return an overpayment amount of $50 or less.</w:t>
      </w:r>
    </w:p>
    <w:p w14:paraId="4AF3B1CA" w14:textId="6379595F" w:rsidR="002A7D42" w:rsidRPr="00044890" w:rsidRDefault="00380F71" w:rsidP="00380F71">
      <w:pPr>
        <w:spacing w:after="240"/>
        <w:jc w:val="both"/>
        <w:rPr>
          <w:rFonts w:ascii="Arial" w:hAnsi="Arial" w:cs="Arial"/>
          <w:bCs/>
          <w:iCs/>
        </w:rPr>
      </w:pPr>
      <w:r w:rsidRPr="00380F71">
        <w:rPr>
          <w:rFonts w:ascii="Arial" w:hAnsi="Arial" w:cs="Arial"/>
          <w:bCs/>
          <w:iCs/>
        </w:rPr>
        <w:t>In addition, the secretary may waive grant overpayments that students are required to return if the students who withdrew were residing in, employed in, or attending an institution located in an area where the President has declared that a major disaster exists (34 CFR 668.22(g), 668.22(h)(3), and 668.22(h)(5)).</w:t>
      </w:r>
    </w:p>
    <w:p w14:paraId="01F86927" w14:textId="77777777" w:rsidR="002A7D42" w:rsidRPr="009610FF" w:rsidRDefault="002A7D42" w:rsidP="002A7D42">
      <w:pPr>
        <w:spacing w:after="240"/>
        <w:jc w:val="both"/>
        <w:rPr>
          <w:rFonts w:ascii="Arial" w:hAnsi="Arial" w:cs="Arial"/>
          <w:bCs/>
          <w:i/>
        </w:rPr>
      </w:pPr>
      <w:r w:rsidRPr="009610FF">
        <w:rPr>
          <w:rFonts w:ascii="Arial" w:hAnsi="Arial" w:cs="Arial"/>
          <w:bCs/>
          <w:i/>
        </w:rPr>
        <w:t>Allocation of Return of Title IV Funds</w:t>
      </w:r>
    </w:p>
    <w:p w14:paraId="31E6BDAF" w14:textId="76B2551C" w:rsidR="002A7D42" w:rsidRPr="00044890" w:rsidRDefault="00380F71" w:rsidP="002A7D42">
      <w:pPr>
        <w:spacing w:after="240"/>
        <w:jc w:val="both"/>
        <w:rPr>
          <w:rFonts w:ascii="Arial" w:hAnsi="Arial" w:cs="Arial"/>
          <w:bCs/>
          <w:iCs/>
        </w:rPr>
      </w:pPr>
      <w:r w:rsidRPr="00380F71">
        <w:rPr>
          <w:rFonts w:ascii="Arial" w:hAnsi="Arial" w:cs="Arial"/>
          <w:bCs/>
          <w:iCs/>
        </w:rPr>
        <w:t>Returns of Title IV funds must be distributed in the order prescribed below. The prescribed order must be followed regardless of the institution’s agreements with other state agencies or private agencies (34 CFR 668.22(i)).</w:t>
      </w:r>
    </w:p>
    <w:p w14:paraId="7C07A51C" w14:textId="77777777" w:rsidR="002A7D42" w:rsidRPr="00044890" w:rsidRDefault="002A7D42" w:rsidP="002A7D42">
      <w:pPr>
        <w:spacing w:after="240"/>
        <w:jc w:val="both"/>
        <w:rPr>
          <w:rFonts w:ascii="Arial" w:hAnsi="Arial" w:cs="Arial"/>
          <w:bCs/>
          <w:iCs/>
        </w:rPr>
      </w:pPr>
      <w:r w:rsidRPr="00044890">
        <w:rPr>
          <w:rFonts w:ascii="Arial" w:hAnsi="Arial" w:cs="Arial"/>
          <w:bCs/>
          <w:iCs/>
        </w:rPr>
        <w:t>a.</w:t>
      </w:r>
      <w:r w:rsidRPr="00044890">
        <w:rPr>
          <w:rFonts w:ascii="Arial" w:hAnsi="Arial" w:cs="Arial"/>
          <w:bCs/>
          <w:iCs/>
        </w:rPr>
        <w:tab/>
        <w:t>Unsubsidized Federal Direct Stafford Loans</w:t>
      </w:r>
    </w:p>
    <w:p w14:paraId="4C561F67" w14:textId="77777777" w:rsidR="002A7D42" w:rsidRPr="00044890" w:rsidRDefault="002A7D42" w:rsidP="002A7D42">
      <w:pPr>
        <w:spacing w:after="240"/>
        <w:jc w:val="both"/>
        <w:rPr>
          <w:rFonts w:ascii="Arial" w:hAnsi="Arial" w:cs="Arial"/>
          <w:bCs/>
          <w:iCs/>
        </w:rPr>
      </w:pPr>
      <w:r w:rsidRPr="00044890">
        <w:rPr>
          <w:rFonts w:ascii="Arial" w:hAnsi="Arial" w:cs="Arial"/>
          <w:bCs/>
          <w:iCs/>
        </w:rPr>
        <w:t>b.</w:t>
      </w:r>
      <w:r w:rsidRPr="00044890">
        <w:rPr>
          <w:rFonts w:ascii="Arial" w:hAnsi="Arial" w:cs="Arial"/>
          <w:bCs/>
          <w:iCs/>
        </w:rPr>
        <w:tab/>
        <w:t>Subsidized Federal Direct Stafford Loans</w:t>
      </w:r>
    </w:p>
    <w:p w14:paraId="1EFF928E" w14:textId="77777777" w:rsidR="002A7D42" w:rsidRPr="00044890" w:rsidRDefault="002A7D42" w:rsidP="002A7D42">
      <w:pPr>
        <w:spacing w:after="240"/>
        <w:jc w:val="both"/>
        <w:rPr>
          <w:rFonts w:ascii="Arial" w:hAnsi="Arial" w:cs="Arial"/>
          <w:bCs/>
          <w:iCs/>
        </w:rPr>
      </w:pPr>
      <w:r w:rsidRPr="00044890">
        <w:rPr>
          <w:rFonts w:ascii="Arial" w:hAnsi="Arial" w:cs="Arial"/>
          <w:bCs/>
          <w:iCs/>
        </w:rPr>
        <w:t>c.</w:t>
      </w:r>
      <w:r w:rsidRPr="00044890">
        <w:rPr>
          <w:rFonts w:ascii="Arial" w:hAnsi="Arial" w:cs="Arial"/>
          <w:bCs/>
          <w:iCs/>
        </w:rPr>
        <w:tab/>
        <w:t>Federal Direct PLUS</w:t>
      </w:r>
    </w:p>
    <w:p w14:paraId="4DA606C9" w14:textId="77777777" w:rsidR="002A7D42" w:rsidRPr="00044890" w:rsidRDefault="002A7D42" w:rsidP="002A7D42">
      <w:pPr>
        <w:spacing w:after="240"/>
        <w:jc w:val="both"/>
        <w:rPr>
          <w:rFonts w:ascii="Arial" w:hAnsi="Arial" w:cs="Arial"/>
          <w:bCs/>
          <w:iCs/>
        </w:rPr>
      </w:pPr>
      <w:r w:rsidRPr="00044890">
        <w:rPr>
          <w:rFonts w:ascii="Arial" w:hAnsi="Arial" w:cs="Arial"/>
          <w:bCs/>
          <w:iCs/>
        </w:rPr>
        <w:t>d.</w:t>
      </w:r>
      <w:r w:rsidRPr="00044890">
        <w:rPr>
          <w:rFonts w:ascii="Arial" w:hAnsi="Arial" w:cs="Arial"/>
          <w:bCs/>
          <w:iCs/>
        </w:rPr>
        <w:tab/>
        <w:t>Federal Pell Grant</w:t>
      </w:r>
    </w:p>
    <w:p w14:paraId="755F2582" w14:textId="77777777" w:rsidR="002A7D42" w:rsidRPr="00044890" w:rsidRDefault="002A7D42" w:rsidP="002A7D42">
      <w:pPr>
        <w:spacing w:after="240"/>
        <w:jc w:val="both"/>
        <w:rPr>
          <w:rFonts w:ascii="Arial" w:hAnsi="Arial" w:cs="Arial"/>
          <w:bCs/>
          <w:iCs/>
        </w:rPr>
      </w:pPr>
      <w:r w:rsidRPr="00044890">
        <w:rPr>
          <w:rFonts w:ascii="Arial" w:hAnsi="Arial" w:cs="Arial"/>
          <w:bCs/>
          <w:iCs/>
        </w:rPr>
        <w:t>e.</w:t>
      </w:r>
      <w:r w:rsidRPr="00044890">
        <w:rPr>
          <w:rFonts w:ascii="Arial" w:hAnsi="Arial" w:cs="Arial"/>
          <w:bCs/>
          <w:iCs/>
        </w:rPr>
        <w:tab/>
        <w:t>Iraq and Afghanistan Service Grant</w:t>
      </w:r>
    </w:p>
    <w:p w14:paraId="5E2ED9EC" w14:textId="77777777" w:rsidR="002A7D42" w:rsidRPr="00044890" w:rsidRDefault="002A7D42" w:rsidP="002A7D42">
      <w:pPr>
        <w:spacing w:after="240"/>
        <w:jc w:val="both"/>
        <w:rPr>
          <w:rFonts w:ascii="Arial" w:hAnsi="Arial" w:cs="Arial"/>
          <w:bCs/>
          <w:iCs/>
        </w:rPr>
      </w:pPr>
      <w:r w:rsidRPr="00044890">
        <w:rPr>
          <w:rFonts w:ascii="Arial" w:hAnsi="Arial" w:cs="Arial"/>
          <w:bCs/>
          <w:iCs/>
        </w:rPr>
        <w:t>f.</w:t>
      </w:r>
      <w:r w:rsidRPr="00044890">
        <w:rPr>
          <w:rFonts w:ascii="Arial" w:hAnsi="Arial" w:cs="Arial"/>
          <w:bCs/>
          <w:iCs/>
        </w:rPr>
        <w:tab/>
        <w:t>Federal Supplemental Educational Opportunity Grants</w:t>
      </w:r>
    </w:p>
    <w:p w14:paraId="466B0994" w14:textId="77777777" w:rsidR="002A7D42" w:rsidRDefault="002A7D42" w:rsidP="002A7D42">
      <w:pPr>
        <w:spacing w:after="240"/>
        <w:jc w:val="both"/>
        <w:rPr>
          <w:rFonts w:ascii="Arial" w:hAnsi="Arial" w:cs="Arial"/>
          <w:bCs/>
          <w:iCs/>
        </w:rPr>
      </w:pPr>
      <w:r w:rsidRPr="00044890">
        <w:rPr>
          <w:rFonts w:ascii="Arial" w:hAnsi="Arial" w:cs="Arial"/>
          <w:bCs/>
          <w:iCs/>
        </w:rPr>
        <w:t>g.</w:t>
      </w:r>
      <w:r w:rsidRPr="00044890">
        <w:rPr>
          <w:rFonts w:ascii="Arial" w:hAnsi="Arial" w:cs="Arial"/>
          <w:bCs/>
          <w:iCs/>
        </w:rPr>
        <w:tab/>
        <w:t>Teacher Education Assistance for College and Higher Education Grants</w:t>
      </w:r>
    </w:p>
    <w:p w14:paraId="34928059" w14:textId="13FBD57E" w:rsidR="00380F71" w:rsidRPr="00044890" w:rsidRDefault="00380F71" w:rsidP="002A7D42">
      <w:pPr>
        <w:spacing w:after="240"/>
        <w:jc w:val="both"/>
        <w:rPr>
          <w:rFonts w:ascii="Arial" w:hAnsi="Arial" w:cs="Arial"/>
          <w:bCs/>
          <w:iCs/>
        </w:rPr>
      </w:pPr>
      <w:r w:rsidRPr="00380F71">
        <w:rPr>
          <w:rFonts w:ascii="Arial" w:hAnsi="Arial" w:cs="Arial"/>
          <w:bCs/>
          <w:iCs/>
        </w:rPr>
        <w:t>Although the Iraq and Afghanistan Service Grant is no longer awarded as of the 2024- 2025 award year, the Department has maintained the grant in the order of funds to be returned for 2024-2025 because funds could still be appropriately returned after July 1, 2024, due to crossover periods. The Department plans to remove IASG from the return order and the R2T4 calculation worksheet for 2025-2026.</w:t>
      </w:r>
    </w:p>
    <w:p w14:paraId="135B3A40" w14:textId="77777777" w:rsidR="002A7D42" w:rsidRPr="009610FF" w:rsidRDefault="002A7D42" w:rsidP="002A7D42">
      <w:pPr>
        <w:spacing w:after="240"/>
        <w:jc w:val="both"/>
        <w:rPr>
          <w:rFonts w:ascii="Arial" w:hAnsi="Arial" w:cs="Arial"/>
          <w:bCs/>
          <w:i/>
        </w:rPr>
      </w:pPr>
      <w:r w:rsidRPr="009610FF">
        <w:rPr>
          <w:rFonts w:ascii="Arial" w:hAnsi="Arial" w:cs="Arial"/>
          <w:bCs/>
          <w:i/>
        </w:rPr>
        <w:t>Timing of Return of Title IV Funds</w:t>
      </w:r>
    </w:p>
    <w:p w14:paraId="15DC940A" w14:textId="5F3DB6A0" w:rsidR="00380F71" w:rsidRPr="00380F71" w:rsidRDefault="00380F71" w:rsidP="00380F71">
      <w:pPr>
        <w:spacing w:after="240"/>
        <w:jc w:val="both"/>
        <w:rPr>
          <w:rFonts w:ascii="Arial" w:hAnsi="Arial" w:cs="Arial"/>
          <w:bCs/>
          <w:iCs/>
        </w:rPr>
      </w:pPr>
      <w:r w:rsidRPr="00380F71">
        <w:rPr>
          <w:rFonts w:ascii="Arial" w:hAnsi="Arial" w:cs="Arial"/>
          <w:bCs/>
          <w:iCs/>
        </w:rPr>
        <w:t>Returns of Title IV funds are required to be deposited or transferred into the SFA account or electronic fund transfers initiated to ED as soon as possible, but no later than 45 days after the date the institution determines that the student withdrew. Returns by check are late if the check is issued more than 45 days after the institution determined the student withdrew or the date on the canceled check shows the check was endorsed more than 60 days after the date the institution determined that the student withdrew (34 CFR 668.173(b)).</w:t>
      </w:r>
    </w:p>
    <w:p w14:paraId="1553CA5D" w14:textId="4A27FA7B" w:rsidR="002A7D42" w:rsidRPr="00044890" w:rsidRDefault="00380F71" w:rsidP="00380F71">
      <w:pPr>
        <w:spacing w:after="240"/>
        <w:jc w:val="both"/>
        <w:rPr>
          <w:rFonts w:ascii="Arial" w:hAnsi="Arial" w:cs="Arial"/>
          <w:bCs/>
          <w:iCs/>
        </w:rPr>
      </w:pPr>
      <w:r w:rsidRPr="00380F71">
        <w:rPr>
          <w:rFonts w:ascii="Arial" w:hAnsi="Arial" w:cs="Arial"/>
          <w:bCs/>
          <w:iCs/>
        </w:rPr>
        <w:t>An institution that is not required to take attendance must determine the withdrawal date for a student who withdraws without providing notification to the institution no later than 30 days after the end of the earlier of the (1) payment period or period of enrollment, (2) academic year in which the student withdrew, or (3) educational program from which the student withdrew (34 CFR 668.22(j)). The institution must also notify the recipient of Title IV loans returned (34 CFR 685.306(a)(2)).</w:t>
      </w:r>
    </w:p>
    <w:p w14:paraId="4A8710F3" w14:textId="069D1814" w:rsidR="002A7D42" w:rsidRPr="00044890" w:rsidRDefault="002A7D42" w:rsidP="002A7D42">
      <w:pPr>
        <w:spacing w:after="240"/>
        <w:jc w:val="both"/>
        <w:rPr>
          <w:rFonts w:ascii="Arial" w:hAnsi="Arial" w:cs="Arial"/>
          <w:bCs/>
          <w:iCs/>
        </w:rPr>
      </w:pPr>
      <w:r w:rsidRPr="009610FF">
        <w:rPr>
          <w:rFonts w:ascii="Arial" w:hAnsi="Arial" w:cs="Arial"/>
          <w:b/>
          <w:iCs/>
        </w:rPr>
        <w:lastRenderedPageBreak/>
        <w:t>Compliance Requirements Applicable for a Student Who Does Not Begin Attendance</w:t>
      </w:r>
      <w:r w:rsidRPr="00044890">
        <w:rPr>
          <w:rFonts w:ascii="Arial" w:hAnsi="Arial" w:cs="Arial"/>
          <w:bCs/>
          <w:iCs/>
        </w:rPr>
        <w:t xml:space="preserve"> </w:t>
      </w:r>
      <w:r w:rsidR="00483220" w:rsidRPr="00483220">
        <w:rPr>
          <w:rFonts w:ascii="Arial" w:hAnsi="Arial" w:cs="Arial"/>
          <w:bCs/>
          <w:iCs/>
        </w:rPr>
        <w:t>When a recipient of Title IV grant or loan assistance does not begin attendance at an institution during a payment period or period of enrollment, all disbursed Title IV grant and loan funds must be returned. The institution must determine which Title IV funds it must return or if it has to notify the lender or the secretary to issue a final demand letter (34 CFR 668.21).</w:t>
      </w:r>
    </w:p>
    <w:p w14:paraId="3AA218D6" w14:textId="77777777" w:rsidR="002A7D42" w:rsidRPr="008019AA" w:rsidRDefault="002A7D42" w:rsidP="002A7D42">
      <w:pPr>
        <w:spacing w:after="240"/>
        <w:jc w:val="both"/>
        <w:rPr>
          <w:rFonts w:ascii="Arial" w:hAnsi="Arial" w:cs="Arial"/>
          <w:bCs/>
          <w:i/>
        </w:rPr>
      </w:pPr>
      <w:r w:rsidRPr="009610FF">
        <w:rPr>
          <w:rFonts w:ascii="Arial" w:hAnsi="Arial" w:cs="Arial"/>
          <w:bCs/>
          <w:i/>
        </w:rPr>
        <w:t>Not beginning attendance</w:t>
      </w:r>
    </w:p>
    <w:p w14:paraId="779FAC6B" w14:textId="30D49DFF" w:rsidR="002A7D42" w:rsidRPr="00044890" w:rsidRDefault="00483220" w:rsidP="002A7D42">
      <w:pPr>
        <w:spacing w:after="240"/>
        <w:jc w:val="both"/>
        <w:rPr>
          <w:rFonts w:ascii="Arial" w:hAnsi="Arial" w:cs="Arial"/>
          <w:bCs/>
          <w:iCs/>
        </w:rPr>
      </w:pPr>
      <w:r w:rsidRPr="00483220">
        <w:rPr>
          <w:rFonts w:ascii="Arial" w:hAnsi="Arial" w:cs="Arial"/>
          <w:bCs/>
          <w:iCs/>
        </w:rPr>
        <w:t>A student is considered to have not begun attendance in a payment period or period of enrollment if the institution is unable to document the student’s attendance at any class during the payment period or period of enrollment (34 CFR 668.21(c)).</w:t>
      </w:r>
    </w:p>
    <w:p w14:paraId="43A68D8A" w14:textId="15244847" w:rsidR="002A7D42" w:rsidRPr="008019AA" w:rsidRDefault="002A7D42" w:rsidP="002A7D42">
      <w:pPr>
        <w:spacing w:after="240"/>
        <w:jc w:val="both"/>
        <w:rPr>
          <w:rFonts w:ascii="Arial" w:hAnsi="Arial" w:cs="Arial"/>
          <w:bCs/>
          <w:i/>
        </w:rPr>
      </w:pPr>
      <w:r w:rsidRPr="008019AA">
        <w:rPr>
          <w:rFonts w:ascii="Arial" w:hAnsi="Arial" w:cs="Arial"/>
          <w:bCs/>
          <w:i/>
        </w:rPr>
        <w:t xml:space="preserve">FSEOG, TEACH Grants, </w:t>
      </w:r>
      <w:r w:rsidR="00483220">
        <w:rPr>
          <w:rFonts w:ascii="Arial" w:hAnsi="Arial" w:cs="Arial"/>
          <w:bCs/>
          <w:i/>
        </w:rPr>
        <w:t xml:space="preserve">and </w:t>
      </w:r>
      <w:r w:rsidRPr="008019AA">
        <w:rPr>
          <w:rFonts w:ascii="Arial" w:hAnsi="Arial" w:cs="Arial"/>
          <w:bCs/>
          <w:i/>
        </w:rPr>
        <w:t>Pell Grant program funds</w:t>
      </w:r>
    </w:p>
    <w:p w14:paraId="6790CCF5" w14:textId="06621976" w:rsidR="002A7D42" w:rsidRPr="00044890" w:rsidRDefault="00483220" w:rsidP="002A7D42">
      <w:pPr>
        <w:spacing w:after="240"/>
        <w:jc w:val="both"/>
        <w:rPr>
          <w:rFonts w:ascii="Arial" w:hAnsi="Arial" w:cs="Arial"/>
          <w:bCs/>
          <w:iCs/>
        </w:rPr>
      </w:pPr>
      <w:r w:rsidRPr="00483220">
        <w:rPr>
          <w:rFonts w:ascii="Arial" w:hAnsi="Arial" w:cs="Arial"/>
          <w:bCs/>
          <w:iCs/>
        </w:rPr>
        <w:t>If a student does not begin attendance, the institution must return all FSEOG, TEACH Grants, and Pell Grant program funds that were credited to the student’s account or disbursed directly to the student for that payment period or period of enrollment (34 CFR 668.21(a)(1)).</w:t>
      </w:r>
    </w:p>
    <w:p w14:paraId="3913CD70" w14:textId="77777777" w:rsidR="002A7D42" w:rsidRPr="008019AA" w:rsidRDefault="002A7D42" w:rsidP="002A7D42">
      <w:pPr>
        <w:spacing w:after="240"/>
        <w:jc w:val="both"/>
        <w:rPr>
          <w:rFonts w:ascii="Arial" w:hAnsi="Arial" w:cs="Arial"/>
          <w:bCs/>
          <w:i/>
        </w:rPr>
      </w:pPr>
      <w:r w:rsidRPr="008019AA">
        <w:rPr>
          <w:rFonts w:ascii="Arial" w:hAnsi="Arial" w:cs="Arial"/>
          <w:bCs/>
          <w:i/>
        </w:rPr>
        <w:t>Direct Loan Funds</w:t>
      </w:r>
    </w:p>
    <w:p w14:paraId="3BBC1061" w14:textId="357F5651" w:rsidR="00483220" w:rsidRPr="00483220" w:rsidRDefault="00483220" w:rsidP="00483220">
      <w:pPr>
        <w:spacing w:after="240"/>
        <w:jc w:val="both"/>
        <w:rPr>
          <w:rFonts w:ascii="Arial" w:hAnsi="Arial" w:cs="Arial"/>
          <w:bCs/>
          <w:iCs/>
        </w:rPr>
      </w:pPr>
      <w:r w:rsidRPr="00483220">
        <w:rPr>
          <w:rFonts w:ascii="Arial" w:hAnsi="Arial" w:cs="Arial"/>
          <w:bCs/>
          <w:iCs/>
        </w:rPr>
        <w:t>The institution must return all Direct Loan funds that were</w:t>
      </w:r>
    </w:p>
    <w:p w14:paraId="34A02741" w14:textId="0E17729D" w:rsidR="00483220" w:rsidRPr="00483220" w:rsidRDefault="00483220" w:rsidP="00483220">
      <w:pPr>
        <w:spacing w:after="240"/>
        <w:jc w:val="both"/>
        <w:rPr>
          <w:rFonts w:ascii="Arial" w:hAnsi="Arial" w:cs="Arial"/>
          <w:bCs/>
          <w:iCs/>
        </w:rPr>
      </w:pPr>
      <w:r w:rsidRPr="00483220">
        <w:rPr>
          <w:rFonts w:ascii="Arial" w:hAnsi="Arial" w:cs="Arial"/>
          <w:bCs/>
          <w:iCs/>
        </w:rPr>
        <w:t>a.</w:t>
      </w:r>
      <w:r w:rsidRPr="00483220">
        <w:rPr>
          <w:rFonts w:ascii="Arial" w:hAnsi="Arial" w:cs="Arial"/>
          <w:bCs/>
          <w:iCs/>
        </w:rPr>
        <w:tab/>
        <w:t>Credited to the student’s account for that payment period or period of enrollment;</w:t>
      </w:r>
    </w:p>
    <w:p w14:paraId="7F0EC778" w14:textId="77777777" w:rsidR="00483220" w:rsidRPr="00483220" w:rsidRDefault="00483220" w:rsidP="00483220">
      <w:pPr>
        <w:spacing w:after="240"/>
        <w:ind w:left="720" w:hanging="720"/>
        <w:jc w:val="both"/>
        <w:rPr>
          <w:rFonts w:ascii="Arial" w:hAnsi="Arial" w:cs="Arial"/>
          <w:bCs/>
          <w:iCs/>
        </w:rPr>
      </w:pPr>
      <w:r w:rsidRPr="00483220">
        <w:rPr>
          <w:rFonts w:ascii="Arial" w:hAnsi="Arial" w:cs="Arial"/>
          <w:bCs/>
          <w:iCs/>
        </w:rPr>
        <w:t>b.</w:t>
      </w:r>
      <w:r w:rsidRPr="00483220">
        <w:rPr>
          <w:rFonts w:ascii="Arial" w:hAnsi="Arial" w:cs="Arial"/>
          <w:bCs/>
          <w:iCs/>
        </w:rPr>
        <w:tab/>
        <w:t>Payments made directly by or on behalf of the student to the institution for that payment period or period of enrollment, up to the total amount of the loan funds disbursed; or</w:t>
      </w:r>
    </w:p>
    <w:p w14:paraId="32F494B4" w14:textId="77777777" w:rsidR="00483220" w:rsidRPr="00483220" w:rsidRDefault="00483220" w:rsidP="00483220">
      <w:pPr>
        <w:spacing w:after="240"/>
        <w:ind w:left="720" w:hanging="720"/>
        <w:jc w:val="both"/>
        <w:rPr>
          <w:rFonts w:ascii="Arial" w:hAnsi="Arial" w:cs="Arial"/>
          <w:bCs/>
          <w:iCs/>
        </w:rPr>
      </w:pPr>
      <w:r w:rsidRPr="00483220">
        <w:rPr>
          <w:rFonts w:ascii="Arial" w:hAnsi="Arial" w:cs="Arial"/>
          <w:bCs/>
          <w:iCs/>
        </w:rPr>
        <w:t>c.</w:t>
      </w:r>
      <w:r w:rsidRPr="00483220">
        <w:rPr>
          <w:rFonts w:ascii="Arial" w:hAnsi="Arial" w:cs="Arial"/>
          <w:bCs/>
          <w:iCs/>
        </w:rPr>
        <w:tab/>
        <w:t>Disbursed directly to the student if the institution knew that a student would not begin attendance prior to disbursing the funds directly to the student for that payment period or period of enrollment (e.g., the student notified the institution that he or she would not attend, or the institution expelled the student).</w:t>
      </w:r>
    </w:p>
    <w:p w14:paraId="00154948" w14:textId="5E7F62E2" w:rsidR="002A7D42" w:rsidRPr="00044890" w:rsidRDefault="00483220" w:rsidP="00483220">
      <w:pPr>
        <w:spacing w:after="240"/>
        <w:jc w:val="both"/>
        <w:rPr>
          <w:rFonts w:ascii="Arial" w:hAnsi="Arial" w:cs="Arial"/>
          <w:bCs/>
          <w:iCs/>
        </w:rPr>
      </w:pPr>
      <w:r w:rsidRPr="00483220">
        <w:rPr>
          <w:rFonts w:ascii="Arial" w:hAnsi="Arial" w:cs="Arial"/>
          <w:bCs/>
          <w:iCs/>
        </w:rPr>
        <w:t>For remaining amounts of Direct Loan funds disbursed directly to the student for the payment period or period of enrollment (including funds disbursed directly to the student by the lender for a study-abroad program or for a student enrolled in a foreign institution), the institution must immediately notify the lender or the secretary, as appropriate, when it becomes aware that the student will not or has not begun attendance so that the lender or the secretary will issue a final demand letter to the borrower in accordance with 34 CFR 685.211 (34 CFR 668.21(a)(2)).</w:t>
      </w:r>
    </w:p>
    <w:p w14:paraId="4BA90388" w14:textId="77777777" w:rsidR="002A7D42" w:rsidRPr="008019AA" w:rsidRDefault="002A7D42" w:rsidP="002A7D42">
      <w:pPr>
        <w:spacing w:after="240"/>
        <w:jc w:val="both"/>
        <w:rPr>
          <w:rFonts w:ascii="Arial" w:hAnsi="Arial" w:cs="Arial"/>
          <w:bCs/>
          <w:i/>
        </w:rPr>
      </w:pPr>
      <w:r w:rsidRPr="008019AA">
        <w:rPr>
          <w:rFonts w:ascii="Arial" w:hAnsi="Arial" w:cs="Arial"/>
          <w:bCs/>
          <w:i/>
        </w:rPr>
        <w:t>Deadline for return of funds by the institution</w:t>
      </w:r>
    </w:p>
    <w:p w14:paraId="2DF950F9" w14:textId="58B2D0E3" w:rsidR="002A7D42" w:rsidRPr="00044890" w:rsidRDefault="00483220" w:rsidP="002A7D42">
      <w:pPr>
        <w:spacing w:after="240"/>
        <w:jc w:val="both"/>
        <w:rPr>
          <w:rFonts w:ascii="Arial" w:hAnsi="Arial" w:cs="Arial"/>
          <w:bCs/>
          <w:iCs/>
        </w:rPr>
      </w:pPr>
      <w:r w:rsidRPr="00483220">
        <w:rPr>
          <w:rFonts w:ascii="Arial" w:hAnsi="Arial" w:cs="Arial"/>
          <w:bCs/>
          <w:iCs/>
        </w:rPr>
        <w:t>The institution must return those funds for which it is responsible as soon as possible, but no later than 30 days after the date that the institution becomes aware that the student will not or has not begun attendance (34 CFR 668.21(b)).</w:t>
      </w:r>
    </w:p>
    <w:p w14:paraId="50A43C65" w14:textId="77777777" w:rsidR="002A7D42" w:rsidRPr="008019AA" w:rsidRDefault="002A7D42" w:rsidP="002A7D42">
      <w:pPr>
        <w:spacing w:after="240"/>
        <w:jc w:val="both"/>
        <w:rPr>
          <w:rFonts w:ascii="Arial" w:hAnsi="Arial" w:cs="Arial"/>
          <w:bCs/>
          <w:i/>
        </w:rPr>
      </w:pPr>
      <w:r w:rsidRPr="008019AA">
        <w:rPr>
          <w:rFonts w:ascii="Arial" w:hAnsi="Arial" w:cs="Arial"/>
          <w:bCs/>
          <w:i/>
        </w:rPr>
        <w:t>Timely return of funds by the institution</w:t>
      </w:r>
    </w:p>
    <w:p w14:paraId="47ADC3A9" w14:textId="77777777" w:rsidR="002A7D42" w:rsidRPr="00044890" w:rsidRDefault="002A7D42" w:rsidP="002A7D42">
      <w:pPr>
        <w:spacing w:after="240"/>
        <w:jc w:val="both"/>
        <w:rPr>
          <w:rFonts w:ascii="Arial" w:hAnsi="Arial" w:cs="Arial"/>
          <w:bCs/>
          <w:iCs/>
        </w:rPr>
      </w:pPr>
      <w:r w:rsidRPr="00044890">
        <w:rPr>
          <w:rFonts w:ascii="Arial" w:hAnsi="Arial" w:cs="Arial"/>
          <w:bCs/>
          <w:iCs/>
        </w:rPr>
        <w:t>An institution returns Title IV funds timely if:</w:t>
      </w:r>
    </w:p>
    <w:p w14:paraId="6725318C" w14:textId="77777777" w:rsidR="00483220" w:rsidRPr="00483220" w:rsidRDefault="00483220" w:rsidP="00483220">
      <w:pPr>
        <w:spacing w:after="240"/>
        <w:ind w:left="720" w:hanging="720"/>
        <w:jc w:val="both"/>
        <w:rPr>
          <w:rFonts w:ascii="Arial" w:hAnsi="Arial" w:cs="Arial"/>
          <w:bCs/>
          <w:iCs/>
        </w:rPr>
      </w:pPr>
      <w:r w:rsidRPr="00483220">
        <w:rPr>
          <w:rFonts w:ascii="Arial" w:hAnsi="Arial" w:cs="Arial"/>
          <w:bCs/>
          <w:iCs/>
        </w:rPr>
        <w:t>a.</w:t>
      </w:r>
      <w:r w:rsidRPr="00483220">
        <w:rPr>
          <w:rFonts w:ascii="Arial" w:hAnsi="Arial" w:cs="Arial"/>
          <w:bCs/>
          <w:iCs/>
        </w:rPr>
        <w:tab/>
        <w:t>The institution deposits or transfers the funds into the bank account it maintains under 34 CFR 668.163 as soon as possible, but no later than 30 days after the date that the institution becomes aware that the student will not or has not begun attendance;</w:t>
      </w:r>
    </w:p>
    <w:p w14:paraId="000D1661" w14:textId="77777777" w:rsidR="00483220" w:rsidRPr="00483220" w:rsidRDefault="00483220" w:rsidP="00483220">
      <w:pPr>
        <w:spacing w:after="240"/>
        <w:ind w:left="720" w:hanging="720"/>
        <w:jc w:val="both"/>
        <w:rPr>
          <w:rFonts w:ascii="Arial" w:hAnsi="Arial" w:cs="Arial"/>
          <w:bCs/>
          <w:iCs/>
        </w:rPr>
      </w:pPr>
      <w:r w:rsidRPr="00483220">
        <w:rPr>
          <w:rFonts w:ascii="Arial" w:hAnsi="Arial" w:cs="Arial"/>
          <w:bCs/>
          <w:iCs/>
        </w:rPr>
        <w:lastRenderedPageBreak/>
        <w:t>b.</w:t>
      </w:r>
      <w:r w:rsidRPr="00483220">
        <w:rPr>
          <w:rFonts w:ascii="Arial" w:hAnsi="Arial" w:cs="Arial"/>
          <w:bCs/>
          <w:iCs/>
        </w:rPr>
        <w:tab/>
        <w:t>The institution initiates an EFT as soon as possible, but no later than 30 days after the date that the institution becomes aware that the student will not or has not begun attendance;</w:t>
      </w:r>
    </w:p>
    <w:p w14:paraId="1C7C3007" w14:textId="77777777" w:rsidR="00483220" w:rsidRPr="00483220" w:rsidRDefault="00483220" w:rsidP="00483220">
      <w:pPr>
        <w:spacing w:after="240"/>
        <w:ind w:left="720" w:hanging="720"/>
        <w:jc w:val="both"/>
        <w:rPr>
          <w:rFonts w:ascii="Arial" w:hAnsi="Arial" w:cs="Arial"/>
          <w:bCs/>
          <w:iCs/>
        </w:rPr>
      </w:pPr>
      <w:r w:rsidRPr="00483220">
        <w:rPr>
          <w:rFonts w:ascii="Arial" w:hAnsi="Arial" w:cs="Arial"/>
          <w:bCs/>
          <w:iCs/>
        </w:rPr>
        <w:t>c.</w:t>
      </w:r>
      <w:r w:rsidRPr="00483220">
        <w:rPr>
          <w:rFonts w:ascii="Arial" w:hAnsi="Arial" w:cs="Arial"/>
          <w:bCs/>
          <w:iCs/>
        </w:rPr>
        <w:tab/>
        <w:t>The institution initiates an electronic transaction, as soon as possible, but no later than 30 days after the date that the institution becomes aware that the student will not or has not begun attendance, that informs the lender to adjust the borrower’s loan account for the amount returned; or</w:t>
      </w:r>
    </w:p>
    <w:p w14:paraId="57DA89CA" w14:textId="77777777" w:rsidR="00483220" w:rsidRPr="00483220" w:rsidRDefault="00483220" w:rsidP="00483220">
      <w:pPr>
        <w:spacing w:after="240"/>
        <w:ind w:left="720" w:hanging="720"/>
        <w:jc w:val="both"/>
        <w:rPr>
          <w:rFonts w:ascii="Arial" w:hAnsi="Arial" w:cs="Arial"/>
          <w:bCs/>
          <w:iCs/>
        </w:rPr>
      </w:pPr>
      <w:r w:rsidRPr="00483220">
        <w:rPr>
          <w:rFonts w:ascii="Arial" w:hAnsi="Arial" w:cs="Arial"/>
          <w:bCs/>
          <w:iCs/>
        </w:rPr>
        <w:t>d.</w:t>
      </w:r>
      <w:r w:rsidRPr="00483220">
        <w:rPr>
          <w:rFonts w:ascii="Arial" w:hAnsi="Arial" w:cs="Arial"/>
          <w:bCs/>
          <w:iCs/>
        </w:rPr>
        <w:tab/>
        <w:t>The institution issues a check as soon as possible, but no later than 30 days after the date that the institution becomes aware that the student will not or has not begun attendance; an institution does not satisfy this requirement if</w:t>
      </w:r>
    </w:p>
    <w:p w14:paraId="689B75CF" w14:textId="77777777" w:rsidR="00483220" w:rsidRPr="00483220" w:rsidRDefault="00483220" w:rsidP="00483220">
      <w:pPr>
        <w:spacing w:after="240"/>
        <w:ind w:left="1440" w:hanging="720"/>
        <w:jc w:val="both"/>
        <w:rPr>
          <w:rFonts w:ascii="Arial" w:hAnsi="Arial" w:cs="Arial"/>
          <w:bCs/>
          <w:iCs/>
        </w:rPr>
      </w:pPr>
      <w:r w:rsidRPr="00483220">
        <w:rPr>
          <w:rFonts w:ascii="Arial" w:hAnsi="Arial" w:cs="Arial"/>
          <w:bCs/>
          <w:iCs/>
        </w:rPr>
        <w:t>(1)</w:t>
      </w:r>
      <w:r w:rsidRPr="00483220">
        <w:rPr>
          <w:rFonts w:ascii="Arial" w:hAnsi="Arial" w:cs="Arial"/>
          <w:bCs/>
          <w:iCs/>
        </w:rPr>
        <w:tab/>
        <w:t>The institution’s records show that the check was issued more than 30 days after the date that the institution becomes aware that the student will not or has not begun attendance; or</w:t>
      </w:r>
    </w:p>
    <w:p w14:paraId="5A5F7F93" w14:textId="662EA2C6" w:rsidR="00483220" w:rsidRDefault="00483220" w:rsidP="00483220">
      <w:pPr>
        <w:spacing w:after="240"/>
        <w:ind w:left="1440" w:hanging="720"/>
        <w:jc w:val="both"/>
        <w:rPr>
          <w:rFonts w:ascii="Arial" w:hAnsi="Arial" w:cs="Arial"/>
          <w:bCs/>
          <w:i/>
          <w:iCs/>
        </w:rPr>
      </w:pPr>
      <w:r w:rsidRPr="00483220">
        <w:rPr>
          <w:rFonts w:ascii="Arial" w:hAnsi="Arial" w:cs="Arial"/>
          <w:bCs/>
          <w:iCs/>
        </w:rPr>
        <w:t>(2)</w:t>
      </w:r>
      <w:r w:rsidRPr="00483220">
        <w:rPr>
          <w:rFonts w:ascii="Arial" w:hAnsi="Arial" w:cs="Arial"/>
          <w:bCs/>
          <w:iCs/>
        </w:rPr>
        <w:tab/>
        <w:t>The date on the cancelled check shows that the bank used by the secretary endorsed that check more than 45 days after the date that the institution becomes aware that the student will not or has not begun attendance</w:t>
      </w:r>
      <w:r>
        <w:rPr>
          <w:rFonts w:ascii="Arial" w:hAnsi="Arial" w:cs="Arial"/>
          <w:bCs/>
          <w:iCs/>
        </w:rPr>
        <w:t xml:space="preserve"> </w:t>
      </w:r>
      <w:r w:rsidRPr="00483220">
        <w:rPr>
          <w:rFonts w:ascii="Arial" w:hAnsi="Arial" w:cs="Arial"/>
          <w:bCs/>
          <w:iCs/>
        </w:rPr>
        <w:t>(34 CFR 668.21(d)).</w:t>
      </w:r>
      <w:r w:rsidRPr="00483220">
        <w:rPr>
          <w:rFonts w:ascii="Arial" w:hAnsi="Arial" w:cs="Arial"/>
          <w:bCs/>
          <w:i/>
          <w:iCs/>
        </w:rPr>
        <w:t xml:space="preserve"> </w:t>
      </w:r>
    </w:p>
    <w:p w14:paraId="644319ED" w14:textId="38EBE5D5" w:rsidR="004171E2" w:rsidRPr="00F00D94" w:rsidRDefault="002A7D42" w:rsidP="00483220">
      <w:pPr>
        <w:spacing w:after="240"/>
        <w:jc w:val="both"/>
        <w:rPr>
          <w:rFonts w:ascii="Arial" w:hAnsi="Arial" w:cs="Arial"/>
        </w:rPr>
      </w:pPr>
      <w:r w:rsidRPr="004E2CCB">
        <w:rPr>
          <w:rFonts w:ascii="Arial" w:hAnsi="Arial" w:cs="Arial"/>
          <w:bCs/>
          <w:i/>
        </w:rPr>
        <w:t>(Source: 202</w:t>
      </w:r>
      <w:r w:rsidR="00483220">
        <w:rPr>
          <w:rFonts w:ascii="Arial" w:hAnsi="Arial" w:cs="Arial"/>
          <w:bCs/>
          <w:i/>
        </w:rPr>
        <w:t>5</w:t>
      </w:r>
      <w:r w:rsidRPr="004E2CCB">
        <w:rPr>
          <w:rFonts w:ascii="Arial" w:hAnsi="Arial" w:cs="Arial"/>
          <w:bCs/>
          <w:i/>
        </w:rPr>
        <w:t xml:space="preserve"> OMB Compliance Supplement, Part 5, Student Financial Assistance Cluster)</w:t>
      </w:r>
    </w:p>
    <w:p w14:paraId="7D467FBF" w14:textId="77777777" w:rsidR="004171E2" w:rsidRPr="000706D1" w:rsidRDefault="004171E2" w:rsidP="004171E2">
      <w:pPr>
        <w:pStyle w:val="Heading3"/>
        <w:jc w:val="both"/>
        <w:rPr>
          <w:rFonts w:cs="Arial"/>
          <w:sz w:val="24"/>
          <w:szCs w:val="24"/>
        </w:rPr>
      </w:pPr>
      <w:bookmarkStart w:id="81" w:name="_Toc210306846"/>
      <w:r w:rsidRPr="000706D1">
        <w:rPr>
          <w:rFonts w:cs="Arial"/>
          <w:sz w:val="24"/>
          <w:szCs w:val="24"/>
        </w:rPr>
        <w:t>Additional Program Specific Information</w:t>
      </w:r>
      <w:bookmarkEnd w:id="81"/>
    </w:p>
    <w:p w14:paraId="149FBCBF" w14:textId="77777777" w:rsidR="004171E2" w:rsidRPr="00AA5B05" w:rsidRDefault="004171E2" w:rsidP="004171E2">
      <w:pPr>
        <w:spacing w:after="240"/>
        <w:jc w:val="both"/>
        <w:rPr>
          <w:rFonts w:ascii="Arial" w:hAnsi="Arial" w:cs="Arial"/>
          <w:b/>
          <w:highlight w:val="yellow"/>
        </w:rPr>
      </w:pPr>
      <w:r w:rsidRPr="00AA5B05">
        <w:rPr>
          <w:rFonts w:ascii="Arial" w:hAnsi="Arial" w:cs="Arial"/>
          <w:b/>
          <w:highlight w:val="yellow"/>
        </w:rPr>
        <w:t>Add program specific requirements from:</w:t>
      </w:r>
    </w:p>
    <w:p w14:paraId="4F18B6B0" w14:textId="55DE4A0D"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A7D42">
        <w:rPr>
          <w:rFonts w:ascii="Arial" w:hAnsi="Arial" w:cs="Arial"/>
          <w:b/>
          <w:highlight w:val="yellow"/>
        </w:rPr>
        <w:t xml:space="preserve"> and</w:t>
      </w:r>
    </w:p>
    <w:p w14:paraId="70CCFA9F" w14:textId="77777777"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2B79E67" w14:textId="77777777" w:rsidR="004171E2" w:rsidRPr="00AA5B05" w:rsidRDefault="004171E2" w:rsidP="004171E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9448A8A" w14:textId="77777777" w:rsidR="004171E2" w:rsidRPr="000706D1" w:rsidRDefault="004171E2" w:rsidP="004171E2">
      <w:pPr>
        <w:pStyle w:val="Heading3"/>
        <w:jc w:val="both"/>
        <w:rPr>
          <w:rFonts w:cs="Arial"/>
          <w:sz w:val="24"/>
          <w:szCs w:val="24"/>
        </w:rPr>
      </w:pPr>
      <w:bookmarkStart w:id="82" w:name="_Toc210306847"/>
      <w:r w:rsidRPr="000706D1">
        <w:rPr>
          <w:rFonts w:cs="Arial"/>
          <w:sz w:val="24"/>
          <w:szCs w:val="24"/>
        </w:rPr>
        <w:t>Audit Objectives and Control Testing</w:t>
      </w:r>
      <w:bookmarkEnd w:id="82"/>
    </w:p>
    <w:p w14:paraId="3583C805" w14:textId="77777777" w:rsidR="004171E2" w:rsidRPr="00F00D94" w:rsidRDefault="004171E2" w:rsidP="004171E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B9D4A46" w14:textId="77777777" w:rsidR="004171E2" w:rsidRPr="00F00D94" w:rsidRDefault="004171E2" w:rsidP="004171E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C372CD4" w14:textId="77777777" w:rsidR="004171E2"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A8F94CB" w14:textId="77777777" w:rsidR="002A7D42" w:rsidRPr="008019AA" w:rsidRDefault="002A7D42" w:rsidP="00D12EB7">
      <w:pPr>
        <w:pStyle w:val="ListParagraph"/>
        <w:numPr>
          <w:ilvl w:val="0"/>
          <w:numId w:val="6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019AA">
        <w:rPr>
          <w:rFonts w:ascii="Arial" w:hAnsi="Arial" w:cs="Arial"/>
          <w:iCs/>
        </w:rPr>
        <w:t>Determine if the institution—</w:t>
      </w:r>
    </w:p>
    <w:p w14:paraId="5402E7D8" w14:textId="616FD921" w:rsidR="00483220" w:rsidRPr="00483220" w:rsidRDefault="00483220" w:rsidP="00D12EB7">
      <w:pPr>
        <w:pStyle w:val="ListParagraph"/>
        <w:numPr>
          <w:ilvl w:val="0"/>
          <w:numId w:val="6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83220">
        <w:rPr>
          <w:rFonts w:ascii="Arial" w:hAnsi="Arial" w:cs="Arial"/>
          <w:iCs/>
        </w:rPr>
        <w:t>Accurately calculated return of Title IV funds for withdrawn students who began attendance, allocated the return of Title IV funds as required, returned Title IV funds timely (unless the student met one of the R2T4 withdrawal exemptions), and notified borrowers of returned loans;</w:t>
      </w:r>
    </w:p>
    <w:p w14:paraId="267FCA2A" w14:textId="4EF532E1" w:rsidR="00483220" w:rsidRPr="00483220" w:rsidRDefault="00483220" w:rsidP="00D12EB7">
      <w:pPr>
        <w:pStyle w:val="ListParagraph"/>
        <w:numPr>
          <w:ilvl w:val="0"/>
          <w:numId w:val="6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83220">
        <w:rPr>
          <w:rFonts w:ascii="Arial" w:hAnsi="Arial" w:cs="Arial"/>
          <w:iCs/>
        </w:rPr>
        <w:t>Timely returned all Title IV funds when a student did not begin attendance as required; and</w:t>
      </w:r>
    </w:p>
    <w:p w14:paraId="7664AA91" w14:textId="0F7B6EF9" w:rsidR="002A7D42" w:rsidRPr="008019AA" w:rsidRDefault="00483220" w:rsidP="00D12EB7">
      <w:pPr>
        <w:pStyle w:val="ListParagraph"/>
        <w:numPr>
          <w:ilvl w:val="0"/>
          <w:numId w:val="6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83220">
        <w:rPr>
          <w:rFonts w:ascii="Arial" w:hAnsi="Arial" w:cs="Arial"/>
          <w:iCs/>
        </w:rPr>
        <w:t>Followed the requirements for post-withdrawal disbursements as applicable.</w:t>
      </w:r>
    </w:p>
    <w:p w14:paraId="6BBFB334" w14:textId="1E863394" w:rsidR="004171E2" w:rsidRPr="002A7D42" w:rsidRDefault="002A7D42" w:rsidP="002A7D42">
      <w:pPr>
        <w:tabs>
          <w:tab w:val="left" w:pos="450"/>
        </w:tabs>
        <w:spacing w:after="240"/>
        <w:rPr>
          <w:rFonts w:ascii="Arial" w:hAnsi="Arial" w:cs="Arial"/>
          <w:iCs/>
        </w:rPr>
      </w:pPr>
      <w:r w:rsidRPr="002A7D42">
        <w:rPr>
          <w:rFonts w:ascii="Arial" w:hAnsi="Arial" w:cs="Arial"/>
          <w:bCs/>
          <w:i/>
        </w:rPr>
        <w:lastRenderedPageBreak/>
        <w:t>(Source: 202</w:t>
      </w:r>
      <w:r w:rsidR="00483220">
        <w:rPr>
          <w:rFonts w:ascii="Arial" w:hAnsi="Arial" w:cs="Arial"/>
          <w:bCs/>
          <w:i/>
        </w:rPr>
        <w:t>5</w:t>
      </w:r>
      <w:r w:rsidRPr="002A7D42">
        <w:rPr>
          <w:rFonts w:ascii="Arial" w:hAnsi="Arial" w:cs="Arial"/>
          <w:bCs/>
          <w:i/>
        </w:rPr>
        <w:t xml:space="preserve"> OMB Compliance Supplement, Part 5, Student Financial Assistance Cluster)</w:t>
      </w:r>
    </w:p>
    <w:p w14:paraId="344ACB33" w14:textId="77777777" w:rsidR="004171E2" w:rsidRPr="00634FA3" w:rsidRDefault="004171E2" w:rsidP="004171E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171E2" w:rsidRPr="00F00D94" w14:paraId="48680EAA" w14:textId="77777777" w:rsidTr="00E0350C">
        <w:tc>
          <w:tcPr>
            <w:tcW w:w="5000" w:type="pct"/>
          </w:tcPr>
          <w:p w14:paraId="3462405D" w14:textId="77777777" w:rsidR="004171E2" w:rsidRPr="006F5FFA" w:rsidRDefault="004171E2" w:rsidP="0005458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84C0BA6"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867AD4E" w14:textId="77777777" w:rsidR="004171E2" w:rsidRPr="00F00D94" w:rsidRDefault="004171E2" w:rsidP="0005458C">
            <w:pPr>
              <w:pStyle w:val="AuditProcedureHeading"/>
              <w:spacing w:after="240"/>
              <w:jc w:val="both"/>
              <w:rPr>
                <w:rFonts w:cs="Arial"/>
                <w:b/>
                <w:bCs/>
                <w:szCs w:val="20"/>
                <w:u w:val="single"/>
              </w:rPr>
            </w:pPr>
          </w:p>
          <w:p w14:paraId="1C70668D" w14:textId="77777777" w:rsidR="004171E2" w:rsidRPr="00F00D94" w:rsidRDefault="004171E2" w:rsidP="0005458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F1AE134" w14:textId="77777777" w:rsidR="004171E2" w:rsidRPr="00F00D94" w:rsidRDefault="004171E2" w:rsidP="0005458C">
            <w:pPr>
              <w:pStyle w:val="AuditProcedureHeading"/>
              <w:spacing w:after="240"/>
              <w:jc w:val="both"/>
              <w:rPr>
                <w:rFonts w:cs="Arial"/>
                <w:b/>
                <w:bCs/>
                <w:szCs w:val="20"/>
                <w:u w:val="single"/>
              </w:rPr>
            </w:pPr>
          </w:p>
          <w:p w14:paraId="653E4149"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05B6C9B" w14:textId="77777777" w:rsidR="004171E2" w:rsidRPr="00F00D94" w:rsidRDefault="004171E2" w:rsidP="0005458C">
            <w:pPr>
              <w:spacing w:after="240"/>
              <w:jc w:val="both"/>
              <w:rPr>
                <w:rFonts w:ascii="Arial" w:hAnsi="Arial" w:cs="Arial"/>
                <w:b/>
                <w:sz w:val="20"/>
                <w:u w:val="single"/>
              </w:rPr>
            </w:pPr>
          </w:p>
          <w:p w14:paraId="6E623D0A" w14:textId="77777777" w:rsidR="004171E2" w:rsidRPr="00F00D94" w:rsidRDefault="004171E2" w:rsidP="0005458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9CC9474" w14:textId="77777777" w:rsidR="004171E2" w:rsidRPr="00C35E5F" w:rsidRDefault="004171E2" w:rsidP="0005458C">
            <w:pPr>
              <w:spacing w:after="240"/>
              <w:jc w:val="both"/>
              <w:rPr>
                <w:rFonts w:ascii="Arial" w:eastAsiaTheme="minorHAnsi" w:hAnsi="Arial" w:cs="Arial"/>
                <w:sz w:val="20"/>
                <w:szCs w:val="20"/>
              </w:rPr>
            </w:pPr>
          </w:p>
        </w:tc>
      </w:tr>
    </w:tbl>
    <w:p w14:paraId="5B077882" w14:textId="77777777" w:rsidR="004171E2" w:rsidRPr="00F00D94" w:rsidRDefault="004171E2" w:rsidP="004171E2">
      <w:pPr>
        <w:spacing w:after="240"/>
        <w:jc w:val="both"/>
        <w:rPr>
          <w:rFonts w:ascii="Arial" w:hAnsi="Arial" w:cs="Arial"/>
          <w:b/>
          <w:bCs/>
        </w:rPr>
      </w:pPr>
    </w:p>
    <w:p w14:paraId="48A6EA85" w14:textId="77777777" w:rsidR="004171E2" w:rsidRPr="000706D1" w:rsidRDefault="004171E2" w:rsidP="004171E2">
      <w:pPr>
        <w:pStyle w:val="Heading3"/>
        <w:jc w:val="both"/>
        <w:rPr>
          <w:rFonts w:cs="Arial"/>
          <w:sz w:val="24"/>
          <w:szCs w:val="24"/>
        </w:rPr>
      </w:pPr>
      <w:bookmarkStart w:id="83" w:name="_Toc210306848"/>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3"/>
    </w:p>
    <w:tbl>
      <w:tblPr>
        <w:tblStyle w:val="TableGrid"/>
        <w:tblW w:w="9558" w:type="dxa"/>
        <w:tblLayout w:type="fixed"/>
        <w:tblLook w:val="04A0" w:firstRow="1" w:lastRow="0" w:firstColumn="1" w:lastColumn="0" w:noHBand="0" w:noVBand="1"/>
      </w:tblPr>
      <w:tblGrid>
        <w:gridCol w:w="9558"/>
      </w:tblGrid>
      <w:tr w:rsidR="004171E2" w:rsidRPr="00F00D94" w14:paraId="7B411607" w14:textId="77777777" w:rsidTr="00634FA3">
        <w:tc>
          <w:tcPr>
            <w:tcW w:w="9558" w:type="dxa"/>
          </w:tcPr>
          <w:p w14:paraId="467FBB3F" w14:textId="77777777" w:rsidR="004171E2" w:rsidRDefault="004171E2" w:rsidP="0005458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D3F2BF1" w14:textId="77777777" w:rsidR="004171E2" w:rsidRPr="00AC7B25" w:rsidRDefault="004171E2" w:rsidP="0005458C">
            <w:pPr>
              <w:spacing w:after="240"/>
              <w:jc w:val="both"/>
              <w:rPr>
                <w:rFonts w:ascii="Arial" w:hAnsi="Arial" w:cs="Arial"/>
                <w:i/>
                <w:sz w:val="20"/>
                <w:szCs w:val="20"/>
              </w:rPr>
            </w:pPr>
            <w:r>
              <w:rPr>
                <w:rFonts w:ascii="Arial" w:hAnsi="Arial" w:cs="Arial"/>
                <w:i/>
                <w:sz w:val="20"/>
                <w:szCs w:val="20"/>
              </w:rPr>
              <w:t>(Source: 2025 OMB Compliance Supplement Part 3.2)</w:t>
            </w:r>
          </w:p>
          <w:p w14:paraId="7664F8BC" w14:textId="149FA1EA" w:rsidR="002A7D42" w:rsidRPr="008019AA" w:rsidRDefault="002A7D42" w:rsidP="002A7D42">
            <w:pPr>
              <w:spacing w:after="240"/>
              <w:ind w:left="612" w:hanging="612"/>
              <w:jc w:val="both"/>
              <w:rPr>
                <w:rFonts w:ascii="Arial" w:hAnsi="Arial" w:cs="Arial"/>
                <w:sz w:val="20"/>
              </w:rPr>
            </w:pPr>
            <w:r w:rsidRPr="008019AA">
              <w:rPr>
                <w:rFonts w:ascii="Arial" w:hAnsi="Arial" w:cs="Arial"/>
                <w:sz w:val="20"/>
              </w:rPr>
              <w:t>a.</w:t>
            </w:r>
            <w:r w:rsidRPr="008019AA">
              <w:rPr>
                <w:rFonts w:ascii="Arial" w:hAnsi="Arial" w:cs="Arial"/>
                <w:sz w:val="20"/>
              </w:rPr>
              <w:tab/>
            </w:r>
            <w:r w:rsidR="00D12EB7" w:rsidRPr="00D12EB7">
              <w:rPr>
                <w:rFonts w:ascii="Arial" w:hAnsi="Arial" w:cs="Arial"/>
                <w:sz w:val="20"/>
              </w:rPr>
              <w:t xml:space="preserve">Using a sample of students who ceased attendance during a payment period or period of enrollment (including those who met one of the withdrawal exemptions), dropped, on a leave of absence, never began attendance or terminated during the audit period ascertain if returns of Title IV funds were properly calculated. Obtain and inspect student academic and financial aid files, student ledger accounts, financial records, and, if applicable, attendance records. Ensure that for students enrolled in distance education courses, documented attendance includes academic engagement, not merely logging in to an online platform; when applicable to the determination of last day of attendance (See the discussion under </w:t>
            </w:r>
            <w:r w:rsidR="00D12EB7" w:rsidRPr="00D12EB7">
              <w:rPr>
                <w:rFonts w:ascii="Arial" w:hAnsi="Arial" w:cs="Arial"/>
                <w:i/>
                <w:iCs/>
                <w:sz w:val="20"/>
              </w:rPr>
              <w:t>FSA Handbook</w:t>
            </w:r>
            <w:r w:rsidR="00D12EB7" w:rsidRPr="00D12EB7">
              <w:rPr>
                <w:rFonts w:ascii="Arial" w:hAnsi="Arial" w:cs="Arial"/>
                <w:sz w:val="20"/>
              </w:rPr>
              <w:t>, Volume 5, Chapter 2: Documenting attendance when students are enrolled in distance education courses). From the records determine:</w:t>
            </w:r>
          </w:p>
          <w:p w14:paraId="1AA74CE5" w14:textId="31B6E232" w:rsidR="002A7D42" w:rsidRPr="008019AA" w:rsidRDefault="002A7D42" w:rsidP="002A7D42">
            <w:pPr>
              <w:spacing w:after="240"/>
              <w:ind w:left="1332" w:hanging="720"/>
              <w:jc w:val="both"/>
              <w:rPr>
                <w:rFonts w:ascii="Arial" w:hAnsi="Arial" w:cs="Arial"/>
                <w:sz w:val="20"/>
              </w:rPr>
            </w:pPr>
            <w:r w:rsidRPr="008019AA">
              <w:rPr>
                <w:rFonts w:ascii="Arial" w:hAnsi="Arial" w:cs="Arial"/>
                <w:sz w:val="20"/>
              </w:rPr>
              <w:t>(1)</w:t>
            </w:r>
            <w:r w:rsidRPr="008019AA">
              <w:rPr>
                <w:rFonts w:ascii="Arial" w:hAnsi="Arial" w:cs="Arial"/>
                <w:sz w:val="20"/>
              </w:rPr>
              <w:tab/>
            </w:r>
            <w:r w:rsidR="00D12EB7" w:rsidRPr="00D12EB7">
              <w:rPr>
                <w:rFonts w:ascii="Arial" w:hAnsi="Arial" w:cs="Arial"/>
                <w:sz w:val="20"/>
              </w:rPr>
              <w:t>If the student’s enrollment status (or enrollment intensity for Pell Grant funds) is correct (official or unofficial withdrawal or enrolled or graduated only if the student met the requirements for one of the withdrawal exemptions).</w:t>
            </w:r>
          </w:p>
          <w:p w14:paraId="1F3DA5C4" w14:textId="5B26ED0D" w:rsidR="002A7D42" w:rsidRPr="008019AA" w:rsidRDefault="002A7D42" w:rsidP="002A7D42">
            <w:pPr>
              <w:spacing w:after="240"/>
              <w:ind w:left="1332" w:hanging="720"/>
              <w:jc w:val="both"/>
              <w:rPr>
                <w:rFonts w:ascii="Arial" w:hAnsi="Arial" w:cs="Arial"/>
                <w:sz w:val="20"/>
              </w:rPr>
            </w:pPr>
            <w:r w:rsidRPr="008019AA">
              <w:rPr>
                <w:rFonts w:ascii="Arial" w:hAnsi="Arial" w:cs="Arial"/>
                <w:sz w:val="20"/>
              </w:rPr>
              <w:t>(2)</w:t>
            </w:r>
            <w:r w:rsidRPr="008019AA">
              <w:rPr>
                <w:rFonts w:ascii="Arial" w:hAnsi="Arial" w:cs="Arial"/>
                <w:sz w:val="20"/>
              </w:rPr>
              <w:tab/>
            </w:r>
            <w:r w:rsidR="00D12EB7" w:rsidRPr="00D12EB7">
              <w:rPr>
                <w:rFonts w:ascii="Arial" w:hAnsi="Arial" w:cs="Arial"/>
                <w:sz w:val="20"/>
              </w:rPr>
              <w:t xml:space="preserve">Whether the calculation is calculated accurately. Calculating return of Title IV funds may be made using the worksheets found in the Appendix to Volume 5 of the </w:t>
            </w:r>
            <w:r w:rsidR="00D12EB7" w:rsidRPr="00D12EB7">
              <w:rPr>
                <w:rFonts w:ascii="Arial" w:hAnsi="Arial" w:cs="Arial"/>
                <w:i/>
                <w:iCs/>
                <w:sz w:val="20"/>
              </w:rPr>
              <w:t>FSA Handbook</w:t>
            </w:r>
            <w:r w:rsidR="00D12EB7" w:rsidRPr="00D12EB7">
              <w:rPr>
                <w:rFonts w:ascii="Arial" w:hAnsi="Arial" w:cs="Arial"/>
                <w:sz w:val="20"/>
              </w:rPr>
              <w:t>.</w:t>
            </w:r>
          </w:p>
          <w:p w14:paraId="1B0D0900" w14:textId="0293B708" w:rsidR="002A7D42" w:rsidRPr="008019AA" w:rsidRDefault="002A7D42" w:rsidP="002A7D42">
            <w:pPr>
              <w:spacing w:after="240"/>
              <w:ind w:left="612" w:hanging="612"/>
              <w:jc w:val="both"/>
              <w:rPr>
                <w:rFonts w:ascii="Arial" w:hAnsi="Arial" w:cs="Arial"/>
                <w:sz w:val="20"/>
              </w:rPr>
            </w:pPr>
            <w:r w:rsidRPr="008019AA">
              <w:rPr>
                <w:rFonts w:ascii="Arial" w:hAnsi="Arial" w:cs="Arial"/>
                <w:sz w:val="20"/>
              </w:rPr>
              <w:lastRenderedPageBreak/>
              <w:t>b.</w:t>
            </w:r>
            <w:r w:rsidRPr="008019AA">
              <w:rPr>
                <w:rFonts w:ascii="Arial" w:hAnsi="Arial" w:cs="Arial"/>
                <w:sz w:val="20"/>
              </w:rPr>
              <w:tab/>
            </w:r>
            <w:r w:rsidR="00D12EB7" w:rsidRPr="00D12EB7">
              <w:rPr>
                <w:rFonts w:ascii="Arial" w:hAnsi="Arial" w:cs="Arial"/>
                <w:sz w:val="20"/>
              </w:rPr>
              <w:t>For instances in the sample tested in procedure a. above where a return of Title IV was required, trace the return of Title IV funds to disbursement and accounting records (including canceled checks to ED and students) to verify that returned Title IV funds were applied to programs in the required order and were timely. Ascertain that within 45 days (or within 30 days for students that never began attendance) of becoming aware that the student had withdrawn, deposits or transfers were made into the federal funds account, electronic transfers were initiated, or checks were issued. When an institution issues a check, the return of Title IV is not timely if the institution’s records show that the check was issued more than 45 days after the institution becomes aware that the student withdrew (or more than 30 days for students that never began attendance) or the date on the cancelled check shows that the bank used by ED endorsed the check more than 60 days after the institution becomes aware that the student withdrew (or more than 45 days for students that never began attendance).</w:t>
            </w:r>
          </w:p>
          <w:p w14:paraId="5E1F12B3" w14:textId="33184931" w:rsidR="002A7D42" w:rsidRPr="008019AA" w:rsidRDefault="002A7D42" w:rsidP="002A7D42">
            <w:pPr>
              <w:spacing w:after="240"/>
              <w:ind w:left="612" w:hanging="612"/>
              <w:jc w:val="both"/>
              <w:rPr>
                <w:rFonts w:ascii="Arial" w:hAnsi="Arial" w:cs="Arial"/>
                <w:sz w:val="20"/>
              </w:rPr>
            </w:pPr>
            <w:r w:rsidRPr="008019AA">
              <w:rPr>
                <w:rFonts w:ascii="Arial" w:hAnsi="Arial" w:cs="Arial"/>
                <w:sz w:val="20"/>
              </w:rPr>
              <w:t>c.</w:t>
            </w:r>
            <w:r w:rsidRPr="008019AA">
              <w:rPr>
                <w:rFonts w:ascii="Arial" w:hAnsi="Arial" w:cs="Arial"/>
                <w:sz w:val="20"/>
              </w:rPr>
              <w:tab/>
            </w:r>
            <w:r w:rsidR="00D12EB7" w:rsidRPr="00D12EB7">
              <w:rPr>
                <w:rFonts w:ascii="Arial" w:hAnsi="Arial" w:cs="Arial"/>
                <w:sz w:val="20"/>
              </w:rPr>
              <w:t>For a sample of students who received Title IV assistance, for which no return of Title IV funds were made, review academic and enrollment records (including class attendance records if they are required) to ascertain whether the students sufficiently completed the payment or enrollment period to earn the Title IV funds received (earned 100% of Title IV funds received if completed more than 60% of the payment period/period of enrollment) or met one of the withdrawal exemptions. When doing this, for students who received all failing and/or all incomplete grades, review records to ascertain whether the students had attended the institution or had attended but withdrawn (unofficial withdrawals). Ensure that for students enrolled in distance education courses, documented attendance includes academic engagement, not merely logging in to an online platform.</w:t>
            </w:r>
          </w:p>
          <w:p w14:paraId="6B857E09" w14:textId="38E63941" w:rsidR="004171E2" w:rsidRPr="001B6A61" w:rsidRDefault="002A7D42" w:rsidP="002A7D42">
            <w:pPr>
              <w:spacing w:after="240"/>
              <w:ind w:left="611" w:hanging="611"/>
              <w:jc w:val="both"/>
              <w:rPr>
                <w:rFonts w:ascii="Arial" w:hAnsi="Arial" w:cs="Arial"/>
                <w:b/>
                <w:bCs/>
                <w:sz w:val="20"/>
              </w:rPr>
            </w:pPr>
            <w:r w:rsidRPr="008019AA">
              <w:rPr>
                <w:rFonts w:ascii="Arial" w:hAnsi="Arial" w:cs="Arial"/>
                <w:sz w:val="20"/>
              </w:rPr>
              <w:t>d.</w:t>
            </w:r>
            <w:r w:rsidRPr="008019AA">
              <w:rPr>
                <w:rFonts w:ascii="Arial" w:hAnsi="Arial" w:cs="Arial"/>
                <w:sz w:val="20"/>
              </w:rPr>
              <w:tab/>
            </w:r>
            <w:r w:rsidR="00D12EB7" w:rsidRPr="00D12EB7">
              <w:rPr>
                <w:rFonts w:ascii="Arial" w:hAnsi="Arial" w:cs="Arial"/>
                <w:sz w:val="20"/>
              </w:rPr>
              <w:t>For instances in the sample tested in procedure a. above where the student or parent was eligible for a post-withdrawal disbursement, ascertain if appropriate notification of the post-withdrawal disbursement was given to the student or parent. Review evidence of the student or parent’s acceptance or rejection of the post-withdrawal disbursement. Determine if the institution followed the student or parent’s instructions regarding the post-withdrawal disbursement.</w:t>
            </w:r>
          </w:p>
        </w:tc>
      </w:tr>
    </w:tbl>
    <w:p w14:paraId="0AF70701" w14:textId="77777777" w:rsidR="004171E2" w:rsidRPr="00F00D94" w:rsidRDefault="004171E2" w:rsidP="004171E2">
      <w:pPr>
        <w:tabs>
          <w:tab w:val="left" w:pos="-1440"/>
          <w:tab w:val="left" w:pos="720"/>
        </w:tabs>
        <w:spacing w:after="240"/>
        <w:ind w:left="720" w:hanging="720"/>
        <w:jc w:val="both"/>
        <w:rPr>
          <w:rFonts w:ascii="Arial" w:hAnsi="Arial" w:cs="Arial"/>
        </w:rPr>
      </w:pPr>
    </w:p>
    <w:p w14:paraId="41D4599A" w14:textId="77777777" w:rsidR="004171E2" w:rsidRPr="000706D1" w:rsidRDefault="004171E2" w:rsidP="004171E2">
      <w:pPr>
        <w:pStyle w:val="Heading3"/>
        <w:jc w:val="both"/>
        <w:rPr>
          <w:rFonts w:cs="Arial"/>
          <w:b w:val="0"/>
          <w:sz w:val="24"/>
          <w:szCs w:val="24"/>
        </w:rPr>
      </w:pPr>
      <w:bookmarkStart w:id="84" w:name="_Toc210306849"/>
      <w:r w:rsidRPr="000706D1">
        <w:rPr>
          <w:rFonts w:cs="Arial"/>
          <w:sz w:val="24"/>
          <w:szCs w:val="24"/>
        </w:rPr>
        <w:t>Audit Implications Summary</w:t>
      </w:r>
      <w:bookmarkEnd w:id="84"/>
    </w:p>
    <w:tbl>
      <w:tblPr>
        <w:tblStyle w:val="TableGrid"/>
        <w:tblW w:w="5000" w:type="pct"/>
        <w:tblLook w:val="04A0" w:firstRow="1" w:lastRow="0" w:firstColumn="1" w:lastColumn="0" w:noHBand="0" w:noVBand="1"/>
      </w:tblPr>
      <w:tblGrid>
        <w:gridCol w:w="9350"/>
      </w:tblGrid>
      <w:tr w:rsidR="004171E2" w:rsidRPr="00F00D94" w14:paraId="6C4447F0" w14:textId="77777777" w:rsidTr="00E0350C">
        <w:tc>
          <w:tcPr>
            <w:tcW w:w="5000" w:type="pct"/>
          </w:tcPr>
          <w:p w14:paraId="0A7E312E" w14:textId="77777777" w:rsidR="004171E2" w:rsidRDefault="004171E2" w:rsidP="0005458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6316916" w14:textId="77777777" w:rsidR="004171E2" w:rsidRPr="006E46AD" w:rsidRDefault="004171E2" w:rsidP="0005458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0992D62" w14:textId="77777777" w:rsidR="004171E2" w:rsidRPr="006E46AD" w:rsidRDefault="004171E2" w:rsidP="00D12EB7">
            <w:pPr>
              <w:pStyle w:val="ListParagraph"/>
              <w:widowControl w:val="0"/>
              <w:numPr>
                <w:ilvl w:val="0"/>
                <w:numId w:val="6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F6EF1E1" w14:textId="77777777" w:rsidR="004171E2" w:rsidRPr="006E46AD" w:rsidRDefault="004171E2" w:rsidP="0005458C">
            <w:pPr>
              <w:widowControl w:val="0"/>
              <w:spacing w:after="240"/>
              <w:ind w:left="720"/>
              <w:jc w:val="both"/>
              <w:rPr>
                <w:rFonts w:ascii="Arial" w:hAnsi="Arial" w:cs="Arial"/>
                <w:b/>
                <w:sz w:val="20"/>
                <w:szCs w:val="20"/>
              </w:rPr>
            </w:pPr>
          </w:p>
          <w:p w14:paraId="7E420014" w14:textId="77777777" w:rsidR="004171E2" w:rsidRPr="006E46AD" w:rsidRDefault="004171E2" w:rsidP="00D12EB7">
            <w:pPr>
              <w:widowControl w:val="0"/>
              <w:numPr>
                <w:ilvl w:val="0"/>
                <w:numId w:val="6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509FA13" w14:textId="77777777" w:rsidR="004171E2" w:rsidRPr="00F00D94" w:rsidRDefault="004171E2" w:rsidP="0005458C">
            <w:pPr>
              <w:pStyle w:val="ListParagraph"/>
              <w:spacing w:after="240"/>
              <w:jc w:val="both"/>
              <w:rPr>
                <w:rFonts w:ascii="Arial" w:hAnsi="Arial" w:cs="Arial"/>
                <w:b/>
              </w:rPr>
            </w:pPr>
          </w:p>
          <w:p w14:paraId="2ACB79A7" w14:textId="77777777" w:rsidR="004171E2" w:rsidRPr="00F00D94" w:rsidRDefault="004171E2" w:rsidP="00D12EB7">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B06D1D6" w14:textId="77777777" w:rsidR="004171E2" w:rsidRPr="00F00D94" w:rsidRDefault="004171E2" w:rsidP="0005458C">
            <w:pPr>
              <w:pStyle w:val="ListParagraph"/>
              <w:spacing w:after="240"/>
              <w:jc w:val="both"/>
              <w:rPr>
                <w:rFonts w:ascii="Arial" w:hAnsi="Arial" w:cs="Arial"/>
                <w:b/>
              </w:rPr>
            </w:pPr>
          </w:p>
          <w:p w14:paraId="2FACD43D" w14:textId="77777777" w:rsidR="004171E2" w:rsidRPr="00F00D94" w:rsidRDefault="004171E2" w:rsidP="00D12EB7">
            <w:pPr>
              <w:widowControl w:val="0"/>
              <w:numPr>
                <w:ilvl w:val="0"/>
                <w:numId w:val="69"/>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1456E54E" w14:textId="77777777" w:rsidR="004171E2" w:rsidRPr="00F00D94" w:rsidRDefault="004171E2" w:rsidP="0005458C">
            <w:pPr>
              <w:pStyle w:val="ListParagraph"/>
              <w:spacing w:after="240"/>
              <w:jc w:val="both"/>
              <w:rPr>
                <w:rFonts w:ascii="Arial" w:hAnsi="Arial" w:cs="Arial"/>
                <w:b/>
              </w:rPr>
            </w:pPr>
          </w:p>
          <w:p w14:paraId="64A79D34" w14:textId="77777777" w:rsidR="004171E2" w:rsidRPr="00F00D94" w:rsidRDefault="004171E2" w:rsidP="00D12EB7">
            <w:pPr>
              <w:widowControl w:val="0"/>
              <w:numPr>
                <w:ilvl w:val="0"/>
                <w:numId w:val="6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46B2C1" w14:textId="77777777" w:rsidR="004171E2" w:rsidRPr="00F00D94" w:rsidRDefault="004171E2" w:rsidP="0005458C">
            <w:pPr>
              <w:pStyle w:val="APStepItem"/>
              <w:numPr>
                <w:ilvl w:val="0"/>
                <w:numId w:val="0"/>
              </w:numPr>
              <w:spacing w:after="240"/>
              <w:rPr>
                <w:rFonts w:cs="Arial"/>
                <w:b/>
              </w:rPr>
            </w:pPr>
          </w:p>
        </w:tc>
      </w:tr>
    </w:tbl>
    <w:p w14:paraId="1288BA60" w14:textId="77777777" w:rsidR="004171E2" w:rsidRPr="00F00D94" w:rsidRDefault="004171E2" w:rsidP="004171E2">
      <w:pPr>
        <w:tabs>
          <w:tab w:val="left" w:pos="-1440"/>
          <w:tab w:val="left" w:pos="720"/>
        </w:tabs>
        <w:spacing w:after="240"/>
        <w:ind w:left="720" w:hanging="720"/>
        <w:jc w:val="both"/>
        <w:rPr>
          <w:rFonts w:ascii="Arial" w:hAnsi="Arial" w:cs="Arial"/>
        </w:rPr>
        <w:sectPr w:rsidR="004171E2" w:rsidRPr="00F00D94" w:rsidSect="004171E2">
          <w:headerReference w:type="default" r:id="rId105"/>
          <w:pgSz w:w="12240" w:h="15840" w:code="1"/>
          <w:pgMar w:top="1440" w:right="1440" w:bottom="1440" w:left="1440" w:header="720" w:footer="720" w:gutter="0"/>
          <w:cols w:space="720"/>
          <w:docGrid w:linePitch="360"/>
        </w:sectPr>
      </w:pPr>
    </w:p>
    <w:p w14:paraId="123DA1DC" w14:textId="0DEE32FE" w:rsidR="004171E2" w:rsidRPr="000706D1" w:rsidRDefault="004171E2" w:rsidP="004171E2">
      <w:pPr>
        <w:pStyle w:val="Heading2"/>
        <w:jc w:val="both"/>
        <w:rPr>
          <w:rFonts w:cs="Arial"/>
          <w:sz w:val="24"/>
        </w:rPr>
      </w:pPr>
      <w:bookmarkStart w:id="85" w:name="_Toc210306850"/>
      <w:r w:rsidRPr="000706D1">
        <w:rPr>
          <w:rFonts w:cs="Arial"/>
          <w:sz w:val="24"/>
        </w:rPr>
        <w:lastRenderedPageBreak/>
        <w:t>N</w:t>
      </w:r>
      <w:r w:rsidR="00D12EB7">
        <w:rPr>
          <w:rFonts w:cs="Arial"/>
          <w:sz w:val="24"/>
        </w:rPr>
        <w:t>6</w:t>
      </w:r>
      <w:r w:rsidRPr="000706D1">
        <w:rPr>
          <w:rFonts w:cs="Arial"/>
          <w:sz w:val="24"/>
        </w:rPr>
        <w:t>.  SPECIAL TESTS AND PROVISIONS</w:t>
      </w:r>
      <w:r w:rsidR="00D12EB7" w:rsidRPr="00D12EB7">
        <w:rPr>
          <w:rFonts w:cs="Arial"/>
          <w:sz w:val="24"/>
        </w:rPr>
        <w:t xml:space="preserve"> – NSLDS Reporting</w:t>
      </w:r>
      <w:bookmarkEnd w:id="85"/>
    </w:p>
    <w:p w14:paraId="617739DB" w14:textId="77777777" w:rsidR="004171E2" w:rsidRPr="000706D1" w:rsidRDefault="004171E2" w:rsidP="004171E2">
      <w:pPr>
        <w:pStyle w:val="Heading3"/>
        <w:jc w:val="both"/>
        <w:rPr>
          <w:rFonts w:cs="Arial"/>
          <w:sz w:val="24"/>
          <w:szCs w:val="24"/>
        </w:rPr>
      </w:pPr>
      <w:bookmarkStart w:id="86" w:name="_Toc210306851"/>
      <w:r w:rsidRPr="000706D1">
        <w:rPr>
          <w:rFonts w:cs="Arial"/>
          <w:sz w:val="24"/>
          <w:szCs w:val="24"/>
        </w:rPr>
        <w:t>OMB Compliance Requirements</w:t>
      </w:r>
      <w:bookmarkEnd w:id="86"/>
    </w:p>
    <w:p w14:paraId="35F36498" w14:textId="77777777" w:rsidR="004171E2" w:rsidRPr="005C1EBC" w:rsidRDefault="004171E2" w:rsidP="004171E2">
      <w:pP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5566F37C" w14:textId="77777777" w:rsidR="004171E2" w:rsidRPr="00F00D94" w:rsidRDefault="004171E2" w:rsidP="004171E2">
      <w:pP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6997B4D6" w14:textId="77777777" w:rsidR="004171E2" w:rsidRPr="00F00D94"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C0158F2" w14:textId="5748402D" w:rsidR="004171E2" w:rsidRPr="000706D1" w:rsidRDefault="004171E2" w:rsidP="004171E2">
      <w:pPr>
        <w:spacing w:after="240"/>
        <w:jc w:val="both"/>
        <w:rPr>
          <w:rFonts w:ascii="Arial" w:hAnsi="Arial" w:cs="Arial"/>
          <w:b/>
          <w:sz w:val="24"/>
          <w:szCs w:val="24"/>
        </w:rPr>
      </w:pPr>
      <w:r w:rsidRPr="000706D1">
        <w:rPr>
          <w:rFonts w:ascii="Arial" w:hAnsi="Arial" w:cs="Arial"/>
          <w:b/>
          <w:sz w:val="24"/>
          <w:szCs w:val="24"/>
        </w:rPr>
        <w:t xml:space="preserve">Part </w:t>
      </w:r>
      <w:r w:rsidR="00D12EB7">
        <w:rPr>
          <w:rFonts w:ascii="Arial" w:hAnsi="Arial" w:cs="Arial"/>
          <w:b/>
          <w:sz w:val="24"/>
          <w:szCs w:val="24"/>
        </w:rPr>
        <w:t>5</w:t>
      </w:r>
      <w:r w:rsidRPr="000706D1">
        <w:rPr>
          <w:rFonts w:ascii="Arial" w:hAnsi="Arial" w:cs="Arial"/>
          <w:b/>
          <w:sz w:val="24"/>
          <w:szCs w:val="24"/>
        </w:rPr>
        <w:t xml:space="preserve"> OMB Program Specific Requirements</w:t>
      </w:r>
    </w:p>
    <w:p w14:paraId="5F3326F3" w14:textId="77777777" w:rsidR="00D12EB7" w:rsidRPr="00D12EB7" w:rsidRDefault="00D12EB7" w:rsidP="00D12EB7">
      <w:pPr>
        <w:pStyle w:val="BodyText"/>
        <w:ind w:right="185"/>
        <w:jc w:val="both"/>
        <w:rPr>
          <w:rFonts w:ascii="Arial" w:hAnsi="Arial" w:cs="Arial"/>
          <w:szCs w:val="20"/>
        </w:rPr>
      </w:pPr>
      <w:r w:rsidRPr="00D12EB7">
        <w:rPr>
          <w:rFonts w:ascii="Arial" w:hAnsi="Arial" w:cs="Arial"/>
          <w:szCs w:val="20"/>
        </w:rPr>
        <w:t>Institutions are required to report enrollment information under the Pell Grant and the Direct Loan and FFEL programs via the NSLDS (</w:t>
      </w:r>
      <w:r w:rsidRPr="00D12EB7">
        <w:rPr>
          <w:rFonts w:ascii="Arial" w:hAnsi="Arial" w:cs="Arial"/>
          <w:i/>
          <w:szCs w:val="20"/>
        </w:rPr>
        <w:t>OMB No. 1845-0035</w:t>
      </w:r>
      <w:r w:rsidRPr="00D12EB7">
        <w:rPr>
          <w:rFonts w:ascii="Arial" w:hAnsi="Arial" w:cs="Arial"/>
          <w:szCs w:val="20"/>
        </w:rPr>
        <w:t xml:space="preserve">), although FFEL loans are no longer made or a part of the SFA Cluster, a student may have a FFEL loan from previous years that would require enrollment reporting for that student (Pell, 34 CFR 690.83(b)(2); FFEL, 34 CFR 682.610; Direct Loan, 34 CFR 685.309; Perkins 34 CFR 674.19(f)). The administration of the Title IV programs depends heavily on the accuracy and timeliness of the enrollment information reported by institutions. Institutions must review, update, and certify student enrollment statuses, program information, and effective dates that appear on the Enrollment Reporting Roster file or on the Enrollment Maintenance page of the NSLDS Professional Access (NSLDSFAP) website which the financial aid administrator can access for the auditor. The data on the institution’s Enrollment Reporting Roster, or Enrollment Maintenance page, is what NSLDS has as the most recently certified enrollment. There are two categories of enrollment information, “Campus Level” and “Program Level,” both of which need to be reported accurately and have separate record types. The </w:t>
      </w:r>
      <w:r w:rsidRPr="00D12EB7">
        <w:rPr>
          <w:rFonts w:ascii="Arial" w:hAnsi="Arial" w:cs="Arial"/>
          <w:i/>
          <w:szCs w:val="20"/>
        </w:rPr>
        <w:t xml:space="preserve">NSLDS Enrollment Reporting Guide </w:t>
      </w:r>
      <w:r w:rsidRPr="00D12EB7">
        <w:rPr>
          <w:rFonts w:ascii="Arial" w:hAnsi="Arial" w:cs="Arial"/>
          <w:szCs w:val="20"/>
        </w:rPr>
        <w:t xml:space="preserve">provides the requirements and guidance for reporting enrollment details using the NSLDS Enrollment Reporting Process. The guide can be accessed at </w:t>
      </w:r>
      <w:hyperlink r:id="rId106">
        <w:r w:rsidRPr="00D12EB7">
          <w:rPr>
            <w:rFonts w:ascii="Arial" w:hAnsi="Arial" w:cs="Arial"/>
            <w:color w:val="2D74B5"/>
            <w:szCs w:val="20"/>
            <w:u w:val="single" w:color="2D74B5"/>
          </w:rPr>
          <w:t>https://fsapartners.ed.gov/knowledge-center/library/resource-</w:t>
        </w:r>
      </w:hyperlink>
      <w:r w:rsidRPr="00D12EB7">
        <w:rPr>
          <w:rFonts w:ascii="Arial" w:hAnsi="Arial" w:cs="Arial"/>
          <w:color w:val="2D74B5"/>
          <w:szCs w:val="20"/>
        </w:rPr>
        <w:t xml:space="preserve"> </w:t>
      </w:r>
      <w:hyperlink r:id="rId107">
        <w:r w:rsidRPr="00D12EB7">
          <w:rPr>
            <w:rFonts w:ascii="Arial" w:hAnsi="Arial" w:cs="Arial"/>
            <w:color w:val="2D74B5"/>
            <w:szCs w:val="20"/>
            <w:u w:val="single" w:color="2D74B5"/>
          </w:rPr>
          <w:t>type/NSLDS%20User%20Resources?nslds_type=NSLDS%20User%20Documentation</w:t>
        </w:r>
      </w:hyperlink>
      <w:r w:rsidRPr="00D12EB7">
        <w:rPr>
          <w:rFonts w:ascii="Arial" w:hAnsi="Arial" w:cs="Arial"/>
          <w:szCs w:val="20"/>
        </w:rPr>
        <w:t>.</w:t>
      </w:r>
    </w:p>
    <w:p w14:paraId="29C14980" w14:textId="77777777" w:rsidR="00D12EB7" w:rsidRPr="00D12EB7" w:rsidRDefault="00D12EB7" w:rsidP="00D12EB7">
      <w:pPr>
        <w:pStyle w:val="BodyText"/>
        <w:ind w:right="842"/>
        <w:jc w:val="both"/>
        <w:rPr>
          <w:rFonts w:ascii="Arial" w:hAnsi="Arial" w:cs="Arial"/>
          <w:szCs w:val="20"/>
        </w:rPr>
      </w:pPr>
      <w:r w:rsidRPr="00D12EB7">
        <w:rPr>
          <w:rFonts w:ascii="Arial" w:hAnsi="Arial" w:cs="Arial"/>
          <w:szCs w:val="20"/>
        </w:rPr>
        <w:t>Institutions are responsible for accurately reporting all Campus-Level Record data elements. ED considers the following data elements to be high risk:</w:t>
      </w:r>
    </w:p>
    <w:p w14:paraId="287A60F4" w14:textId="77777777" w:rsidR="00D12EB7" w:rsidRPr="00D12EB7" w:rsidRDefault="00D12EB7" w:rsidP="00D12EB7">
      <w:pPr>
        <w:pStyle w:val="ListParagraph"/>
        <w:widowControl w:val="0"/>
        <w:numPr>
          <w:ilvl w:val="0"/>
          <w:numId w:val="59"/>
        </w:numPr>
        <w:suppressAutoHyphens w:val="0"/>
        <w:adjustRightInd/>
        <w:spacing w:after="240"/>
        <w:ind w:left="720" w:right="385"/>
        <w:jc w:val="both"/>
        <w:rPr>
          <w:rFonts w:ascii="Arial" w:hAnsi="Arial" w:cs="Arial"/>
        </w:rPr>
      </w:pPr>
      <w:r w:rsidRPr="00D12EB7">
        <w:rPr>
          <w:rFonts w:ascii="Arial" w:hAnsi="Arial" w:cs="Arial"/>
        </w:rPr>
        <w:t>OPEID Number – This is the OPEID for the location that the student is actually attending.</w:t>
      </w:r>
    </w:p>
    <w:p w14:paraId="0FFB426E" w14:textId="60D8C171" w:rsidR="00D12EB7" w:rsidRPr="00D12EB7" w:rsidRDefault="00D12EB7" w:rsidP="00D12EB7">
      <w:pPr>
        <w:pStyle w:val="ListParagraph"/>
        <w:widowControl w:val="0"/>
        <w:numPr>
          <w:ilvl w:val="0"/>
          <w:numId w:val="59"/>
        </w:numPr>
        <w:suppressAutoHyphens w:val="0"/>
        <w:adjustRightInd/>
        <w:spacing w:after="240"/>
        <w:ind w:left="720" w:right="206"/>
        <w:jc w:val="both"/>
        <w:rPr>
          <w:rFonts w:ascii="Arial" w:hAnsi="Arial" w:cs="Arial"/>
        </w:rPr>
      </w:pPr>
      <w:r w:rsidRPr="00D12EB7">
        <w:rPr>
          <w:rFonts w:ascii="Arial" w:hAnsi="Arial" w:cs="Arial"/>
        </w:rPr>
        <w:t xml:space="preserve">Enrollment Effective Date – The date that the current enrollment status reported for a student was first effective. (See 4.4.2 of the </w:t>
      </w:r>
      <w:r w:rsidRPr="00D12EB7">
        <w:rPr>
          <w:rFonts w:ascii="Arial" w:hAnsi="Arial" w:cs="Arial"/>
          <w:i/>
        </w:rPr>
        <w:t xml:space="preserve">NSLDS Enrollment Reporting Guide </w:t>
      </w:r>
      <w:r w:rsidRPr="00D12EB7">
        <w:rPr>
          <w:rFonts w:ascii="Arial" w:hAnsi="Arial" w:cs="Arial"/>
        </w:rPr>
        <w:t xml:space="preserve">for the specific requirements for reporting the Enrollment Effective Date. Also see 4.4.3 of the </w:t>
      </w:r>
      <w:r w:rsidRPr="00D12EB7">
        <w:rPr>
          <w:rFonts w:ascii="Arial" w:hAnsi="Arial" w:cs="Arial"/>
          <w:i/>
        </w:rPr>
        <w:t xml:space="preserve">NSLDS Enrollment Reporting Guide </w:t>
      </w:r>
      <w:r w:rsidRPr="00D12EB7">
        <w:rPr>
          <w:rFonts w:ascii="Arial" w:hAnsi="Arial" w:cs="Arial"/>
        </w:rPr>
        <w:t xml:space="preserve">for additional guidance on effective dates for Withdrawal versus Graduation and Electronic Announcement titled </w:t>
      </w:r>
      <w:r w:rsidRPr="00D12EB7">
        <w:rPr>
          <w:rFonts w:ascii="Arial" w:hAnsi="Arial" w:cs="Arial"/>
          <w:i/>
        </w:rPr>
        <w:t xml:space="preserve">– NSLDS Enrollment Reporting – Submission Dates, Effective Dates and Certification Dates, </w:t>
      </w:r>
      <w:r w:rsidRPr="00D12EB7">
        <w:rPr>
          <w:rFonts w:ascii="Arial" w:hAnsi="Arial" w:cs="Arial"/>
        </w:rPr>
        <w:t xml:space="preserve">dated April 20, 2017, for additional information </w:t>
      </w:r>
      <w:r w:rsidRPr="00D12EB7">
        <w:rPr>
          <w:rFonts w:ascii="Arial" w:hAnsi="Arial" w:cs="Arial"/>
        </w:rPr>
        <w:lastRenderedPageBreak/>
        <w:t>and examples at</w:t>
      </w:r>
      <w:r w:rsidRPr="00D12EB7">
        <w:rPr>
          <w:rFonts w:ascii="Arial" w:hAnsi="Arial" w:cs="Arial"/>
          <w:color w:val="2D74B5"/>
        </w:rPr>
        <w:t xml:space="preserve"> </w:t>
      </w:r>
      <w:hyperlink r:id="rId108" w:history="1">
        <w:r w:rsidR="00414F25" w:rsidRPr="009E1627">
          <w:rPr>
            <w:rStyle w:val="Hyperlink"/>
            <w:rFonts w:cs="Arial"/>
          </w:rPr>
          <w:t>https://fsapartners.ed.gov/knowledge-center/library/electronic-announcements/2017-04-20/general-subject-nslds-enrollment-reporting-submission-dates-effective-dates-and-certification-dates</w:t>
        </w:r>
      </w:hyperlink>
      <w:r w:rsidRPr="00D12EB7">
        <w:rPr>
          <w:rFonts w:ascii="Arial" w:hAnsi="Arial" w:cs="Arial"/>
        </w:rPr>
        <w:t>.)</w:t>
      </w:r>
    </w:p>
    <w:p w14:paraId="1755D576" w14:textId="77777777" w:rsidR="00D12EB7" w:rsidRPr="00D12EB7" w:rsidRDefault="00D12EB7" w:rsidP="00414F25">
      <w:pPr>
        <w:pStyle w:val="ListParagraph"/>
        <w:widowControl w:val="0"/>
        <w:numPr>
          <w:ilvl w:val="0"/>
          <w:numId w:val="59"/>
        </w:numPr>
        <w:suppressAutoHyphens w:val="0"/>
        <w:adjustRightInd/>
        <w:spacing w:after="240"/>
        <w:ind w:left="720"/>
        <w:jc w:val="both"/>
        <w:rPr>
          <w:rFonts w:ascii="Arial" w:hAnsi="Arial" w:cs="Arial"/>
        </w:rPr>
      </w:pPr>
      <w:r w:rsidRPr="00D12EB7">
        <w:rPr>
          <w:rFonts w:ascii="Arial" w:hAnsi="Arial" w:cs="Arial"/>
        </w:rPr>
        <w:t xml:space="preserve">Enrollment Status – The student’s enrollment status as of the reporting date; full- time (F), three-quarter time (Q), half-time (H), less than half-time (L), leave of absence (A), graduated (G), withdrawn (W), deceased (D), never attended (X) and record not found (Z). (See 4.4.4 of the </w:t>
      </w:r>
      <w:r w:rsidRPr="00D12EB7">
        <w:rPr>
          <w:rFonts w:ascii="Arial" w:hAnsi="Arial" w:cs="Arial"/>
          <w:i/>
        </w:rPr>
        <w:t xml:space="preserve">NSLDS Enrollment Reporting Guide </w:t>
      </w:r>
      <w:r w:rsidRPr="00D12EB7">
        <w:rPr>
          <w:rFonts w:ascii="Arial" w:hAnsi="Arial" w:cs="Arial"/>
        </w:rPr>
        <w:t>for additional guidance on reporting graduated and withdrawn for the</w:t>
      </w:r>
      <w:r w:rsidRPr="00D12EB7">
        <w:rPr>
          <w:rFonts w:ascii="Arial" w:hAnsi="Arial" w:cs="Arial"/>
          <w:spacing w:val="-15"/>
        </w:rPr>
        <w:t xml:space="preserve"> </w:t>
      </w:r>
      <w:r w:rsidRPr="00D12EB7">
        <w:rPr>
          <w:rFonts w:ascii="Arial" w:hAnsi="Arial" w:cs="Arial"/>
        </w:rPr>
        <w:t>Campus-Level Record versus the Program Level Record and 4.4.10 for further guidance on Enrollment Status reporting at the Campus-Level Record and the Program-Level Record.)</w:t>
      </w:r>
    </w:p>
    <w:p w14:paraId="14630C7D" w14:textId="77777777" w:rsidR="00D12EB7" w:rsidRPr="00D12EB7" w:rsidRDefault="00D12EB7" w:rsidP="00414F25">
      <w:pPr>
        <w:pStyle w:val="ListParagraph"/>
        <w:widowControl w:val="0"/>
        <w:numPr>
          <w:ilvl w:val="0"/>
          <w:numId w:val="59"/>
        </w:numPr>
        <w:suppressAutoHyphens w:val="0"/>
        <w:adjustRightInd/>
        <w:spacing w:after="240"/>
        <w:ind w:left="720"/>
        <w:jc w:val="both"/>
        <w:rPr>
          <w:rFonts w:ascii="Arial" w:hAnsi="Arial" w:cs="Arial"/>
        </w:rPr>
      </w:pPr>
      <w:r w:rsidRPr="00D12EB7">
        <w:rPr>
          <w:rFonts w:ascii="Arial" w:hAnsi="Arial" w:cs="Arial"/>
        </w:rPr>
        <w:t>Certification Date – The Date enrollment certified by institution. At a minimum, institutions are required to certify enrollment every 60 days or every other</w:t>
      </w:r>
      <w:r w:rsidRPr="00D12EB7">
        <w:rPr>
          <w:rFonts w:ascii="Arial" w:hAnsi="Arial" w:cs="Arial"/>
          <w:spacing w:val="-20"/>
        </w:rPr>
        <w:t xml:space="preserve"> </w:t>
      </w:r>
      <w:r w:rsidRPr="00D12EB7">
        <w:rPr>
          <w:rFonts w:ascii="Arial" w:hAnsi="Arial" w:cs="Arial"/>
        </w:rPr>
        <w:t>month.</w:t>
      </w:r>
    </w:p>
    <w:p w14:paraId="34ED3F61" w14:textId="77777777" w:rsidR="00D12EB7" w:rsidRPr="00D12EB7" w:rsidRDefault="00D12EB7" w:rsidP="00414F25">
      <w:pPr>
        <w:pStyle w:val="BodyText"/>
        <w:jc w:val="both"/>
        <w:rPr>
          <w:rFonts w:ascii="Arial" w:hAnsi="Arial" w:cs="Arial"/>
          <w:szCs w:val="20"/>
        </w:rPr>
      </w:pPr>
      <w:r w:rsidRPr="00D12EB7">
        <w:rPr>
          <w:rFonts w:ascii="Arial" w:hAnsi="Arial" w:cs="Arial"/>
          <w:szCs w:val="20"/>
        </w:rPr>
        <w:t>Institutions are responsible for accurately reporting all Program-Level Record data elements. ED considers the following data elements to be high risk:</w:t>
      </w:r>
    </w:p>
    <w:p w14:paraId="3B83FEAE" w14:textId="77777777" w:rsidR="00D12EB7" w:rsidRPr="00D12EB7" w:rsidRDefault="00D12EB7" w:rsidP="00414F25">
      <w:pPr>
        <w:pStyle w:val="ListParagraph"/>
        <w:widowControl w:val="0"/>
        <w:numPr>
          <w:ilvl w:val="0"/>
          <w:numId w:val="59"/>
        </w:numPr>
        <w:suppressAutoHyphens w:val="0"/>
        <w:adjustRightInd/>
        <w:spacing w:after="240"/>
        <w:ind w:left="720"/>
        <w:jc w:val="both"/>
        <w:rPr>
          <w:rFonts w:ascii="Arial" w:hAnsi="Arial" w:cs="Arial"/>
        </w:rPr>
      </w:pPr>
      <w:r w:rsidRPr="00D12EB7">
        <w:rPr>
          <w:rFonts w:ascii="Arial" w:hAnsi="Arial" w:cs="Arial"/>
        </w:rPr>
        <w:t>OPEID Number – This is the OPEID for the location that the student is actually attending.</w:t>
      </w:r>
    </w:p>
    <w:p w14:paraId="6D3BDA65" w14:textId="77777777" w:rsidR="00D12EB7" w:rsidRPr="00D12EB7" w:rsidRDefault="00D12EB7" w:rsidP="00414F25">
      <w:pPr>
        <w:pStyle w:val="ListParagraph"/>
        <w:widowControl w:val="0"/>
        <w:numPr>
          <w:ilvl w:val="0"/>
          <w:numId w:val="59"/>
        </w:numPr>
        <w:suppressAutoHyphens w:val="0"/>
        <w:adjustRightInd/>
        <w:spacing w:after="240"/>
        <w:ind w:left="720"/>
        <w:jc w:val="both"/>
        <w:rPr>
          <w:rFonts w:ascii="Arial" w:hAnsi="Arial" w:cs="Arial"/>
        </w:rPr>
      </w:pPr>
      <w:r w:rsidRPr="00D12EB7">
        <w:rPr>
          <w:rFonts w:ascii="Arial" w:hAnsi="Arial" w:cs="Arial"/>
        </w:rPr>
        <w:t>CIP Code – The Classification of Instructional Programs (CIP) is a set of codes that define fields of study. CIP Codes are maintained by ED's National Center for Education Statistics (NCES). They were most recently updated in 2020 and are usually updated every ten years. A listing of current CIP codes is available at:</w:t>
      </w:r>
      <w:hyperlink r:id="rId109">
        <w:r w:rsidRPr="00D12EB7">
          <w:rPr>
            <w:rFonts w:ascii="Arial" w:hAnsi="Arial" w:cs="Arial"/>
            <w:color w:val="2D74B5"/>
            <w:u w:val="single" w:color="2D74B5"/>
          </w:rPr>
          <w:t xml:space="preserve"> https://nces.ed.gov/ipeds/cipcode/resources.aspx?y=56</w:t>
        </w:r>
      </w:hyperlink>
      <w:r w:rsidRPr="00D12EB7">
        <w:rPr>
          <w:rFonts w:ascii="Arial" w:hAnsi="Arial" w:cs="Arial"/>
          <w:color w:val="2D74B5"/>
          <w:u w:val="single" w:color="2D74B5"/>
        </w:rPr>
        <w:t>.</w:t>
      </w:r>
    </w:p>
    <w:p w14:paraId="38390B69" w14:textId="77777777" w:rsidR="00D12EB7" w:rsidRPr="00D12EB7" w:rsidRDefault="00D12EB7" w:rsidP="00414F25">
      <w:pPr>
        <w:pStyle w:val="ListParagraph"/>
        <w:widowControl w:val="0"/>
        <w:numPr>
          <w:ilvl w:val="0"/>
          <w:numId w:val="59"/>
        </w:numPr>
        <w:suppressAutoHyphens w:val="0"/>
        <w:adjustRightInd/>
        <w:spacing w:after="240"/>
        <w:ind w:left="720"/>
        <w:jc w:val="both"/>
        <w:rPr>
          <w:rFonts w:ascii="Arial" w:hAnsi="Arial" w:cs="Arial"/>
        </w:rPr>
      </w:pPr>
      <w:r w:rsidRPr="00D12EB7">
        <w:rPr>
          <w:rFonts w:ascii="Arial" w:hAnsi="Arial" w:cs="Arial"/>
        </w:rPr>
        <w:t>CIP Year – Year for the corresponding CIP code. The CIP Year for the codes currently used by NSLDS is</w:t>
      </w:r>
      <w:r w:rsidRPr="00D12EB7">
        <w:rPr>
          <w:rFonts w:ascii="Arial" w:hAnsi="Arial" w:cs="Arial"/>
          <w:spacing w:val="-2"/>
        </w:rPr>
        <w:t xml:space="preserve"> </w:t>
      </w:r>
      <w:r w:rsidRPr="00D12EB7">
        <w:rPr>
          <w:rFonts w:ascii="Arial" w:hAnsi="Arial" w:cs="Arial"/>
        </w:rPr>
        <w:t>2020.</w:t>
      </w:r>
    </w:p>
    <w:p w14:paraId="2684DCC9" w14:textId="77777777" w:rsidR="00D12EB7" w:rsidRPr="00D12EB7" w:rsidRDefault="00D12EB7" w:rsidP="00414F25">
      <w:pPr>
        <w:pStyle w:val="ListParagraph"/>
        <w:widowControl w:val="0"/>
        <w:numPr>
          <w:ilvl w:val="0"/>
          <w:numId w:val="59"/>
        </w:numPr>
        <w:suppressAutoHyphens w:val="0"/>
        <w:adjustRightInd/>
        <w:spacing w:after="240"/>
        <w:ind w:left="720"/>
        <w:jc w:val="both"/>
        <w:rPr>
          <w:rFonts w:ascii="Arial" w:hAnsi="Arial" w:cs="Arial"/>
        </w:rPr>
      </w:pPr>
      <w:r w:rsidRPr="00D12EB7">
        <w:rPr>
          <w:rFonts w:ascii="Arial" w:hAnsi="Arial" w:cs="Arial"/>
        </w:rPr>
        <w:t xml:space="preserve">Credential Level – Indicates the level of a credential the student will receive for the program the student is attending, for example undergraduate certificate, associate degree, or bachelor’s degree. (See 4.4.7 of the </w:t>
      </w:r>
      <w:r w:rsidRPr="00D12EB7">
        <w:rPr>
          <w:rFonts w:ascii="Arial" w:hAnsi="Arial" w:cs="Arial"/>
          <w:i/>
        </w:rPr>
        <w:t xml:space="preserve">NSLDS Enrollment Reporting Guide </w:t>
      </w:r>
      <w:r w:rsidRPr="00D12EB7">
        <w:rPr>
          <w:rFonts w:ascii="Arial" w:hAnsi="Arial" w:cs="Arial"/>
        </w:rPr>
        <w:t>for additional guidance on reporting the Credential</w:t>
      </w:r>
      <w:r w:rsidRPr="00D12EB7">
        <w:rPr>
          <w:rFonts w:ascii="Arial" w:hAnsi="Arial" w:cs="Arial"/>
          <w:spacing w:val="-11"/>
        </w:rPr>
        <w:t xml:space="preserve"> </w:t>
      </w:r>
      <w:r w:rsidRPr="00D12EB7">
        <w:rPr>
          <w:rFonts w:ascii="Arial" w:hAnsi="Arial" w:cs="Arial"/>
        </w:rPr>
        <w:t>Level.)</w:t>
      </w:r>
    </w:p>
    <w:p w14:paraId="50A4BCA2" w14:textId="77777777" w:rsidR="00D12EB7" w:rsidRPr="00D12EB7" w:rsidRDefault="00D12EB7" w:rsidP="00414F25">
      <w:pPr>
        <w:pStyle w:val="ListParagraph"/>
        <w:widowControl w:val="0"/>
        <w:numPr>
          <w:ilvl w:val="0"/>
          <w:numId w:val="59"/>
        </w:numPr>
        <w:tabs>
          <w:tab w:val="left" w:pos="9180"/>
          <w:tab w:val="left" w:pos="9270"/>
        </w:tabs>
        <w:suppressAutoHyphens w:val="0"/>
        <w:adjustRightInd/>
        <w:spacing w:after="240"/>
        <w:ind w:left="720"/>
        <w:jc w:val="both"/>
        <w:rPr>
          <w:rFonts w:ascii="Arial" w:hAnsi="Arial" w:cs="Arial"/>
        </w:rPr>
      </w:pPr>
      <w:r w:rsidRPr="00D12EB7">
        <w:rPr>
          <w:rFonts w:ascii="Arial" w:hAnsi="Arial" w:cs="Arial"/>
        </w:rPr>
        <w:t>Published Program Length Measurement – The institution identifies whether the Published Program Length is in days, weeks, or</w:t>
      </w:r>
      <w:r w:rsidRPr="00D12EB7">
        <w:rPr>
          <w:rFonts w:ascii="Arial" w:hAnsi="Arial" w:cs="Arial"/>
          <w:spacing w:val="-5"/>
        </w:rPr>
        <w:t xml:space="preserve"> </w:t>
      </w:r>
      <w:r w:rsidRPr="00D12EB7">
        <w:rPr>
          <w:rFonts w:ascii="Arial" w:hAnsi="Arial" w:cs="Arial"/>
        </w:rPr>
        <w:t>years.</w:t>
      </w:r>
    </w:p>
    <w:p w14:paraId="2D34633C" w14:textId="77777777" w:rsidR="00D12EB7" w:rsidRPr="00D12EB7" w:rsidRDefault="00D12EB7" w:rsidP="00414F25">
      <w:pPr>
        <w:pStyle w:val="ListParagraph"/>
        <w:widowControl w:val="0"/>
        <w:numPr>
          <w:ilvl w:val="0"/>
          <w:numId w:val="59"/>
        </w:numPr>
        <w:tabs>
          <w:tab w:val="left" w:pos="9180"/>
          <w:tab w:val="left" w:pos="9270"/>
        </w:tabs>
        <w:suppressAutoHyphens w:val="0"/>
        <w:adjustRightInd/>
        <w:spacing w:after="240"/>
        <w:ind w:left="720"/>
        <w:jc w:val="both"/>
        <w:rPr>
          <w:rFonts w:ascii="Arial" w:hAnsi="Arial" w:cs="Arial"/>
        </w:rPr>
      </w:pPr>
      <w:r w:rsidRPr="00D12EB7">
        <w:rPr>
          <w:rFonts w:ascii="Arial" w:hAnsi="Arial" w:cs="Arial"/>
        </w:rPr>
        <w:t>Published Program Length - Published Program Length should be reported based on the definition of “normal time” to completion in the regulations at 34 CFR 668.41(a), as</w:t>
      </w:r>
      <w:r w:rsidRPr="00D12EB7">
        <w:rPr>
          <w:rFonts w:ascii="Arial" w:hAnsi="Arial" w:cs="Arial"/>
          <w:spacing w:val="-1"/>
        </w:rPr>
        <w:t xml:space="preserve"> </w:t>
      </w:r>
      <w:r w:rsidRPr="00D12EB7">
        <w:rPr>
          <w:rFonts w:ascii="Arial" w:hAnsi="Arial" w:cs="Arial"/>
        </w:rPr>
        <w:t>follows:</w:t>
      </w:r>
    </w:p>
    <w:p w14:paraId="38FA831E" w14:textId="77CF0C29" w:rsidR="00D12EB7" w:rsidRPr="00D12EB7" w:rsidRDefault="00D12EB7" w:rsidP="00414F25">
      <w:pPr>
        <w:pStyle w:val="BodyText"/>
        <w:tabs>
          <w:tab w:val="left" w:pos="9180"/>
          <w:tab w:val="left" w:pos="9270"/>
        </w:tabs>
        <w:ind w:left="1440"/>
        <w:jc w:val="both"/>
        <w:rPr>
          <w:rFonts w:ascii="Arial" w:hAnsi="Arial" w:cs="Arial"/>
          <w:szCs w:val="20"/>
        </w:rPr>
      </w:pPr>
      <w:r w:rsidRPr="00D12EB7">
        <w:rPr>
          <w:rFonts w:ascii="Arial" w:hAnsi="Arial" w:cs="Arial"/>
          <w:szCs w:val="20"/>
        </w:rPr>
        <w:t>If the institution has published, in its catalog, on its website, or in any promotional materials, the length of the program in weeks, months, or years, the program length reported must a be the same as the program length that the institution has published.</w:t>
      </w:r>
    </w:p>
    <w:p w14:paraId="6C6FFF8D" w14:textId="77777777" w:rsidR="00D12EB7" w:rsidRPr="00D12EB7" w:rsidRDefault="00D12EB7" w:rsidP="00414F25">
      <w:pPr>
        <w:pStyle w:val="BodyText"/>
        <w:tabs>
          <w:tab w:val="left" w:pos="9180"/>
          <w:tab w:val="left" w:pos="9270"/>
        </w:tabs>
        <w:ind w:left="1440"/>
        <w:jc w:val="both"/>
        <w:rPr>
          <w:rFonts w:ascii="Arial" w:hAnsi="Arial" w:cs="Arial"/>
          <w:szCs w:val="20"/>
        </w:rPr>
      </w:pPr>
      <w:r w:rsidRPr="00D12EB7">
        <w:rPr>
          <w:rFonts w:ascii="Arial" w:hAnsi="Arial" w:cs="Arial"/>
          <w:szCs w:val="20"/>
        </w:rPr>
        <w:t>If the institution has not published a program length and the program is an associate or bachelor’s degree program, the program length to be reported should be two years (associate) or four years (bachelor), respectively, unless the academic design of the program makes it longer or shorter than the typical program length.</w:t>
      </w:r>
    </w:p>
    <w:p w14:paraId="1E4A252C" w14:textId="7681F59F" w:rsidR="00D12EB7" w:rsidRPr="00D12EB7" w:rsidRDefault="00D12EB7" w:rsidP="00414F25">
      <w:pPr>
        <w:pStyle w:val="BodyText"/>
        <w:tabs>
          <w:tab w:val="left" w:pos="9180"/>
          <w:tab w:val="left" w:pos="9270"/>
        </w:tabs>
        <w:ind w:left="1440"/>
        <w:jc w:val="both"/>
        <w:rPr>
          <w:rFonts w:ascii="Arial" w:hAnsi="Arial" w:cs="Arial"/>
          <w:szCs w:val="20"/>
        </w:rPr>
      </w:pPr>
      <w:r w:rsidRPr="00D12EB7">
        <w:rPr>
          <w:rFonts w:ascii="Arial" w:hAnsi="Arial" w:cs="Arial"/>
          <w:szCs w:val="20"/>
        </w:rPr>
        <w:t>For all other programs for which the institution has not published a program length, the program length is based on the institution’s</w:t>
      </w:r>
      <w:r w:rsidR="00414F25">
        <w:rPr>
          <w:rFonts w:ascii="Arial" w:hAnsi="Arial" w:cs="Arial"/>
          <w:szCs w:val="20"/>
        </w:rPr>
        <w:t xml:space="preserve"> </w:t>
      </w:r>
      <w:r w:rsidRPr="00D12EB7">
        <w:rPr>
          <w:rFonts w:ascii="Arial" w:hAnsi="Arial" w:cs="Arial"/>
          <w:szCs w:val="20"/>
        </w:rPr>
        <w:t>determination of how long, in weeks, months, or years, the program is designed for a full-time student to complete.</w:t>
      </w:r>
    </w:p>
    <w:p w14:paraId="6E4F3219" w14:textId="77777777" w:rsidR="00D12EB7" w:rsidRPr="00D12EB7" w:rsidRDefault="00D12EB7" w:rsidP="00D12EB7">
      <w:pPr>
        <w:spacing w:after="240"/>
        <w:ind w:left="840"/>
        <w:jc w:val="both"/>
        <w:rPr>
          <w:rFonts w:ascii="Arial" w:hAnsi="Arial" w:cs="Arial"/>
        </w:rPr>
      </w:pPr>
      <w:r w:rsidRPr="00D12EB7">
        <w:rPr>
          <w:rFonts w:ascii="Arial" w:hAnsi="Arial" w:cs="Arial"/>
        </w:rPr>
        <w:t xml:space="preserve">(See 4.4.6 of the </w:t>
      </w:r>
      <w:r w:rsidRPr="00D12EB7">
        <w:rPr>
          <w:rFonts w:ascii="Arial" w:hAnsi="Arial" w:cs="Arial"/>
          <w:i/>
        </w:rPr>
        <w:t xml:space="preserve">NSLDS Enrollment Reporting Guide </w:t>
      </w:r>
      <w:r w:rsidRPr="00D12EB7">
        <w:rPr>
          <w:rFonts w:ascii="Arial" w:hAnsi="Arial" w:cs="Arial"/>
        </w:rPr>
        <w:t>for additional guidance.)</w:t>
      </w:r>
    </w:p>
    <w:p w14:paraId="4C5DA156" w14:textId="77777777" w:rsidR="00D12EB7" w:rsidRPr="00D12EB7" w:rsidRDefault="00D12EB7" w:rsidP="00D12EB7">
      <w:pPr>
        <w:pStyle w:val="ListParagraph"/>
        <w:widowControl w:val="0"/>
        <w:numPr>
          <w:ilvl w:val="0"/>
          <w:numId w:val="59"/>
        </w:numPr>
        <w:suppressAutoHyphens w:val="0"/>
        <w:adjustRightInd/>
        <w:spacing w:after="240"/>
        <w:ind w:left="720" w:right="192"/>
        <w:jc w:val="both"/>
        <w:rPr>
          <w:rFonts w:ascii="Arial" w:hAnsi="Arial" w:cs="Arial"/>
        </w:rPr>
      </w:pPr>
      <w:r w:rsidRPr="00D12EB7">
        <w:rPr>
          <w:rFonts w:ascii="Arial" w:hAnsi="Arial" w:cs="Arial"/>
        </w:rPr>
        <w:lastRenderedPageBreak/>
        <w:t xml:space="preserve">Program Begin Date – The Program Begin Date is the date the student first began attending the program being reported. Typically, this would be the first day of the term in which the student began enrollment in the program, unless the student enrolled in the program on an earlier date. (See 4.4.8 of the </w:t>
      </w:r>
      <w:r w:rsidRPr="00D12EB7">
        <w:rPr>
          <w:rFonts w:ascii="Arial" w:hAnsi="Arial" w:cs="Arial"/>
          <w:i/>
        </w:rPr>
        <w:t xml:space="preserve">NSLDS Enrollment Reporting Guide </w:t>
      </w:r>
      <w:r w:rsidRPr="00D12EB7">
        <w:rPr>
          <w:rFonts w:ascii="Arial" w:hAnsi="Arial" w:cs="Arial"/>
        </w:rPr>
        <w:t>for additional</w:t>
      </w:r>
      <w:r w:rsidRPr="00D12EB7">
        <w:rPr>
          <w:rFonts w:ascii="Arial" w:hAnsi="Arial" w:cs="Arial"/>
          <w:spacing w:val="-2"/>
        </w:rPr>
        <w:t xml:space="preserve"> </w:t>
      </w:r>
      <w:r w:rsidRPr="00D12EB7">
        <w:rPr>
          <w:rFonts w:ascii="Arial" w:hAnsi="Arial" w:cs="Arial"/>
        </w:rPr>
        <w:t>guidance.)</w:t>
      </w:r>
    </w:p>
    <w:p w14:paraId="79878CEB" w14:textId="77777777" w:rsidR="00D12EB7" w:rsidRPr="00D12EB7" w:rsidRDefault="00D12EB7" w:rsidP="00D12EB7">
      <w:pPr>
        <w:pStyle w:val="ListParagraph"/>
        <w:widowControl w:val="0"/>
        <w:numPr>
          <w:ilvl w:val="0"/>
          <w:numId w:val="59"/>
        </w:numPr>
        <w:suppressAutoHyphens w:val="0"/>
        <w:adjustRightInd/>
        <w:spacing w:after="240"/>
        <w:ind w:left="720" w:right="212"/>
        <w:jc w:val="both"/>
        <w:rPr>
          <w:rFonts w:ascii="Arial" w:hAnsi="Arial" w:cs="Arial"/>
        </w:rPr>
      </w:pPr>
      <w:r w:rsidRPr="00D12EB7">
        <w:rPr>
          <w:rFonts w:ascii="Arial" w:hAnsi="Arial" w:cs="Arial"/>
        </w:rPr>
        <w:t xml:space="preserve">Program Enrollment Status – The student’s enrollment status as of the reporting date; full-time (F), three-quarter time (Q), half-time (H), less than half-time (L), leave of absence (A), graduated (G), withdrawn (W), deceased (D), never attended (X) and record not found (Z). (See 4.4.4 of the </w:t>
      </w:r>
      <w:r w:rsidRPr="00D12EB7">
        <w:rPr>
          <w:rFonts w:ascii="Arial" w:hAnsi="Arial" w:cs="Arial"/>
          <w:i/>
        </w:rPr>
        <w:t xml:space="preserve">NSLDS Enrollment Reporting Guide </w:t>
      </w:r>
      <w:r w:rsidRPr="00D12EB7">
        <w:rPr>
          <w:rFonts w:ascii="Arial" w:hAnsi="Arial" w:cs="Arial"/>
        </w:rPr>
        <w:t>for additional guidance on reporting graduated and withdrawn for the Campus-Level Record versus the Program Level Record and 4.4.10 for further guidance on Enrollment Status reporting at the Campus-Level Record and the Program-Level</w:t>
      </w:r>
      <w:r w:rsidRPr="00D12EB7">
        <w:rPr>
          <w:rFonts w:ascii="Arial" w:hAnsi="Arial" w:cs="Arial"/>
          <w:spacing w:val="-1"/>
        </w:rPr>
        <w:t xml:space="preserve"> </w:t>
      </w:r>
      <w:r w:rsidRPr="00D12EB7">
        <w:rPr>
          <w:rFonts w:ascii="Arial" w:hAnsi="Arial" w:cs="Arial"/>
        </w:rPr>
        <w:t>Record.)</w:t>
      </w:r>
    </w:p>
    <w:p w14:paraId="15940069" w14:textId="77777777" w:rsidR="00D12EB7" w:rsidRPr="00D12EB7" w:rsidRDefault="00D12EB7" w:rsidP="00D12EB7">
      <w:pPr>
        <w:pStyle w:val="ListParagraph"/>
        <w:widowControl w:val="0"/>
        <w:numPr>
          <w:ilvl w:val="0"/>
          <w:numId w:val="59"/>
        </w:numPr>
        <w:suppressAutoHyphens w:val="0"/>
        <w:adjustRightInd/>
        <w:spacing w:after="240"/>
        <w:ind w:left="720" w:right="983"/>
        <w:jc w:val="both"/>
        <w:rPr>
          <w:rFonts w:ascii="Arial" w:hAnsi="Arial" w:cs="Arial"/>
        </w:rPr>
      </w:pPr>
      <w:r w:rsidRPr="00D12EB7">
        <w:rPr>
          <w:rFonts w:ascii="Arial" w:hAnsi="Arial" w:cs="Arial"/>
        </w:rPr>
        <w:t>Program Enrollment Effective Date – The date when the student's current program status first took</w:t>
      </w:r>
      <w:r w:rsidRPr="00D12EB7">
        <w:rPr>
          <w:rFonts w:ascii="Arial" w:hAnsi="Arial" w:cs="Arial"/>
          <w:spacing w:val="-4"/>
        </w:rPr>
        <w:t xml:space="preserve"> </w:t>
      </w:r>
      <w:r w:rsidRPr="00D12EB7">
        <w:rPr>
          <w:rFonts w:ascii="Arial" w:hAnsi="Arial" w:cs="Arial"/>
        </w:rPr>
        <w:t>effect.</w:t>
      </w:r>
    </w:p>
    <w:p w14:paraId="645D3EF4" w14:textId="77777777" w:rsidR="00D12EB7" w:rsidRPr="00D12EB7" w:rsidRDefault="00D12EB7" w:rsidP="00D12EB7">
      <w:pPr>
        <w:pStyle w:val="BodyText"/>
        <w:ind w:right="183"/>
        <w:jc w:val="both"/>
        <w:rPr>
          <w:rFonts w:ascii="Arial" w:hAnsi="Arial" w:cs="Arial"/>
          <w:szCs w:val="20"/>
        </w:rPr>
      </w:pPr>
      <w:r w:rsidRPr="00D12EB7">
        <w:rPr>
          <w:rFonts w:ascii="Arial" w:hAnsi="Arial" w:cs="Arial"/>
          <w:szCs w:val="20"/>
        </w:rPr>
        <w:t>When a Direct Loan was made to or on behalf of a student who was enrolled or accepted for enrollment at the institution, and the student ceased to be enrolled on at least a half- time basis or failed to enroll on at least a half-time basis for the period for which the loan was intended; or a student who is enrolled at the institution and who received a loan under Title IV has changed his or her permanent address, the institution must report the change in its next updated Enrollment Reporting Roster file (due within 60 days of the change).</w:t>
      </w:r>
    </w:p>
    <w:p w14:paraId="4C29BE45" w14:textId="166571C3" w:rsidR="004171E2" w:rsidRPr="00D12EB7" w:rsidRDefault="00D12EB7" w:rsidP="00D12EB7">
      <w:pPr>
        <w:spacing w:after="240"/>
        <w:jc w:val="both"/>
        <w:rPr>
          <w:rFonts w:ascii="Arial" w:hAnsi="Arial" w:cs="Arial"/>
        </w:rPr>
      </w:pPr>
      <w:r w:rsidRPr="00D12EB7">
        <w:rPr>
          <w:rFonts w:ascii="Arial" w:hAnsi="Arial" w:cs="Arial"/>
          <w:bCs/>
          <w:i/>
        </w:rPr>
        <w:t>(Source: 2025 OMB Compliance Supplement, Part 5, Student Financial Assistance Cluster)</w:t>
      </w:r>
    </w:p>
    <w:p w14:paraId="78753AB9" w14:textId="77777777" w:rsidR="004171E2" w:rsidRPr="000706D1" w:rsidRDefault="004171E2" w:rsidP="004171E2">
      <w:pPr>
        <w:pStyle w:val="Heading3"/>
        <w:jc w:val="both"/>
        <w:rPr>
          <w:rFonts w:cs="Arial"/>
          <w:sz w:val="24"/>
          <w:szCs w:val="24"/>
        </w:rPr>
      </w:pPr>
      <w:bookmarkStart w:id="87" w:name="_Toc210306852"/>
      <w:r w:rsidRPr="000706D1">
        <w:rPr>
          <w:rFonts w:cs="Arial"/>
          <w:sz w:val="24"/>
          <w:szCs w:val="24"/>
        </w:rPr>
        <w:t>Additional Program Specific Information</w:t>
      </w:r>
      <w:bookmarkEnd w:id="87"/>
    </w:p>
    <w:p w14:paraId="445ACD5C" w14:textId="77777777" w:rsidR="004171E2" w:rsidRPr="00AA5B05" w:rsidRDefault="004171E2" w:rsidP="004171E2">
      <w:pPr>
        <w:spacing w:after="240"/>
        <w:jc w:val="both"/>
        <w:rPr>
          <w:rFonts w:ascii="Arial" w:hAnsi="Arial" w:cs="Arial"/>
          <w:b/>
          <w:highlight w:val="yellow"/>
        </w:rPr>
      </w:pPr>
      <w:r w:rsidRPr="00AA5B05">
        <w:rPr>
          <w:rFonts w:ascii="Arial" w:hAnsi="Arial" w:cs="Arial"/>
          <w:b/>
          <w:highlight w:val="yellow"/>
        </w:rPr>
        <w:t>Add program specific requirements from:</w:t>
      </w:r>
    </w:p>
    <w:p w14:paraId="6A850987" w14:textId="779B3DCF"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D12EB7">
        <w:rPr>
          <w:rFonts w:ascii="Arial" w:hAnsi="Arial" w:cs="Arial"/>
          <w:b/>
          <w:highlight w:val="yellow"/>
        </w:rPr>
        <w:t xml:space="preserve"> and</w:t>
      </w:r>
    </w:p>
    <w:p w14:paraId="726ECBD0" w14:textId="77777777"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F8DCE38" w14:textId="77777777" w:rsidR="004171E2" w:rsidRPr="00AA5B05" w:rsidRDefault="004171E2" w:rsidP="004171E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E2D044D" w14:textId="77777777" w:rsidR="004171E2" w:rsidRPr="000706D1" w:rsidRDefault="004171E2" w:rsidP="004171E2">
      <w:pPr>
        <w:pStyle w:val="Heading3"/>
        <w:jc w:val="both"/>
        <w:rPr>
          <w:rFonts w:cs="Arial"/>
          <w:sz w:val="24"/>
          <w:szCs w:val="24"/>
        </w:rPr>
      </w:pPr>
      <w:bookmarkStart w:id="88" w:name="_Toc210306853"/>
      <w:r w:rsidRPr="000706D1">
        <w:rPr>
          <w:rFonts w:cs="Arial"/>
          <w:sz w:val="24"/>
          <w:szCs w:val="24"/>
        </w:rPr>
        <w:t>Audit Objectives and Control Testing</w:t>
      </w:r>
      <w:bookmarkEnd w:id="88"/>
    </w:p>
    <w:p w14:paraId="400ABC2A" w14:textId="77777777" w:rsidR="004171E2" w:rsidRPr="00F00D94" w:rsidRDefault="004171E2" w:rsidP="004171E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6E167F4" w14:textId="77777777" w:rsidR="004171E2" w:rsidRPr="00F00D94" w:rsidRDefault="004171E2" w:rsidP="004171E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05DED88" w14:textId="77777777" w:rsidR="004171E2"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5CEC01D" w14:textId="2A5AE517" w:rsidR="00D12EB7" w:rsidRDefault="00D12EB7" w:rsidP="00D12EB7">
      <w:pPr>
        <w:pStyle w:val="ListParagraph"/>
        <w:numPr>
          <w:ilvl w:val="0"/>
          <w:numId w:val="7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D12EB7">
        <w:rPr>
          <w:rFonts w:ascii="Arial" w:hAnsi="Arial" w:cs="Arial"/>
          <w:iCs/>
        </w:rPr>
        <w:t>Determine whether the institution is accurately notifying ED of changes in student enrollment information at the Campus Level and Program Level and is timely notifying ED of certain changes for Direct Loan borrowers.</w:t>
      </w:r>
    </w:p>
    <w:p w14:paraId="37ACC7E4" w14:textId="1BADB1F4" w:rsidR="00D12EB7" w:rsidRPr="00FD3902" w:rsidRDefault="00D12EB7" w:rsidP="00D12EB7">
      <w:pPr>
        <w:spacing w:after="240"/>
        <w:jc w:val="both"/>
        <w:rPr>
          <w:rFonts w:ascii="Arial" w:hAnsi="Arial" w:cs="Arial"/>
          <w:bCs/>
        </w:rPr>
      </w:pPr>
      <w:r w:rsidRPr="00FD3902">
        <w:rPr>
          <w:rFonts w:ascii="Arial" w:hAnsi="Arial" w:cs="Arial"/>
          <w:bCs/>
          <w:i/>
        </w:rPr>
        <w:t>(Source: 202</w:t>
      </w:r>
      <w:r>
        <w:rPr>
          <w:rFonts w:ascii="Arial" w:hAnsi="Arial" w:cs="Arial"/>
          <w:bCs/>
          <w:i/>
        </w:rPr>
        <w:t>5</w:t>
      </w:r>
      <w:r w:rsidRPr="00FD3902">
        <w:rPr>
          <w:rFonts w:ascii="Arial" w:hAnsi="Arial" w:cs="Arial"/>
          <w:bCs/>
          <w:i/>
        </w:rPr>
        <w:t xml:space="preserve"> OMB Compliance Supplement, Part 5, Student Financial Assistance Cluster)</w:t>
      </w:r>
    </w:p>
    <w:p w14:paraId="1A2CC05B" w14:textId="77777777" w:rsidR="004171E2" w:rsidRPr="00634FA3" w:rsidRDefault="004171E2" w:rsidP="004171E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171E2" w:rsidRPr="00F00D94" w14:paraId="261E4CE1" w14:textId="77777777" w:rsidTr="00E0350C">
        <w:tc>
          <w:tcPr>
            <w:tcW w:w="5000" w:type="pct"/>
          </w:tcPr>
          <w:p w14:paraId="41DC103E" w14:textId="77777777" w:rsidR="004171E2" w:rsidRPr="006F5FFA" w:rsidRDefault="004171E2" w:rsidP="0005458C">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267E24E"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661A4A0" w14:textId="77777777" w:rsidR="004171E2" w:rsidRPr="00F00D94" w:rsidRDefault="004171E2" w:rsidP="0005458C">
            <w:pPr>
              <w:pStyle w:val="AuditProcedureHeading"/>
              <w:spacing w:after="240"/>
              <w:jc w:val="both"/>
              <w:rPr>
                <w:rFonts w:cs="Arial"/>
                <w:b/>
                <w:bCs/>
                <w:szCs w:val="20"/>
                <w:u w:val="single"/>
              </w:rPr>
            </w:pPr>
          </w:p>
          <w:p w14:paraId="7AF5633E" w14:textId="77777777" w:rsidR="004171E2" w:rsidRPr="00F00D94" w:rsidRDefault="004171E2" w:rsidP="0005458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2ED288D" w14:textId="77777777" w:rsidR="004171E2" w:rsidRPr="00F00D94" w:rsidRDefault="004171E2" w:rsidP="0005458C">
            <w:pPr>
              <w:pStyle w:val="AuditProcedureHeading"/>
              <w:spacing w:after="240"/>
              <w:jc w:val="both"/>
              <w:rPr>
                <w:rFonts w:cs="Arial"/>
                <w:b/>
                <w:bCs/>
                <w:szCs w:val="20"/>
                <w:u w:val="single"/>
              </w:rPr>
            </w:pPr>
          </w:p>
          <w:p w14:paraId="4F3979C5"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B015E85" w14:textId="77777777" w:rsidR="004171E2" w:rsidRPr="00F00D94" w:rsidRDefault="004171E2" w:rsidP="0005458C">
            <w:pPr>
              <w:spacing w:after="240"/>
              <w:jc w:val="both"/>
              <w:rPr>
                <w:rFonts w:ascii="Arial" w:hAnsi="Arial" w:cs="Arial"/>
                <w:b/>
                <w:sz w:val="20"/>
                <w:u w:val="single"/>
              </w:rPr>
            </w:pPr>
          </w:p>
          <w:p w14:paraId="2E93F9FF" w14:textId="77777777" w:rsidR="004171E2" w:rsidRPr="00F00D94" w:rsidRDefault="004171E2" w:rsidP="0005458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DEA71D7" w14:textId="77777777" w:rsidR="004171E2" w:rsidRPr="00C35E5F" w:rsidRDefault="004171E2" w:rsidP="0005458C">
            <w:pPr>
              <w:spacing w:after="240"/>
              <w:jc w:val="both"/>
              <w:rPr>
                <w:rFonts w:ascii="Arial" w:eastAsiaTheme="minorHAnsi" w:hAnsi="Arial" w:cs="Arial"/>
                <w:sz w:val="20"/>
                <w:szCs w:val="20"/>
              </w:rPr>
            </w:pPr>
          </w:p>
        </w:tc>
      </w:tr>
    </w:tbl>
    <w:p w14:paraId="73780C4E" w14:textId="77777777" w:rsidR="004171E2" w:rsidRPr="00F00D94" w:rsidRDefault="004171E2" w:rsidP="004171E2">
      <w:pPr>
        <w:spacing w:after="240"/>
        <w:jc w:val="both"/>
        <w:rPr>
          <w:rFonts w:ascii="Arial" w:hAnsi="Arial" w:cs="Arial"/>
          <w:b/>
          <w:bCs/>
        </w:rPr>
      </w:pPr>
    </w:p>
    <w:p w14:paraId="5F7D11DB" w14:textId="77777777" w:rsidR="004171E2" w:rsidRPr="000706D1" w:rsidRDefault="004171E2" w:rsidP="004171E2">
      <w:pPr>
        <w:pStyle w:val="Heading3"/>
        <w:jc w:val="both"/>
        <w:rPr>
          <w:rFonts w:cs="Arial"/>
          <w:sz w:val="24"/>
          <w:szCs w:val="24"/>
        </w:rPr>
      </w:pPr>
      <w:bookmarkStart w:id="89" w:name="_Toc210306854"/>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9"/>
    </w:p>
    <w:tbl>
      <w:tblPr>
        <w:tblStyle w:val="TableGrid"/>
        <w:tblW w:w="9558" w:type="dxa"/>
        <w:tblLayout w:type="fixed"/>
        <w:tblLook w:val="04A0" w:firstRow="1" w:lastRow="0" w:firstColumn="1" w:lastColumn="0" w:noHBand="0" w:noVBand="1"/>
      </w:tblPr>
      <w:tblGrid>
        <w:gridCol w:w="9558"/>
      </w:tblGrid>
      <w:tr w:rsidR="004171E2" w:rsidRPr="00F00D94" w14:paraId="08EB6CF8" w14:textId="77777777" w:rsidTr="00634FA3">
        <w:tc>
          <w:tcPr>
            <w:tcW w:w="9558" w:type="dxa"/>
          </w:tcPr>
          <w:p w14:paraId="5C22F2C5" w14:textId="77777777" w:rsidR="004171E2" w:rsidRDefault="004171E2" w:rsidP="0005458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3C86534" w14:textId="77777777" w:rsidR="004171E2" w:rsidRPr="00AC7B25" w:rsidRDefault="004171E2" w:rsidP="0005458C">
            <w:pPr>
              <w:spacing w:after="240"/>
              <w:jc w:val="both"/>
              <w:rPr>
                <w:rFonts w:ascii="Arial" w:hAnsi="Arial" w:cs="Arial"/>
                <w:i/>
                <w:sz w:val="20"/>
                <w:szCs w:val="20"/>
              </w:rPr>
            </w:pPr>
            <w:r>
              <w:rPr>
                <w:rFonts w:ascii="Arial" w:hAnsi="Arial" w:cs="Arial"/>
                <w:i/>
                <w:sz w:val="20"/>
                <w:szCs w:val="20"/>
              </w:rPr>
              <w:t>(Source: 2025 OMB Compliance Supplement Part 3.2)</w:t>
            </w:r>
          </w:p>
          <w:p w14:paraId="1C40C02F" w14:textId="7E0BDCF6" w:rsidR="00D12EB7" w:rsidRPr="00FD3902" w:rsidRDefault="00D12EB7" w:rsidP="00D12EB7">
            <w:pPr>
              <w:spacing w:after="240"/>
              <w:ind w:left="612" w:hanging="612"/>
              <w:jc w:val="both"/>
              <w:rPr>
                <w:rFonts w:ascii="Arial" w:hAnsi="Arial" w:cs="Arial"/>
                <w:sz w:val="20"/>
              </w:rPr>
            </w:pPr>
            <w:r w:rsidRPr="00FD3902">
              <w:rPr>
                <w:rFonts w:ascii="Arial" w:hAnsi="Arial" w:cs="Arial"/>
                <w:sz w:val="20"/>
              </w:rPr>
              <w:t>a.</w:t>
            </w:r>
            <w:r w:rsidRPr="00FD3902">
              <w:rPr>
                <w:rFonts w:ascii="Arial" w:hAnsi="Arial" w:cs="Arial"/>
                <w:sz w:val="20"/>
              </w:rPr>
              <w:tab/>
            </w:r>
            <w:r w:rsidRPr="00D12EB7">
              <w:rPr>
                <w:rFonts w:ascii="Arial" w:hAnsi="Arial" w:cs="Arial"/>
                <w:sz w:val="20"/>
              </w:rPr>
              <w:t>Identify a population of Pell and Direct Loan students from the institution’s records that had a reduction or increase in attendance levels impacting enrollment status, graduated, withdrew, dropped out, or enrolled but never attended during the audit period and for whom the institution was required to report such change in enrollment status from the beginning of the institution’s fiscal year up to the last regularly scheduled Enrollment Roster From the population identified, select a sample of students and compare the data in the student’s NSLDS Enrollment Detail to the students’ academic files and other institutional records and verify</w:t>
            </w:r>
            <w:r>
              <w:rPr>
                <w:rFonts w:ascii="Arial" w:hAnsi="Arial" w:cs="Arial"/>
                <w:sz w:val="20"/>
              </w:rPr>
              <w:t xml:space="preserve"> </w:t>
            </w:r>
            <w:r w:rsidRPr="00D12EB7">
              <w:rPr>
                <w:rFonts w:ascii="Arial" w:hAnsi="Arial" w:cs="Arial"/>
                <w:sz w:val="20"/>
              </w:rPr>
              <w:t>that the institution is accurately reporting the significant Campus-Level and Program-Level enrollment data elements that ED considers high risk.</w:t>
            </w:r>
          </w:p>
          <w:p w14:paraId="79DF5C78" w14:textId="3138786E" w:rsidR="004171E2" w:rsidRPr="001B6A61" w:rsidRDefault="00D12EB7" w:rsidP="00D12EB7">
            <w:pPr>
              <w:spacing w:after="240"/>
              <w:ind w:left="611" w:hanging="611"/>
              <w:jc w:val="both"/>
              <w:rPr>
                <w:rFonts w:ascii="Arial" w:hAnsi="Arial" w:cs="Arial"/>
                <w:b/>
                <w:bCs/>
                <w:sz w:val="20"/>
              </w:rPr>
            </w:pPr>
            <w:r w:rsidRPr="00FD3902">
              <w:rPr>
                <w:rFonts w:ascii="Arial" w:hAnsi="Arial" w:cs="Arial"/>
                <w:sz w:val="20"/>
              </w:rPr>
              <w:t>b.</w:t>
            </w:r>
            <w:r w:rsidRPr="00FD3902">
              <w:rPr>
                <w:rFonts w:ascii="Arial" w:hAnsi="Arial" w:cs="Arial"/>
                <w:sz w:val="20"/>
              </w:rPr>
              <w:tab/>
            </w:r>
            <w:r w:rsidRPr="00D12EB7">
              <w:rPr>
                <w:rFonts w:ascii="Arial" w:hAnsi="Arial" w:cs="Arial"/>
                <w:sz w:val="20"/>
              </w:rPr>
              <w:t>For instances in the sample tested in procedure a. above where a Direct Loan was made to or on behalf of a student who was enrolled or accepted for enrollment at the institution, and the student ceased to be enrolled on at least a half-time basis or failed to enroll on at least a half-time basis for the period for which the loan was intended; or a student who is enrolled at the institution and who received a loan under Title IV has changed his or her permanent address, determine whether the institution reported the change in its next updated Enrollment Reporting Roster file.</w:t>
            </w:r>
          </w:p>
        </w:tc>
      </w:tr>
    </w:tbl>
    <w:p w14:paraId="4AC025DB" w14:textId="77777777" w:rsidR="004171E2" w:rsidRPr="00F00D94" w:rsidRDefault="004171E2" w:rsidP="004171E2">
      <w:pPr>
        <w:tabs>
          <w:tab w:val="left" w:pos="-1440"/>
          <w:tab w:val="left" w:pos="720"/>
        </w:tabs>
        <w:spacing w:after="240"/>
        <w:ind w:left="720" w:hanging="720"/>
        <w:jc w:val="both"/>
        <w:rPr>
          <w:rFonts w:ascii="Arial" w:hAnsi="Arial" w:cs="Arial"/>
        </w:rPr>
      </w:pPr>
    </w:p>
    <w:p w14:paraId="48793280" w14:textId="77777777" w:rsidR="004171E2" w:rsidRPr="000706D1" w:rsidRDefault="004171E2" w:rsidP="004171E2">
      <w:pPr>
        <w:pStyle w:val="Heading3"/>
        <w:jc w:val="both"/>
        <w:rPr>
          <w:rFonts w:cs="Arial"/>
          <w:b w:val="0"/>
          <w:sz w:val="24"/>
          <w:szCs w:val="24"/>
        </w:rPr>
      </w:pPr>
      <w:bookmarkStart w:id="90" w:name="_Toc210306855"/>
      <w:r w:rsidRPr="000706D1">
        <w:rPr>
          <w:rFonts w:cs="Arial"/>
          <w:sz w:val="24"/>
          <w:szCs w:val="24"/>
        </w:rPr>
        <w:t>Audit Implications Summary</w:t>
      </w:r>
      <w:bookmarkEnd w:id="90"/>
    </w:p>
    <w:tbl>
      <w:tblPr>
        <w:tblStyle w:val="TableGrid"/>
        <w:tblW w:w="5000" w:type="pct"/>
        <w:tblLook w:val="04A0" w:firstRow="1" w:lastRow="0" w:firstColumn="1" w:lastColumn="0" w:noHBand="0" w:noVBand="1"/>
      </w:tblPr>
      <w:tblGrid>
        <w:gridCol w:w="9350"/>
      </w:tblGrid>
      <w:tr w:rsidR="004171E2" w:rsidRPr="00F00D94" w14:paraId="12D8822F" w14:textId="77777777" w:rsidTr="00E0350C">
        <w:tc>
          <w:tcPr>
            <w:tcW w:w="5000" w:type="pct"/>
          </w:tcPr>
          <w:p w14:paraId="6C934093" w14:textId="77777777" w:rsidR="004171E2" w:rsidRDefault="004171E2" w:rsidP="0005458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8212CB4" w14:textId="77777777" w:rsidR="004171E2" w:rsidRPr="006E46AD" w:rsidRDefault="004171E2" w:rsidP="0005458C">
            <w:pPr>
              <w:widowControl w:val="0"/>
              <w:spacing w:after="240"/>
              <w:jc w:val="both"/>
              <w:rPr>
                <w:rFonts w:ascii="Arial" w:hAnsi="Arial" w:cs="Arial"/>
                <w:b/>
                <w:sz w:val="20"/>
                <w:szCs w:val="20"/>
              </w:rPr>
            </w:pPr>
            <w:r w:rsidRPr="006E46AD">
              <w:rPr>
                <w:rFonts w:ascii="Arial" w:hAnsi="Arial" w:cs="Arial"/>
                <w:i/>
                <w:iCs/>
                <w:color w:val="002060"/>
                <w:sz w:val="20"/>
                <w:szCs w:val="20"/>
              </w:rPr>
              <w:lastRenderedPageBreak/>
              <w:t xml:space="preserve">Auditors should review this </w:t>
            </w:r>
            <w:hyperlink r:id="rId11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BBCE568" w14:textId="77777777" w:rsidR="004171E2" w:rsidRPr="006E46AD" w:rsidRDefault="004171E2" w:rsidP="00D12EB7">
            <w:pPr>
              <w:pStyle w:val="ListParagraph"/>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8B9B5D2" w14:textId="77777777" w:rsidR="004171E2" w:rsidRPr="006E46AD" w:rsidRDefault="004171E2" w:rsidP="0005458C">
            <w:pPr>
              <w:widowControl w:val="0"/>
              <w:spacing w:after="240"/>
              <w:ind w:left="720"/>
              <w:jc w:val="both"/>
              <w:rPr>
                <w:rFonts w:ascii="Arial" w:hAnsi="Arial" w:cs="Arial"/>
                <w:b/>
                <w:sz w:val="20"/>
                <w:szCs w:val="20"/>
              </w:rPr>
            </w:pPr>
          </w:p>
          <w:p w14:paraId="078140D7" w14:textId="77777777" w:rsidR="004171E2" w:rsidRPr="006E46AD" w:rsidRDefault="004171E2" w:rsidP="00D12EB7">
            <w:pPr>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4A11BDA" w14:textId="77777777" w:rsidR="004171E2" w:rsidRPr="00F00D94" w:rsidRDefault="004171E2" w:rsidP="0005458C">
            <w:pPr>
              <w:pStyle w:val="ListParagraph"/>
              <w:spacing w:after="240"/>
              <w:jc w:val="both"/>
              <w:rPr>
                <w:rFonts w:ascii="Arial" w:hAnsi="Arial" w:cs="Arial"/>
                <w:b/>
              </w:rPr>
            </w:pPr>
          </w:p>
          <w:p w14:paraId="33B61FF6" w14:textId="77777777" w:rsidR="004171E2" w:rsidRPr="00F00D94" w:rsidRDefault="004171E2" w:rsidP="00D12EB7">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CF4E8D2" w14:textId="77777777" w:rsidR="004171E2" w:rsidRPr="00F00D94" w:rsidRDefault="004171E2" w:rsidP="0005458C">
            <w:pPr>
              <w:pStyle w:val="ListParagraph"/>
              <w:spacing w:after="240"/>
              <w:jc w:val="both"/>
              <w:rPr>
                <w:rFonts w:ascii="Arial" w:hAnsi="Arial" w:cs="Arial"/>
                <w:b/>
              </w:rPr>
            </w:pPr>
          </w:p>
          <w:p w14:paraId="0A94B2EF" w14:textId="77777777" w:rsidR="004171E2" w:rsidRPr="00F00D94" w:rsidRDefault="004171E2" w:rsidP="00D12EB7">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5A12B02" w14:textId="77777777" w:rsidR="004171E2" w:rsidRPr="00F00D94" w:rsidRDefault="004171E2" w:rsidP="0005458C">
            <w:pPr>
              <w:pStyle w:val="ListParagraph"/>
              <w:spacing w:after="240"/>
              <w:jc w:val="both"/>
              <w:rPr>
                <w:rFonts w:ascii="Arial" w:hAnsi="Arial" w:cs="Arial"/>
                <w:b/>
              </w:rPr>
            </w:pPr>
          </w:p>
          <w:p w14:paraId="12FB9757" w14:textId="77777777" w:rsidR="004171E2" w:rsidRPr="00F00D94" w:rsidRDefault="004171E2" w:rsidP="00D12EB7">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8E98D24" w14:textId="77777777" w:rsidR="004171E2" w:rsidRPr="00F00D94" w:rsidRDefault="004171E2" w:rsidP="0005458C">
            <w:pPr>
              <w:pStyle w:val="APStepItem"/>
              <w:numPr>
                <w:ilvl w:val="0"/>
                <w:numId w:val="0"/>
              </w:numPr>
              <w:spacing w:after="240"/>
              <w:rPr>
                <w:rFonts w:cs="Arial"/>
                <w:b/>
              </w:rPr>
            </w:pPr>
          </w:p>
        </w:tc>
      </w:tr>
    </w:tbl>
    <w:p w14:paraId="17071254" w14:textId="77777777" w:rsidR="004171E2" w:rsidRPr="00F00D94" w:rsidRDefault="004171E2" w:rsidP="004171E2">
      <w:pPr>
        <w:tabs>
          <w:tab w:val="left" w:pos="-1440"/>
          <w:tab w:val="left" w:pos="720"/>
        </w:tabs>
        <w:spacing w:after="240"/>
        <w:ind w:left="720" w:hanging="720"/>
        <w:jc w:val="both"/>
        <w:rPr>
          <w:rFonts w:ascii="Arial" w:hAnsi="Arial" w:cs="Arial"/>
        </w:rPr>
        <w:sectPr w:rsidR="004171E2" w:rsidRPr="00F00D94" w:rsidSect="004171E2">
          <w:headerReference w:type="default" r:id="rId111"/>
          <w:pgSz w:w="12240" w:h="15840" w:code="1"/>
          <w:pgMar w:top="1440" w:right="1440" w:bottom="1440" w:left="1440" w:header="720" w:footer="720" w:gutter="0"/>
          <w:cols w:space="720"/>
          <w:docGrid w:linePitch="360"/>
        </w:sectPr>
      </w:pPr>
    </w:p>
    <w:p w14:paraId="4A11A119" w14:textId="337C9D00" w:rsidR="004171E2" w:rsidRPr="000706D1" w:rsidRDefault="004171E2" w:rsidP="004171E2">
      <w:pPr>
        <w:pStyle w:val="Heading2"/>
        <w:jc w:val="both"/>
        <w:rPr>
          <w:rFonts w:cs="Arial"/>
          <w:sz w:val="24"/>
        </w:rPr>
      </w:pPr>
      <w:bookmarkStart w:id="91" w:name="_Toc210306856"/>
      <w:r w:rsidRPr="000706D1">
        <w:rPr>
          <w:rFonts w:cs="Arial"/>
          <w:sz w:val="24"/>
        </w:rPr>
        <w:lastRenderedPageBreak/>
        <w:t>N</w:t>
      </w:r>
      <w:r w:rsidR="00D12EB7">
        <w:rPr>
          <w:rFonts w:cs="Arial"/>
          <w:sz w:val="24"/>
        </w:rPr>
        <w:t>8</w:t>
      </w:r>
      <w:r w:rsidRPr="000706D1">
        <w:rPr>
          <w:rFonts w:cs="Arial"/>
          <w:sz w:val="24"/>
        </w:rPr>
        <w:t>.  SPECIAL TESTS AND PROVISIONS</w:t>
      </w:r>
      <w:r w:rsidR="00D12EB7" w:rsidRPr="00D12EB7">
        <w:rPr>
          <w:rFonts w:cs="Arial"/>
          <w:sz w:val="24"/>
        </w:rPr>
        <w:t xml:space="preserve"> – Incentive Compensation</w:t>
      </w:r>
      <w:bookmarkEnd w:id="91"/>
    </w:p>
    <w:p w14:paraId="215E0643" w14:textId="77777777" w:rsidR="004171E2" w:rsidRPr="000706D1" w:rsidRDefault="004171E2" w:rsidP="004171E2">
      <w:pPr>
        <w:pStyle w:val="Heading3"/>
        <w:jc w:val="both"/>
        <w:rPr>
          <w:rFonts w:cs="Arial"/>
          <w:sz w:val="24"/>
          <w:szCs w:val="24"/>
        </w:rPr>
      </w:pPr>
      <w:bookmarkStart w:id="92" w:name="_Toc210306857"/>
      <w:r w:rsidRPr="000706D1">
        <w:rPr>
          <w:rFonts w:cs="Arial"/>
          <w:sz w:val="24"/>
          <w:szCs w:val="24"/>
        </w:rPr>
        <w:t>OMB Compliance Requirements</w:t>
      </w:r>
      <w:bookmarkEnd w:id="92"/>
    </w:p>
    <w:p w14:paraId="2F230B70" w14:textId="77777777" w:rsidR="004171E2" w:rsidRPr="005C1EBC" w:rsidRDefault="004171E2" w:rsidP="004171E2">
      <w:pP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6E7A8C05" w14:textId="77777777" w:rsidR="004171E2" w:rsidRPr="00F00D94" w:rsidRDefault="004171E2" w:rsidP="004171E2">
      <w:pP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6E5A8ED4" w14:textId="77777777" w:rsidR="004171E2" w:rsidRPr="00F00D94"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3265454" w14:textId="4BB48024" w:rsidR="004171E2" w:rsidRPr="003F086D" w:rsidRDefault="004171E2" w:rsidP="004171E2">
      <w:pPr>
        <w:spacing w:after="240"/>
        <w:jc w:val="both"/>
        <w:rPr>
          <w:rFonts w:ascii="Arial" w:hAnsi="Arial" w:cs="Arial"/>
          <w:b/>
          <w:sz w:val="24"/>
          <w:szCs w:val="24"/>
        </w:rPr>
      </w:pPr>
      <w:r w:rsidRPr="000706D1">
        <w:rPr>
          <w:rFonts w:ascii="Arial" w:hAnsi="Arial" w:cs="Arial"/>
          <w:b/>
          <w:sz w:val="24"/>
          <w:szCs w:val="24"/>
        </w:rPr>
        <w:t xml:space="preserve">Part </w:t>
      </w:r>
      <w:r w:rsidR="00354D4C">
        <w:rPr>
          <w:rFonts w:ascii="Arial" w:hAnsi="Arial" w:cs="Arial"/>
          <w:b/>
          <w:sz w:val="24"/>
          <w:szCs w:val="24"/>
        </w:rPr>
        <w:t>5</w:t>
      </w:r>
      <w:r w:rsidRPr="000706D1">
        <w:rPr>
          <w:rFonts w:ascii="Arial" w:hAnsi="Arial" w:cs="Arial"/>
          <w:b/>
          <w:sz w:val="24"/>
          <w:szCs w:val="24"/>
        </w:rPr>
        <w:t xml:space="preserve"> OMB Program Specific Requirements</w:t>
      </w:r>
    </w:p>
    <w:p w14:paraId="05259BE2" w14:textId="5FE8E4BF" w:rsidR="003F086D" w:rsidRPr="003F086D" w:rsidRDefault="003F086D" w:rsidP="003F086D">
      <w:pPr>
        <w:spacing w:after="240"/>
        <w:jc w:val="both"/>
        <w:rPr>
          <w:rFonts w:ascii="Arial" w:hAnsi="Arial" w:cs="Arial"/>
          <w:bCs/>
          <w:iCs/>
        </w:rPr>
      </w:pPr>
      <w:r w:rsidRPr="003F086D">
        <w:rPr>
          <w:rFonts w:ascii="Arial" w:hAnsi="Arial" w:cs="Arial"/>
        </w:rPr>
        <w:t xml:space="preserve">According to 34 CFR 668.14(b)(22)(i), an institution agrees in its Program Participation Agreement that “[i]t will not provide any commission, bonus, or other incentive payment based in any part, directly or indirectly, upon success in securing enrollments or the award of financial aid, to any person or entity who is engaged in any student recruitment or admission activity, or in making decisions regarding the award of title IV, HEA program funds.” Dear Colleague Letter </w:t>
      </w:r>
      <w:hyperlink r:id="rId112">
        <w:r w:rsidRPr="003F086D">
          <w:rPr>
            <w:rFonts w:ascii="Arial" w:hAnsi="Arial" w:cs="Arial"/>
            <w:color w:val="2D74B5"/>
            <w:u w:val="single" w:color="2D74B5"/>
          </w:rPr>
          <w:t>GEN-11-05</w:t>
        </w:r>
      </w:hyperlink>
      <w:r w:rsidRPr="003F086D">
        <w:rPr>
          <w:rFonts w:ascii="Arial" w:hAnsi="Arial" w:cs="Arial"/>
          <w:color w:val="2D74B5"/>
        </w:rPr>
        <w:t xml:space="preserve"> </w:t>
      </w:r>
      <w:r w:rsidRPr="003F086D">
        <w:rPr>
          <w:rFonts w:ascii="Arial" w:hAnsi="Arial" w:cs="Arial"/>
        </w:rPr>
        <w:t>includes a Q&amp;A on Incentive Compensation that provides additional information.</w:t>
      </w:r>
    </w:p>
    <w:p w14:paraId="0ED9E620" w14:textId="77777777" w:rsidR="003F086D" w:rsidRPr="00F7017C" w:rsidRDefault="003F086D" w:rsidP="003F086D">
      <w:pPr>
        <w:spacing w:after="240"/>
        <w:jc w:val="both"/>
        <w:rPr>
          <w:rFonts w:ascii="Arial" w:hAnsi="Arial" w:cs="Arial"/>
          <w:bCs/>
          <w:i/>
        </w:rPr>
      </w:pPr>
      <w:r w:rsidRPr="00F7017C">
        <w:rPr>
          <w:rFonts w:ascii="Arial" w:hAnsi="Arial" w:cs="Arial"/>
          <w:bCs/>
          <w:i/>
        </w:rPr>
        <w:t>Applicable definitions:</w:t>
      </w:r>
    </w:p>
    <w:p w14:paraId="3EA952C3" w14:textId="4A61F03F" w:rsidR="003F086D" w:rsidRPr="003F086D" w:rsidRDefault="003F086D" w:rsidP="003F086D">
      <w:pPr>
        <w:spacing w:after="240"/>
        <w:jc w:val="both"/>
        <w:rPr>
          <w:rFonts w:ascii="Arial" w:hAnsi="Arial" w:cs="Arial"/>
          <w:bCs/>
          <w:iCs/>
        </w:rPr>
      </w:pPr>
      <w:r w:rsidRPr="003F086D">
        <w:rPr>
          <w:rFonts w:ascii="Arial" w:hAnsi="Arial" w:cs="Arial"/>
          <w:bCs/>
          <w:iCs/>
        </w:rPr>
        <w:t>A commission, bonus, or other incentive payment is a sum of money or something of value, other than a</w:t>
      </w:r>
      <w:r>
        <w:rPr>
          <w:rFonts w:ascii="Arial" w:hAnsi="Arial" w:cs="Arial"/>
          <w:bCs/>
          <w:iCs/>
        </w:rPr>
        <w:t xml:space="preserve"> </w:t>
      </w:r>
      <w:r w:rsidRPr="003F086D">
        <w:rPr>
          <w:rFonts w:ascii="Arial" w:hAnsi="Arial" w:cs="Arial"/>
          <w:bCs/>
          <w:iCs/>
        </w:rPr>
        <w:t>fixed salary or wages, paid to or given to a person or an entity for services rendered (34 CFR 668.14(b)(22)(iii)(A)).</w:t>
      </w:r>
    </w:p>
    <w:p w14:paraId="189A07C7" w14:textId="77777777" w:rsidR="003F086D" w:rsidRPr="003F086D" w:rsidRDefault="003F086D" w:rsidP="003F086D">
      <w:pPr>
        <w:spacing w:after="240"/>
        <w:jc w:val="both"/>
        <w:rPr>
          <w:rFonts w:ascii="Arial" w:hAnsi="Arial" w:cs="Arial"/>
          <w:bCs/>
          <w:iCs/>
        </w:rPr>
      </w:pPr>
      <w:r w:rsidRPr="003F086D">
        <w:rPr>
          <w:rFonts w:ascii="Arial" w:hAnsi="Arial" w:cs="Arial"/>
          <w:bCs/>
          <w:iCs/>
        </w:rPr>
        <w:t>Enrollment is the admission or matriculation of a student into an eligible institution (34 CFR 668.14(b)(22)(iii)(D)).</w:t>
      </w:r>
    </w:p>
    <w:p w14:paraId="0A78129D" w14:textId="77777777" w:rsidR="003F086D" w:rsidRPr="003F086D" w:rsidRDefault="003F086D" w:rsidP="003F086D">
      <w:pPr>
        <w:spacing w:after="240"/>
        <w:jc w:val="both"/>
        <w:rPr>
          <w:rFonts w:ascii="Arial" w:hAnsi="Arial" w:cs="Arial"/>
          <w:bCs/>
          <w:iCs/>
        </w:rPr>
      </w:pPr>
      <w:r w:rsidRPr="003F086D">
        <w:rPr>
          <w:rFonts w:ascii="Arial" w:hAnsi="Arial" w:cs="Arial"/>
          <w:bCs/>
          <w:iCs/>
        </w:rPr>
        <w:t>Securing enrollments or the award of financial aid means activities that a person or entity engages in at any point in time through completion of an educational program for the purpose of the admission or matriculation of students for any period of time or the award of financial aid to students. Securing enrollments or the award of financial aid includes contact in any form with a prospective student, such as, but not limited to - contact through preadmission or advising activities, scheduling an appointment to visit the enrollment office or any other office of the institution, attendance at such an appointment, or involvement in a prospective student's signing of an enrollment agreement or financial aid application (34 CFR 668.14(b)(22)(iii)(B)(1)).</w:t>
      </w:r>
    </w:p>
    <w:p w14:paraId="24F9B5CE" w14:textId="77777777" w:rsidR="003F086D" w:rsidRPr="003F086D" w:rsidRDefault="003F086D" w:rsidP="003F086D">
      <w:pPr>
        <w:spacing w:after="240"/>
        <w:jc w:val="both"/>
        <w:rPr>
          <w:rFonts w:ascii="Arial" w:hAnsi="Arial" w:cs="Arial"/>
          <w:bCs/>
          <w:iCs/>
        </w:rPr>
      </w:pPr>
      <w:r w:rsidRPr="003F086D">
        <w:rPr>
          <w:rFonts w:ascii="Arial" w:hAnsi="Arial" w:cs="Arial"/>
          <w:bCs/>
          <w:iCs/>
        </w:rPr>
        <w:t xml:space="preserve">Securing enrollments or the award of financial aid does not include making a payment to a third party for the provision of student contact information for prospective students provided that such payment is not </w:t>
      </w:r>
      <w:r w:rsidRPr="003F086D">
        <w:rPr>
          <w:rFonts w:ascii="Arial" w:hAnsi="Arial" w:cs="Arial"/>
          <w:bCs/>
          <w:iCs/>
        </w:rPr>
        <w:lastRenderedPageBreak/>
        <w:t>based on any additional conduct or action by the third party or the prospective students, such as participation in preadmission or advising activities, scheduling an appointment to visit the enrollment office or any other office of the institution or attendance at such an appointment, or the signing, or being involved in the signing, of a prospective student's enrollment agreement or financial aid application; or the number of students (calculated at any point in time of an educational program) who apply for enrollment, are awarded financial aid, or are enrolled for any period of time, including through completion of an educational program (34 CFR 668.14(b)(22)(iii)(B)(2)(i) and (ii)).</w:t>
      </w:r>
    </w:p>
    <w:p w14:paraId="6214B588" w14:textId="77777777" w:rsidR="003F086D" w:rsidRPr="003F086D" w:rsidRDefault="003F086D" w:rsidP="003F086D">
      <w:pPr>
        <w:spacing w:after="240"/>
        <w:jc w:val="both"/>
        <w:rPr>
          <w:rFonts w:ascii="Arial" w:hAnsi="Arial" w:cs="Arial"/>
          <w:bCs/>
          <w:iCs/>
        </w:rPr>
      </w:pPr>
      <w:r w:rsidRPr="003F086D">
        <w:rPr>
          <w:rFonts w:ascii="Arial" w:hAnsi="Arial" w:cs="Arial"/>
          <w:bCs/>
          <w:iCs/>
        </w:rPr>
        <w:t>An entity or person engaged in any student recruitment or admission activity or in making decisions about the award of financial aid is-</w:t>
      </w:r>
    </w:p>
    <w:p w14:paraId="3D2F5EA7" w14:textId="77777777" w:rsidR="003F086D" w:rsidRPr="003F086D" w:rsidRDefault="003F086D" w:rsidP="003F086D">
      <w:pPr>
        <w:spacing w:after="240"/>
        <w:ind w:left="720" w:hanging="720"/>
        <w:jc w:val="both"/>
        <w:rPr>
          <w:rFonts w:ascii="Arial" w:hAnsi="Arial" w:cs="Arial"/>
          <w:bCs/>
          <w:iCs/>
        </w:rPr>
      </w:pPr>
      <w:r w:rsidRPr="003F086D">
        <w:rPr>
          <w:rFonts w:ascii="Arial" w:hAnsi="Arial" w:cs="Arial"/>
          <w:bCs/>
          <w:iCs/>
        </w:rPr>
        <w:t>•</w:t>
      </w:r>
      <w:r w:rsidRPr="003F086D">
        <w:rPr>
          <w:rFonts w:ascii="Arial" w:hAnsi="Arial" w:cs="Arial"/>
          <w:bCs/>
          <w:iCs/>
        </w:rPr>
        <w:tab/>
        <w:t>With respect to an entity engaged in any student recruitment or admission activity or in making decisions about the award of financial aid, any institution or organization that undertakes the recruiting or the admitting of students or that makes decisions about and awards title IV, HEA program funds; and</w:t>
      </w:r>
    </w:p>
    <w:p w14:paraId="7EA541DA" w14:textId="5D4EFDE4" w:rsidR="003F086D" w:rsidRPr="00BB10F4" w:rsidRDefault="003F086D" w:rsidP="003F086D">
      <w:pPr>
        <w:spacing w:after="240"/>
        <w:ind w:left="720" w:hanging="720"/>
        <w:jc w:val="both"/>
        <w:rPr>
          <w:rFonts w:ascii="Arial" w:hAnsi="Arial" w:cs="Arial"/>
          <w:bCs/>
          <w:iCs/>
        </w:rPr>
      </w:pPr>
      <w:r w:rsidRPr="003F086D">
        <w:rPr>
          <w:rFonts w:ascii="Arial" w:hAnsi="Arial" w:cs="Arial"/>
          <w:bCs/>
          <w:iCs/>
        </w:rPr>
        <w:t>•</w:t>
      </w:r>
      <w:r w:rsidRPr="003F086D">
        <w:rPr>
          <w:rFonts w:ascii="Arial" w:hAnsi="Arial" w:cs="Arial"/>
          <w:bCs/>
          <w:iCs/>
        </w:rPr>
        <w:tab/>
        <w:t>With respect to a person engaged in any student recruitment or admission activity or in making decisions about the award of financial aid, any employee who undertakes recruiting or admitting of students or who makes decisions about and awards title IV, HEA program funds, and any higher level employee with responsibility for recruitment or admission of students, or making decisions about awarding title IV, HEA program funds (34 CFR 668.14</w:t>
      </w:r>
      <w:r w:rsidRPr="00BB10F4">
        <w:rPr>
          <w:rFonts w:ascii="Arial" w:hAnsi="Arial" w:cs="Arial"/>
          <w:bCs/>
          <w:iCs/>
        </w:rPr>
        <w:t>(b)(22)(iii)(C)(1) and (2)).</w:t>
      </w:r>
    </w:p>
    <w:p w14:paraId="24DC4E8B" w14:textId="7C8C2CEF" w:rsidR="003F086D" w:rsidRPr="00BB10F4" w:rsidRDefault="00BB10F4" w:rsidP="003F086D">
      <w:pPr>
        <w:spacing w:after="240"/>
        <w:jc w:val="both"/>
        <w:rPr>
          <w:rFonts w:ascii="Arial" w:hAnsi="Arial" w:cs="Arial"/>
          <w:bCs/>
          <w:iCs/>
        </w:rPr>
      </w:pPr>
      <w:r w:rsidRPr="00BB10F4">
        <w:rPr>
          <w:rFonts w:ascii="Arial" w:hAnsi="Arial" w:cs="Arial"/>
        </w:rPr>
        <w:t xml:space="preserve">Although the definitions refer to recruiter enrollment activities that may occur “through completion,” ED clarified that it does not interpret the regulations to ban compensation for recruiters that is based upon students’ graduation from, or completion of, educational programs (see </w:t>
      </w:r>
      <w:hyperlink r:id="rId113">
        <w:r w:rsidRPr="00BB10F4">
          <w:rPr>
            <w:rFonts w:ascii="Arial" w:hAnsi="Arial" w:cs="Arial"/>
            <w:color w:val="2D74B5"/>
            <w:u w:val="single" w:color="2D74B5"/>
          </w:rPr>
          <w:t>80 FR 73991 (Nov. 27, 2015)</w:t>
        </w:r>
      </w:hyperlink>
      <w:r w:rsidRPr="00BB10F4">
        <w:rPr>
          <w:rFonts w:ascii="Arial" w:hAnsi="Arial" w:cs="Arial"/>
          <w:color w:val="2D74B5"/>
          <w:u w:val="single" w:color="2D74B5"/>
        </w:rPr>
        <w:t>)</w:t>
      </w:r>
      <w:r w:rsidRPr="00BB10F4">
        <w:rPr>
          <w:rFonts w:ascii="Arial" w:hAnsi="Arial" w:cs="Arial"/>
        </w:rPr>
        <w:t>.</w:t>
      </w:r>
    </w:p>
    <w:p w14:paraId="32BDF833" w14:textId="77777777" w:rsidR="003F086D" w:rsidRPr="00F7017C" w:rsidRDefault="003F086D" w:rsidP="003F086D">
      <w:pPr>
        <w:spacing w:after="240"/>
        <w:jc w:val="both"/>
        <w:rPr>
          <w:rFonts w:ascii="Arial" w:hAnsi="Arial" w:cs="Arial"/>
          <w:bCs/>
          <w:i/>
        </w:rPr>
      </w:pPr>
      <w:r w:rsidRPr="00F7017C">
        <w:rPr>
          <w:rFonts w:ascii="Arial" w:hAnsi="Arial" w:cs="Arial"/>
          <w:bCs/>
          <w:i/>
        </w:rPr>
        <w:t>Merit-based adjustments</w:t>
      </w:r>
    </w:p>
    <w:p w14:paraId="509EC28F" w14:textId="41365857" w:rsidR="00BB10F4" w:rsidRPr="00BB10F4" w:rsidRDefault="00BB10F4" w:rsidP="00BB10F4">
      <w:pPr>
        <w:pStyle w:val="BodyText"/>
        <w:jc w:val="both"/>
        <w:rPr>
          <w:rFonts w:ascii="Arial" w:hAnsi="Arial" w:cs="Arial"/>
        </w:rPr>
      </w:pPr>
      <w:r w:rsidRPr="00BB10F4">
        <w:rPr>
          <w:rFonts w:ascii="Arial" w:hAnsi="Arial" w:cs="Arial"/>
        </w:rPr>
        <w:t>The regulation specifies in 34 CFR 668.14(b)(22)(ii) that, notwithstanding 34 CFR 668.14(b)(22)(i), eligible institutions, organizations that are contractors to eligible institutions, and other entities may make merit-based adjustments to employee compensation provided that such adjustments are not based in any part, directly or indirectly, upon success in securing enrollments or the award of financial aid; and profit- sharing payments so long as such payments are not provided to any person or entity engaged in student recruitment or admission activity or in making decisions regarding the award of title IV, HEA program funds.</w:t>
      </w:r>
    </w:p>
    <w:p w14:paraId="17D4701D" w14:textId="692CD2AC" w:rsidR="003F086D" w:rsidRPr="00BB10F4" w:rsidRDefault="00BB10F4" w:rsidP="00BB10F4">
      <w:pPr>
        <w:pStyle w:val="BodyText"/>
        <w:spacing w:before="1"/>
        <w:jc w:val="both"/>
        <w:rPr>
          <w:rFonts w:ascii="Arial" w:hAnsi="Arial" w:cs="Arial"/>
        </w:rPr>
      </w:pPr>
      <w:r w:rsidRPr="00BB10F4">
        <w:rPr>
          <w:rFonts w:ascii="Arial" w:hAnsi="Arial" w:cs="Arial"/>
        </w:rPr>
        <w:t xml:space="preserve">In </w:t>
      </w:r>
      <w:hyperlink r:id="rId114">
        <w:r w:rsidRPr="00BB10F4">
          <w:rPr>
            <w:rFonts w:ascii="Arial" w:hAnsi="Arial" w:cs="Arial"/>
            <w:color w:val="2D74B5"/>
            <w:u w:val="single" w:color="2D74B5"/>
          </w:rPr>
          <w:t>GEN-11-05</w:t>
        </w:r>
      </w:hyperlink>
      <w:r w:rsidRPr="00BB10F4">
        <w:rPr>
          <w:rFonts w:ascii="Arial" w:hAnsi="Arial" w:cs="Arial"/>
        </w:rPr>
        <w:t>, ED has stated that incentive payments in the form of tuition sharing with entities may be permitted in limited circumstances when an unrelated third party provides recruiting services as part of a bundle of services.</w:t>
      </w:r>
    </w:p>
    <w:p w14:paraId="4BDDC06E" w14:textId="77777777" w:rsidR="003F086D" w:rsidRPr="00F7017C" w:rsidRDefault="003F086D" w:rsidP="003F086D">
      <w:pPr>
        <w:spacing w:after="240"/>
        <w:jc w:val="both"/>
        <w:rPr>
          <w:rFonts w:ascii="Arial" w:hAnsi="Arial" w:cs="Arial"/>
          <w:bCs/>
          <w:i/>
        </w:rPr>
      </w:pPr>
      <w:r w:rsidRPr="00F7017C">
        <w:rPr>
          <w:rFonts w:ascii="Arial" w:hAnsi="Arial" w:cs="Arial"/>
          <w:bCs/>
          <w:i/>
        </w:rPr>
        <w:t>Applicability to Title IV and non-Title IV educational offerings</w:t>
      </w:r>
    </w:p>
    <w:p w14:paraId="152C2922" w14:textId="48BCC80C" w:rsidR="003F086D" w:rsidRPr="00F7017C" w:rsidRDefault="00BB10F4" w:rsidP="003F086D">
      <w:pPr>
        <w:spacing w:after="240"/>
        <w:jc w:val="both"/>
        <w:rPr>
          <w:rFonts w:ascii="Arial" w:hAnsi="Arial" w:cs="Arial"/>
          <w:bCs/>
          <w:iCs/>
        </w:rPr>
      </w:pPr>
      <w:r w:rsidRPr="00BB10F4">
        <w:rPr>
          <w:rFonts w:ascii="Arial" w:hAnsi="Arial" w:cs="Arial"/>
          <w:bCs/>
          <w:iCs/>
        </w:rPr>
        <w:t>Section 487(a)(20) of the HEA provides that compensation may not be based upon success in securing enrollments whether the students receive title IV, HEA funds, or some other form of student financial assistance (Federal Register, Volume 75, Number 117, Page 34817). Thus, the prohibition on the provision of any commission, bonus, or other incentive payment based in any part, directly or indirectly, upon success in securing enrollments or the award of financial aid, to any person or entity who is engaged in any student recruitment or admission activity, or in making decisions regarding the award of title IV, HEA program funds applies to all educational offerings that an institution provides whether or not those educational offerings are eligible for title IV, HEA program funds.</w:t>
      </w:r>
    </w:p>
    <w:p w14:paraId="5A32C9C7" w14:textId="77777777" w:rsidR="003F086D" w:rsidRPr="00F7017C" w:rsidRDefault="003F086D" w:rsidP="003F086D">
      <w:pPr>
        <w:spacing w:after="240"/>
        <w:jc w:val="both"/>
        <w:rPr>
          <w:rFonts w:ascii="Arial" w:hAnsi="Arial" w:cs="Arial"/>
          <w:bCs/>
          <w:i/>
        </w:rPr>
      </w:pPr>
      <w:r w:rsidRPr="00F7017C">
        <w:rPr>
          <w:rFonts w:ascii="Arial" w:hAnsi="Arial" w:cs="Arial"/>
          <w:bCs/>
          <w:i/>
        </w:rPr>
        <w:t>Applicability to contractors and employees of contractors used for covered services</w:t>
      </w:r>
    </w:p>
    <w:p w14:paraId="39FB444D" w14:textId="2EF22D53" w:rsidR="00BB10F4" w:rsidRPr="00BB10F4" w:rsidRDefault="00BB10F4" w:rsidP="00BB10F4">
      <w:pPr>
        <w:spacing w:after="240"/>
        <w:jc w:val="both"/>
        <w:rPr>
          <w:rFonts w:ascii="Arial" w:hAnsi="Arial" w:cs="Arial"/>
          <w:bCs/>
          <w:iCs/>
        </w:rPr>
      </w:pPr>
      <w:r w:rsidRPr="00BB10F4">
        <w:rPr>
          <w:rFonts w:ascii="Arial" w:hAnsi="Arial" w:cs="Arial"/>
          <w:bCs/>
          <w:iCs/>
        </w:rPr>
        <w:t xml:space="preserve">Many institutions offer programs that may or may not be eligible for title IV, HEA program funds that are managed by organizations that are contractors to the institution and the prohibition on the provision of any </w:t>
      </w:r>
      <w:r w:rsidRPr="00BB10F4">
        <w:rPr>
          <w:rFonts w:ascii="Arial" w:hAnsi="Arial" w:cs="Arial"/>
          <w:bCs/>
          <w:iCs/>
        </w:rPr>
        <w:lastRenderedPageBreak/>
        <w:t>commission, bonus, or other incentive payment would apply to any agreement between the institution and any organization it contracts with for any educational offerings provided for in the contract. The Government Accountability Office issued a report on one such type of agreement known as Online Program Manager (OPM) agreements, where prohibited commissions, bonuses, or incentive payments were included in the agreements and not identified by either the institution or the institution’s auditor (GAO-22-104463). When identifying entities that institutions may utilize for recruiting and other activities, in addition to agreements such as OPM agreements, auditors should be aware of contractors used to identify and provide prospective students to institutions, which may be referred to as “lead generators” or “aggregators.”</w:t>
      </w:r>
    </w:p>
    <w:p w14:paraId="17F1A4EC" w14:textId="7778114A" w:rsidR="003F086D" w:rsidRPr="00F7017C" w:rsidRDefault="00BB10F4" w:rsidP="00BB10F4">
      <w:pPr>
        <w:spacing w:after="240"/>
        <w:jc w:val="both"/>
        <w:rPr>
          <w:rFonts w:ascii="Arial" w:hAnsi="Arial" w:cs="Arial"/>
          <w:bCs/>
          <w:iCs/>
        </w:rPr>
      </w:pPr>
      <w:r w:rsidRPr="00BB10F4">
        <w:rPr>
          <w:rFonts w:ascii="Arial" w:hAnsi="Arial" w:cs="Arial"/>
          <w:bCs/>
          <w:iCs/>
        </w:rPr>
        <w:t>Even though an institution may have a contract with an organization that is free from any commission, bonus or other incentive payment on its face, the organization the institution is contracting with may be providing commissions, bonuses, or other incentive payments to its employees in violation of the prohibition on commissions, bonuses, or other incentive payments. The prohibition on commissions, bonuses or other incentive payments extends to any individual involved in securing enrollment or the awarding of financial aid and the organization that the institution is contracting with is prohibited from such commissions, bonuses or other incentive payments to individuals performing under the contract.</w:t>
      </w:r>
    </w:p>
    <w:p w14:paraId="2C50A343" w14:textId="2D792158" w:rsidR="003F086D" w:rsidRPr="000C04C5" w:rsidRDefault="003F086D" w:rsidP="003F086D">
      <w:pPr>
        <w:spacing w:after="240"/>
        <w:jc w:val="both"/>
        <w:rPr>
          <w:rFonts w:ascii="Arial" w:hAnsi="Arial" w:cs="Arial"/>
          <w:bCs/>
        </w:rPr>
      </w:pPr>
      <w:r w:rsidRPr="004E2CCB">
        <w:rPr>
          <w:rFonts w:ascii="Arial" w:hAnsi="Arial" w:cs="Arial"/>
          <w:bCs/>
          <w:i/>
        </w:rPr>
        <w:t>(Source: 202</w:t>
      </w:r>
      <w:r>
        <w:rPr>
          <w:rFonts w:ascii="Arial" w:hAnsi="Arial" w:cs="Arial"/>
          <w:bCs/>
          <w:i/>
        </w:rPr>
        <w:t>5</w:t>
      </w:r>
      <w:r w:rsidRPr="004E2CCB">
        <w:rPr>
          <w:rFonts w:ascii="Arial" w:hAnsi="Arial" w:cs="Arial"/>
          <w:bCs/>
          <w:i/>
        </w:rPr>
        <w:t xml:space="preserve"> OMB Compliance Supplement, Part 5, Student Financial Assistance Cluster)</w:t>
      </w:r>
    </w:p>
    <w:p w14:paraId="0B325AEF" w14:textId="77777777" w:rsidR="004171E2" w:rsidRPr="000706D1" w:rsidRDefault="004171E2" w:rsidP="004171E2">
      <w:pPr>
        <w:pStyle w:val="Heading3"/>
        <w:jc w:val="both"/>
        <w:rPr>
          <w:rFonts w:cs="Arial"/>
          <w:sz w:val="24"/>
          <w:szCs w:val="24"/>
        </w:rPr>
      </w:pPr>
      <w:bookmarkStart w:id="93" w:name="_Toc210306858"/>
      <w:r w:rsidRPr="000706D1">
        <w:rPr>
          <w:rFonts w:cs="Arial"/>
          <w:sz w:val="24"/>
          <w:szCs w:val="24"/>
        </w:rPr>
        <w:t>Additional Program Specific Information</w:t>
      </w:r>
      <w:bookmarkEnd w:id="93"/>
    </w:p>
    <w:p w14:paraId="25D739AC" w14:textId="77777777" w:rsidR="004171E2" w:rsidRPr="00AA5B05" w:rsidRDefault="004171E2" w:rsidP="004171E2">
      <w:pPr>
        <w:spacing w:after="240"/>
        <w:jc w:val="both"/>
        <w:rPr>
          <w:rFonts w:ascii="Arial" w:hAnsi="Arial" w:cs="Arial"/>
          <w:b/>
          <w:highlight w:val="yellow"/>
        </w:rPr>
      </w:pPr>
      <w:r w:rsidRPr="00AA5B05">
        <w:rPr>
          <w:rFonts w:ascii="Arial" w:hAnsi="Arial" w:cs="Arial"/>
          <w:b/>
          <w:highlight w:val="yellow"/>
        </w:rPr>
        <w:t>Add program specific requirements from:</w:t>
      </w:r>
    </w:p>
    <w:p w14:paraId="4CCC53D3" w14:textId="7BB6D956"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F086D">
        <w:rPr>
          <w:rFonts w:ascii="Arial" w:hAnsi="Arial" w:cs="Arial"/>
          <w:b/>
          <w:highlight w:val="yellow"/>
        </w:rPr>
        <w:t xml:space="preserve"> and</w:t>
      </w:r>
    </w:p>
    <w:p w14:paraId="27AE8C3B" w14:textId="77777777"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E467A2A" w14:textId="77777777" w:rsidR="004171E2" w:rsidRPr="00AA5B05" w:rsidRDefault="004171E2" w:rsidP="004171E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0C98915" w14:textId="77777777" w:rsidR="004171E2" w:rsidRPr="000706D1" w:rsidRDefault="004171E2" w:rsidP="004171E2">
      <w:pPr>
        <w:pStyle w:val="Heading3"/>
        <w:jc w:val="both"/>
        <w:rPr>
          <w:rFonts w:cs="Arial"/>
          <w:sz w:val="24"/>
          <w:szCs w:val="24"/>
        </w:rPr>
      </w:pPr>
      <w:bookmarkStart w:id="94" w:name="_Toc210306859"/>
      <w:r w:rsidRPr="000706D1">
        <w:rPr>
          <w:rFonts w:cs="Arial"/>
          <w:sz w:val="24"/>
          <w:szCs w:val="24"/>
        </w:rPr>
        <w:t>Audit Objectives and Control Testing</w:t>
      </w:r>
      <w:bookmarkEnd w:id="94"/>
    </w:p>
    <w:p w14:paraId="6E9CACCA" w14:textId="77777777" w:rsidR="004171E2" w:rsidRPr="00F00D94" w:rsidRDefault="004171E2" w:rsidP="004171E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B9DAA23" w14:textId="77777777" w:rsidR="004171E2" w:rsidRPr="00F00D94" w:rsidRDefault="004171E2" w:rsidP="004171E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A94B1CB" w14:textId="77777777" w:rsidR="004171E2"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F757540" w14:textId="03CBA70C" w:rsidR="003F086D" w:rsidRDefault="00BB10F4" w:rsidP="003F086D">
      <w:pPr>
        <w:pStyle w:val="ListParagraph"/>
        <w:numPr>
          <w:ilvl w:val="0"/>
          <w:numId w:val="7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BB10F4">
        <w:rPr>
          <w:rFonts w:ascii="Arial" w:hAnsi="Arial" w:cs="Arial"/>
          <w:iCs/>
        </w:rPr>
        <w:t>Determine if the institution complied with the ban on incentive payments to any person in the admissions/recruiting, financial aid, and registrar offices (or the equivalent of those offices) that the institution relies on to recruit, admit, and/or enroll its students, or to award Title IV funds or any contracted entity engaged in any student recruitment, enrollment, or admission activity or in making decisions regarding the award of Title IV funds.</w:t>
      </w:r>
    </w:p>
    <w:p w14:paraId="181FEA4D" w14:textId="0BEA62B3" w:rsidR="003F086D" w:rsidRPr="00F7017C" w:rsidRDefault="003F086D" w:rsidP="003F086D">
      <w:pPr>
        <w:spacing w:after="240"/>
        <w:jc w:val="both"/>
        <w:rPr>
          <w:rFonts w:ascii="Arial" w:hAnsi="Arial" w:cs="Arial"/>
          <w:bCs/>
        </w:rPr>
      </w:pPr>
      <w:r w:rsidRPr="00F7017C">
        <w:rPr>
          <w:rFonts w:ascii="Arial" w:hAnsi="Arial" w:cs="Arial"/>
          <w:bCs/>
          <w:i/>
        </w:rPr>
        <w:t>(Source: 202</w:t>
      </w:r>
      <w:r>
        <w:rPr>
          <w:rFonts w:ascii="Arial" w:hAnsi="Arial" w:cs="Arial"/>
          <w:bCs/>
          <w:i/>
        </w:rPr>
        <w:t>5</w:t>
      </w:r>
      <w:r w:rsidRPr="00F7017C">
        <w:rPr>
          <w:rFonts w:ascii="Arial" w:hAnsi="Arial" w:cs="Arial"/>
          <w:bCs/>
          <w:i/>
        </w:rPr>
        <w:t xml:space="preserve"> OMB Compliance Supplement, Part 5, Student Financial Assistance Cluster)</w:t>
      </w:r>
    </w:p>
    <w:p w14:paraId="3A5FF7D9" w14:textId="77777777" w:rsidR="004171E2" w:rsidRPr="00634FA3" w:rsidRDefault="004171E2" w:rsidP="004171E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171E2" w:rsidRPr="00F00D94" w14:paraId="3158D7B9" w14:textId="77777777" w:rsidTr="00E0350C">
        <w:tc>
          <w:tcPr>
            <w:tcW w:w="5000" w:type="pct"/>
          </w:tcPr>
          <w:p w14:paraId="0EB40226" w14:textId="77777777" w:rsidR="004171E2" w:rsidRPr="006F5FFA" w:rsidRDefault="004171E2" w:rsidP="0005458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AC315C4"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926CF41" w14:textId="77777777" w:rsidR="004171E2" w:rsidRPr="00F00D94" w:rsidRDefault="004171E2" w:rsidP="0005458C">
            <w:pPr>
              <w:pStyle w:val="AuditProcedureHeading"/>
              <w:spacing w:after="240"/>
              <w:jc w:val="both"/>
              <w:rPr>
                <w:rFonts w:cs="Arial"/>
                <w:b/>
                <w:bCs/>
                <w:szCs w:val="20"/>
                <w:u w:val="single"/>
              </w:rPr>
            </w:pPr>
          </w:p>
          <w:p w14:paraId="00E9BC4C" w14:textId="77777777" w:rsidR="004171E2" w:rsidRPr="00F00D94" w:rsidRDefault="004171E2" w:rsidP="0005458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1E94E42" w14:textId="77777777" w:rsidR="004171E2" w:rsidRPr="00F00D94" w:rsidRDefault="004171E2" w:rsidP="0005458C">
            <w:pPr>
              <w:pStyle w:val="AuditProcedureHeading"/>
              <w:spacing w:after="240"/>
              <w:jc w:val="both"/>
              <w:rPr>
                <w:rFonts w:cs="Arial"/>
                <w:b/>
                <w:bCs/>
                <w:szCs w:val="20"/>
                <w:u w:val="single"/>
              </w:rPr>
            </w:pPr>
          </w:p>
          <w:p w14:paraId="0E6BF89F"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2DA50B" w14:textId="77777777" w:rsidR="004171E2" w:rsidRPr="00F00D94" w:rsidRDefault="004171E2" w:rsidP="0005458C">
            <w:pPr>
              <w:spacing w:after="240"/>
              <w:jc w:val="both"/>
              <w:rPr>
                <w:rFonts w:ascii="Arial" w:hAnsi="Arial" w:cs="Arial"/>
                <w:b/>
                <w:sz w:val="20"/>
                <w:u w:val="single"/>
              </w:rPr>
            </w:pPr>
          </w:p>
          <w:p w14:paraId="75217ECE" w14:textId="77777777" w:rsidR="004171E2" w:rsidRPr="00F00D94" w:rsidRDefault="004171E2" w:rsidP="0005458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10AAB42" w14:textId="77777777" w:rsidR="004171E2" w:rsidRPr="00C35E5F" w:rsidRDefault="004171E2" w:rsidP="0005458C">
            <w:pPr>
              <w:spacing w:after="240"/>
              <w:jc w:val="both"/>
              <w:rPr>
                <w:rFonts w:ascii="Arial" w:eastAsiaTheme="minorHAnsi" w:hAnsi="Arial" w:cs="Arial"/>
                <w:sz w:val="20"/>
                <w:szCs w:val="20"/>
              </w:rPr>
            </w:pPr>
          </w:p>
        </w:tc>
      </w:tr>
    </w:tbl>
    <w:p w14:paraId="38589864" w14:textId="77777777" w:rsidR="004171E2" w:rsidRPr="00F00D94" w:rsidRDefault="004171E2" w:rsidP="004171E2">
      <w:pPr>
        <w:spacing w:after="240"/>
        <w:jc w:val="both"/>
        <w:rPr>
          <w:rFonts w:ascii="Arial" w:hAnsi="Arial" w:cs="Arial"/>
          <w:b/>
          <w:bCs/>
        </w:rPr>
      </w:pPr>
    </w:p>
    <w:p w14:paraId="39DB1968" w14:textId="77777777" w:rsidR="004171E2" w:rsidRPr="000706D1" w:rsidRDefault="004171E2" w:rsidP="004171E2">
      <w:pPr>
        <w:pStyle w:val="Heading3"/>
        <w:jc w:val="both"/>
        <w:rPr>
          <w:rFonts w:cs="Arial"/>
          <w:sz w:val="24"/>
          <w:szCs w:val="24"/>
        </w:rPr>
      </w:pPr>
      <w:bookmarkStart w:id="95" w:name="_Toc210306860"/>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5"/>
    </w:p>
    <w:tbl>
      <w:tblPr>
        <w:tblStyle w:val="TableGrid"/>
        <w:tblW w:w="9558" w:type="dxa"/>
        <w:tblLayout w:type="fixed"/>
        <w:tblLook w:val="04A0" w:firstRow="1" w:lastRow="0" w:firstColumn="1" w:lastColumn="0" w:noHBand="0" w:noVBand="1"/>
      </w:tblPr>
      <w:tblGrid>
        <w:gridCol w:w="9558"/>
      </w:tblGrid>
      <w:tr w:rsidR="004171E2" w:rsidRPr="00F00D94" w14:paraId="43FC5E28" w14:textId="77777777" w:rsidTr="00634FA3">
        <w:tc>
          <w:tcPr>
            <w:tcW w:w="9558" w:type="dxa"/>
          </w:tcPr>
          <w:p w14:paraId="256A85E5" w14:textId="77777777" w:rsidR="004171E2" w:rsidRDefault="004171E2" w:rsidP="0005458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029F773D" w14:textId="77777777" w:rsidR="004171E2" w:rsidRPr="00AC7B25" w:rsidRDefault="004171E2" w:rsidP="0005458C">
            <w:pPr>
              <w:spacing w:after="240"/>
              <w:jc w:val="both"/>
              <w:rPr>
                <w:rFonts w:ascii="Arial" w:hAnsi="Arial" w:cs="Arial"/>
                <w:i/>
                <w:sz w:val="20"/>
                <w:szCs w:val="20"/>
              </w:rPr>
            </w:pPr>
            <w:r>
              <w:rPr>
                <w:rFonts w:ascii="Arial" w:hAnsi="Arial" w:cs="Arial"/>
                <w:i/>
                <w:sz w:val="20"/>
                <w:szCs w:val="20"/>
              </w:rPr>
              <w:t>(Source: 2025 OMB Compliance Supplement Part 3.2)</w:t>
            </w:r>
          </w:p>
          <w:p w14:paraId="43BF476B" w14:textId="72B8D257" w:rsidR="00BB10F4" w:rsidRPr="00BB10F4" w:rsidRDefault="003F086D" w:rsidP="00BB10F4">
            <w:pPr>
              <w:spacing w:after="240"/>
              <w:ind w:left="612" w:hanging="612"/>
              <w:jc w:val="both"/>
              <w:rPr>
                <w:rFonts w:ascii="Arial" w:hAnsi="Arial" w:cs="Arial"/>
                <w:sz w:val="20"/>
              </w:rPr>
            </w:pPr>
            <w:r w:rsidRPr="00F7017C">
              <w:rPr>
                <w:rFonts w:ascii="Arial" w:hAnsi="Arial" w:cs="Arial"/>
                <w:sz w:val="20"/>
              </w:rPr>
              <w:t>a.</w:t>
            </w:r>
            <w:r w:rsidRPr="00F7017C">
              <w:rPr>
                <w:rFonts w:ascii="Arial" w:hAnsi="Arial" w:cs="Arial"/>
                <w:sz w:val="20"/>
              </w:rPr>
              <w:tab/>
            </w:r>
            <w:r w:rsidR="00BB10F4" w:rsidRPr="00BB10F4">
              <w:rPr>
                <w:rFonts w:ascii="Arial" w:hAnsi="Arial" w:cs="Arial"/>
                <w:sz w:val="20"/>
              </w:rPr>
              <w:t>Identify those positions within the institution’s admissions/recruiting, financial aid, and registrar offices (or the equivalent of those offices) involved in recruitment, enrollment, admissions, or securing financial aid activities (covered positions) and those entities the institution contracts with to recruit, admit, or enroll students into any program offered by the institution, including OPM agreements (covered entities). Determine whether the institution’s written policies and procedures, compensation plans, performance plans, contracts, or other documentation or guidelines for evaluating and compensating covered positions or covered entities indicate a potential incentive compensation violation.</w:t>
            </w:r>
          </w:p>
          <w:p w14:paraId="222A7581" w14:textId="5C79A90B" w:rsidR="00BB10F4" w:rsidRPr="00BB10F4" w:rsidRDefault="00BB10F4" w:rsidP="00BB10F4">
            <w:pPr>
              <w:spacing w:after="240"/>
              <w:ind w:left="612" w:hanging="612"/>
              <w:jc w:val="both"/>
              <w:rPr>
                <w:rFonts w:ascii="Arial" w:hAnsi="Arial" w:cs="Arial"/>
                <w:sz w:val="20"/>
              </w:rPr>
            </w:pPr>
            <w:r w:rsidRPr="00BB10F4">
              <w:rPr>
                <w:rFonts w:ascii="Arial" w:hAnsi="Arial" w:cs="Arial"/>
                <w:sz w:val="20"/>
              </w:rPr>
              <w:t>b.</w:t>
            </w:r>
            <w:r w:rsidRPr="00BB10F4">
              <w:rPr>
                <w:rFonts w:ascii="Arial" w:hAnsi="Arial" w:cs="Arial"/>
                <w:sz w:val="20"/>
              </w:rPr>
              <w:tab/>
              <w:t>For any covered position or covered entity from procedure a. where the auditor determined documentation reviewed indicated a potential incentive compensation violation, test performance, compensation, and payment records for a sample of employees in those covered positions and a sample of covered entities to determine whether the employees or entities received incentive compensation based on success in recruiting, admitting, or enrolling students in any program offered by the institution or for the awarding of Title IV funds.</w:t>
            </w:r>
          </w:p>
          <w:p w14:paraId="3AAE18DB" w14:textId="376A3DEE" w:rsidR="004171E2" w:rsidRPr="001B6A61" w:rsidRDefault="00BB10F4" w:rsidP="00BB10F4">
            <w:pPr>
              <w:spacing w:after="240"/>
              <w:ind w:left="611" w:hanging="611"/>
              <w:jc w:val="both"/>
              <w:rPr>
                <w:rFonts w:ascii="Arial" w:hAnsi="Arial" w:cs="Arial"/>
                <w:b/>
                <w:bCs/>
                <w:sz w:val="20"/>
              </w:rPr>
            </w:pPr>
            <w:r w:rsidRPr="00BB10F4">
              <w:rPr>
                <w:rFonts w:ascii="Arial" w:hAnsi="Arial" w:cs="Arial"/>
                <w:sz w:val="20"/>
              </w:rPr>
              <w:t>c.</w:t>
            </w:r>
            <w:r w:rsidRPr="00BB10F4">
              <w:rPr>
                <w:rFonts w:ascii="Arial" w:hAnsi="Arial" w:cs="Arial"/>
                <w:sz w:val="20"/>
              </w:rPr>
              <w:tab/>
              <w:t xml:space="preserve">If the institution has tuition sharing with an entity that provides recruiting services as part of a bundle of services, review the institution’s records identified in procedure </w:t>
            </w:r>
            <w:r w:rsidR="006D08F9">
              <w:rPr>
                <w:rFonts w:ascii="Arial" w:hAnsi="Arial" w:cs="Arial"/>
                <w:sz w:val="20"/>
              </w:rPr>
              <w:t>a</w:t>
            </w:r>
            <w:r w:rsidRPr="00BB10F4">
              <w:rPr>
                <w:rFonts w:ascii="Arial" w:hAnsi="Arial" w:cs="Arial"/>
                <w:sz w:val="20"/>
              </w:rPr>
              <w:t xml:space="preserve"> for evidence that the contracted entity is related to the institution.</w:t>
            </w:r>
          </w:p>
        </w:tc>
      </w:tr>
    </w:tbl>
    <w:p w14:paraId="43B4F1C8" w14:textId="77777777" w:rsidR="004171E2" w:rsidRPr="00F00D94" w:rsidRDefault="004171E2" w:rsidP="004171E2">
      <w:pPr>
        <w:tabs>
          <w:tab w:val="left" w:pos="-1440"/>
          <w:tab w:val="left" w:pos="720"/>
        </w:tabs>
        <w:spacing w:after="240"/>
        <w:ind w:left="720" w:hanging="720"/>
        <w:jc w:val="both"/>
        <w:rPr>
          <w:rFonts w:ascii="Arial" w:hAnsi="Arial" w:cs="Arial"/>
        </w:rPr>
      </w:pPr>
    </w:p>
    <w:p w14:paraId="0FAC69EA" w14:textId="77777777" w:rsidR="004171E2" w:rsidRPr="000706D1" w:rsidRDefault="004171E2" w:rsidP="004171E2">
      <w:pPr>
        <w:pStyle w:val="Heading3"/>
        <w:jc w:val="both"/>
        <w:rPr>
          <w:rFonts w:cs="Arial"/>
          <w:b w:val="0"/>
          <w:sz w:val="24"/>
          <w:szCs w:val="24"/>
        </w:rPr>
      </w:pPr>
      <w:bookmarkStart w:id="96" w:name="_Toc210306861"/>
      <w:r w:rsidRPr="000706D1">
        <w:rPr>
          <w:rFonts w:cs="Arial"/>
          <w:sz w:val="24"/>
          <w:szCs w:val="24"/>
        </w:rPr>
        <w:t>Audit Implications Summary</w:t>
      </w:r>
      <w:bookmarkEnd w:id="96"/>
    </w:p>
    <w:tbl>
      <w:tblPr>
        <w:tblStyle w:val="TableGrid"/>
        <w:tblW w:w="5000" w:type="pct"/>
        <w:tblLook w:val="04A0" w:firstRow="1" w:lastRow="0" w:firstColumn="1" w:lastColumn="0" w:noHBand="0" w:noVBand="1"/>
      </w:tblPr>
      <w:tblGrid>
        <w:gridCol w:w="9350"/>
      </w:tblGrid>
      <w:tr w:rsidR="004171E2" w:rsidRPr="00F00D94" w14:paraId="31F82DB7" w14:textId="77777777" w:rsidTr="00E0350C">
        <w:tc>
          <w:tcPr>
            <w:tcW w:w="5000" w:type="pct"/>
          </w:tcPr>
          <w:p w14:paraId="6467EAD5" w14:textId="77777777" w:rsidR="004171E2" w:rsidRDefault="004171E2" w:rsidP="0005458C">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01A8C965" w14:textId="77777777" w:rsidR="004171E2" w:rsidRPr="006E46AD" w:rsidRDefault="004171E2" w:rsidP="0005458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342DD44" w14:textId="77777777" w:rsidR="004171E2" w:rsidRPr="006E46AD" w:rsidRDefault="004171E2" w:rsidP="003F086D">
            <w:pPr>
              <w:pStyle w:val="ListParagraph"/>
              <w:widowControl w:val="0"/>
              <w:numPr>
                <w:ilvl w:val="0"/>
                <w:numId w:val="7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72F4EAC" w14:textId="77777777" w:rsidR="004171E2" w:rsidRPr="006E46AD" w:rsidRDefault="004171E2" w:rsidP="0005458C">
            <w:pPr>
              <w:widowControl w:val="0"/>
              <w:spacing w:after="240"/>
              <w:ind w:left="720"/>
              <w:jc w:val="both"/>
              <w:rPr>
                <w:rFonts w:ascii="Arial" w:hAnsi="Arial" w:cs="Arial"/>
                <w:b/>
                <w:sz w:val="20"/>
                <w:szCs w:val="20"/>
              </w:rPr>
            </w:pPr>
          </w:p>
          <w:p w14:paraId="6CEA0109" w14:textId="77777777" w:rsidR="004171E2" w:rsidRPr="006E46AD" w:rsidRDefault="004171E2" w:rsidP="003F086D">
            <w:pPr>
              <w:widowControl w:val="0"/>
              <w:numPr>
                <w:ilvl w:val="0"/>
                <w:numId w:val="7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836AD7A" w14:textId="77777777" w:rsidR="004171E2" w:rsidRPr="00F00D94" w:rsidRDefault="004171E2" w:rsidP="0005458C">
            <w:pPr>
              <w:pStyle w:val="ListParagraph"/>
              <w:spacing w:after="240"/>
              <w:jc w:val="both"/>
              <w:rPr>
                <w:rFonts w:ascii="Arial" w:hAnsi="Arial" w:cs="Arial"/>
                <w:b/>
              </w:rPr>
            </w:pPr>
          </w:p>
          <w:p w14:paraId="14AA213A" w14:textId="77777777" w:rsidR="004171E2" w:rsidRPr="00F00D94" w:rsidRDefault="004171E2" w:rsidP="003F086D">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DC963DE" w14:textId="77777777" w:rsidR="004171E2" w:rsidRPr="00F00D94" w:rsidRDefault="004171E2" w:rsidP="0005458C">
            <w:pPr>
              <w:pStyle w:val="ListParagraph"/>
              <w:spacing w:after="240"/>
              <w:jc w:val="both"/>
              <w:rPr>
                <w:rFonts w:ascii="Arial" w:hAnsi="Arial" w:cs="Arial"/>
                <w:b/>
              </w:rPr>
            </w:pPr>
          </w:p>
          <w:p w14:paraId="12092586" w14:textId="77777777" w:rsidR="004171E2" w:rsidRPr="00F00D94" w:rsidRDefault="004171E2" w:rsidP="003F086D">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3F15269" w14:textId="77777777" w:rsidR="004171E2" w:rsidRPr="00F00D94" w:rsidRDefault="004171E2" w:rsidP="0005458C">
            <w:pPr>
              <w:pStyle w:val="ListParagraph"/>
              <w:spacing w:after="240"/>
              <w:jc w:val="both"/>
              <w:rPr>
                <w:rFonts w:ascii="Arial" w:hAnsi="Arial" w:cs="Arial"/>
                <w:b/>
              </w:rPr>
            </w:pPr>
          </w:p>
          <w:p w14:paraId="5BF3399E" w14:textId="77777777" w:rsidR="004171E2" w:rsidRPr="00F00D94" w:rsidRDefault="004171E2" w:rsidP="003F086D">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CF65A70" w14:textId="77777777" w:rsidR="004171E2" w:rsidRPr="00F00D94" w:rsidRDefault="004171E2" w:rsidP="0005458C">
            <w:pPr>
              <w:pStyle w:val="APStepItem"/>
              <w:numPr>
                <w:ilvl w:val="0"/>
                <w:numId w:val="0"/>
              </w:numPr>
              <w:spacing w:after="240"/>
              <w:rPr>
                <w:rFonts w:cs="Arial"/>
                <w:b/>
              </w:rPr>
            </w:pPr>
          </w:p>
        </w:tc>
      </w:tr>
    </w:tbl>
    <w:p w14:paraId="18FE93B5" w14:textId="77777777" w:rsidR="004171E2" w:rsidRPr="00F00D94" w:rsidRDefault="004171E2" w:rsidP="004171E2">
      <w:pPr>
        <w:tabs>
          <w:tab w:val="left" w:pos="-1440"/>
          <w:tab w:val="left" w:pos="720"/>
        </w:tabs>
        <w:spacing w:after="240"/>
        <w:ind w:left="720" w:hanging="720"/>
        <w:jc w:val="both"/>
        <w:rPr>
          <w:rFonts w:ascii="Arial" w:hAnsi="Arial" w:cs="Arial"/>
        </w:rPr>
        <w:sectPr w:rsidR="004171E2" w:rsidRPr="00F00D94" w:rsidSect="004171E2">
          <w:headerReference w:type="default" r:id="rId116"/>
          <w:pgSz w:w="12240" w:h="15840" w:code="1"/>
          <w:pgMar w:top="1440" w:right="1440" w:bottom="1440" w:left="1440" w:header="720" w:footer="720" w:gutter="0"/>
          <w:cols w:space="720"/>
          <w:docGrid w:linePitch="360"/>
        </w:sectPr>
      </w:pPr>
    </w:p>
    <w:p w14:paraId="68FFD8EC" w14:textId="29B6A54F" w:rsidR="004171E2" w:rsidRPr="000706D1" w:rsidRDefault="004171E2" w:rsidP="004171E2">
      <w:pPr>
        <w:pStyle w:val="Heading2"/>
        <w:jc w:val="both"/>
        <w:rPr>
          <w:rFonts w:cs="Arial"/>
          <w:sz w:val="24"/>
        </w:rPr>
      </w:pPr>
      <w:bookmarkStart w:id="97" w:name="_Toc210306862"/>
      <w:r w:rsidRPr="000706D1">
        <w:rPr>
          <w:rFonts w:cs="Arial"/>
          <w:sz w:val="24"/>
        </w:rPr>
        <w:lastRenderedPageBreak/>
        <w:t>N</w:t>
      </w:r>
      <w:r w:rsidR="00BB10F4">
        <w:rPr>
          <w:rFonts w:cs="Arial"/>
          <w:sz w:val="24"/>
        </w:rPr>
        <w:t>9</w:t>
      </w:r>
      <w:r w:rsidRPr="000706D1">
        <w:rPr>
          <w:rFonts w:cs="Arial"/>
          <w:sz w:val="24"/>
        </w:rPr>
        <w:t>.  SPECIAL TESTS AND PROVISIONS</w:t>
      </w:r>
      <w:r w:rsidR="00BB10F4" w:rsidRPr="00BB10F4">
        <w:rPr>
          <w:rFonts w:cs="Arial"/>
          <w:sz w:val="24"/>
        </w:rPr>
        <w:t xml:space="preserve"> – Program Eligibility</w:t>
      </w:r>
      <w:bookmarkEnd w:id="97"/>
    </w:p>
    <w:p w14:paraId="3A31B831" w14:textId="77777777" w:rsidR="004171E2" w:rsidRPr="000706D1" w:rsidRDefault="004171E2" w:rsidP="004171E2">
      <w:pPr>
        <w:pStyle w:val="Heading3"/>
        <w:jc w:val="both"/>
        <w:rPr>
          <w:rFonts w:cs="Arial"/>
          <w:sz w:val="24"/>
          <w:szCs w:val="24"/>
        </w:rPr>
      </w:pPr>
      <w:bookmarkStart w:id="98" w:name="_Toc210306863"/>
      <w:r w:rsidRPr="000706D1">
        <w:rPr>
          <w:rFonts w:cs="Arial"/>
          <w:sz w:val="24"/>
          <w:szCs w:val="24"/>
        </w:rPr>
        <w:t>OMB Compliance Requirements</w:t>
      </w:r>
      <w:bookmarkEnd w:id="98"/>
    </w:p>
    <w:p w14:paraId="2073FD34" w14:textId="77777777" w:rsidR="004171E2" w:rsidRPr="005C1EBC" w:rsidRDefault="004171E2" w:rsidP="004171E2">
      <w:pP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CC57FB8" w14:textId="77777777" w:rsidR="004171E2" w:rsidRPr="00F00D94" w:rsidRDefault="004171E2" w:rsidP="004171E2">
      <w:pP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5FC188CA" w14:textId="77777777" w:rsidR="004171E2" w:rsidRPr="00F00D94"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EA98A25" w14:textId="69F227E3" w:rsidR="004171E2" w:rsidRPr="000706D1" w:rsidRDefault="004171E2" w:rsidP="004171E2">
      <w:pPr>
        <w:spacing w:after="240"/>
        <w:jc w:val="both"/>
        <w:rPr>
          <w:rFonts w:ascii="Arial" w:hAnsi="Arial" w:cs="Arial"/>
          <w:b/>
          <w:sz w:val="24"/>
          <w:szCs w:val="24"/>
        </w:rPr>
      </w:pPr>
      <w:r w:rsidRPr="000706D1">
        <w:rPr>
          <w:rFonts w:ascii="Arial" w:hAnsi="Arial" w:cs="Arial"/>
          <w:b/>
          <w:sz w:val="24"/>
          <w:szCs w:val="24"/>
        </w:rPr>
        <w:t xml:space="preserve">Part </w:t>
      </w:r>
      <w:r w:rsidR="00BB10F4">
        <w:rPr>
          <w:rFonts w:ascii="Arial" w:hAnsi="Arial" w:cs="Arial"/>
          <w:b/>
          <w:sz w:val="24"/>
          <w:szCs w:val="24"/>
        </w:rPr>
        <w:t>5</w:t>
      </w:r>
      <w:r w:rsidRPr="000706D1">
        <w:rPr>
          <w:rFonts w:ascii="Arial" w:hAnsi="Arial" w:cs="Arial"/>
          <w:b/>
          <w:sz w:val="24"/>
          <w:szCs w:val="24"/>
        </w:rPr>
        <w:t xml:space="preserve"> OMB Program Specific Requirements</w:t>
      </w:r>
    </w:p>
    <w:p w14:paraId="38CA02AE" w14:textId="67FE8EA8" w:rsidR="00BB10F4" w:rsidRPr="00BB10F4" w:rsidRDefault="00BB10F4" w:rsidP="00BB10F4">
      <w:pPr>
        <w:spacing w:after="240"/>
        <w:jc w:val="both"/>
        <w:rPr>
          <w:rFonts w:ascii="Arial" w:hAnsi="Arial" w:cs="Arial"/>
          <w:bCs/>
          <w:iCs/>
        </w:rPr>
      </w:pPr>
      <w:r w:rsidRPr="00BB10F4">
        <w:rPr>
          <w:rFonts w:ascii="Arial" w:hAnsi="Arial" w:cs="Arial"/>
          <w:bCs/>
          <w:iCs/>
        </w:rPr>
        <w:t>An Educational program is a legally authorized postsecondary program of organized instruction or study that leads to an academic, professional, or vocational degree, or certificate, or other recognized educational credential, or is a comprehensive transition and postsecondary program.</w:t>
      </w:r>
    </w:p>
    <w:p w14:paraId="2415EE3B" w14:textId="38D5990A" w:rsidR="00BB10F4" w:rsidRPr="00F7017C" w:rsidRDefault="00BB10F4" w:rsidP="00BB10F4">
      <w:pPr>
        <w:spacing w:after="240"/>
        <w:jc w:val="both"/>
        <w:rPr>
          <w:rFonts w:ascii="Arial" w:hAnsi="Arial" w:cs="Arial"/>
          <w:bCs/>
          <w:iCs/>
        </w:rPr>
      </w:pPr>
      <w:r w:rsidRPr="00BB10F4">
        <w:rPr>
          <w:rFonts w:ascii="Arial" w:hAnsi="Arial" w:cs="Arial"/>
          <w:bCs/>
          <w:iCs/>
        </w:rPr>
        <w:t>Program eligibility is evaluated based on two measures: intensity of content (clock hours and credit hours) and time (academic years and weeks of instructional time).</w:t>
      </w:r>
    </w:p>
    <w:p w14:paraId="786124B9" w14:textId="77777777" w:rsidR="00BB10F4" w:rsidRPr="00F7017C" w:rsidRDefault="00BB10F4" w:rsidP="00BB10F4">
      <w:pPr>
        <w:spacing w:after="240"/>
        <w:jc w:val="both"/>
        <w:rPr>
          <w:rFonts w:ascii="Arial" w:hAnsi="Arial" w:cs="Arial"/>
          <w:bCs/>
          <w:i/>
        </w:rPr>
      </w:pPr>
      <w:r w:rsidRPr="00F7017C">
        <w:rPr>
          <w:rFonts w:ascii="Arial" w:hAnsi="Arial" w:cs="Arial"/>
          <w:bCs/>
          <w:i/>
        </w:rPr>
        <w:t>Content</w:t>
      </w:r>
    </w:p>
    <w:p w14:paraId="41CABE80" w14:textId="23CDD1C1" w:rsidR="00BB10F4" w:rsidRPr="00F7017C" w:rsidRDefault="00BB10F4" w:rsidP="00BB10F4">
      <w:pPr>
        <w:spacing w:after="240"/>
        <w:jc w:val="both"/>
        <w:rPr>
          <w:rFonts w:ascii="Arial" w:hAnsi="Arial" w:cs="Arial"/>
          <w:bCs/>
          <w:iCs/>
        </w:rPr>
      </w:pPr>
      <w:r w:rsidRPr="00BB10F4">
        <w:rPr>
          <w:rFonts w:ascii="Arial" w:hAnsi="Arial" w:cs="Arial"/>
          <w:bCs/>
          <w:iCs/>
        </w:rPr>
        <w:t>The content of a program for purposes of the Title IV programs is measured in either clock hours or credit hours. It is important to understand the definitions of both credit hours and clock hours because some programs may state that they are measured in credit hours, but in certain circumstances the regulations require those programs be measured and evaluated for program eligibility and student eligibility based on clock hours.</w:t>
      </w:r>
    </w:p>
    <w:p w14:paraId="19FB008E" w14:textId="77777777" w:rsidR="00BB10F4" w:rsidRPr="00F7017C" w:rsidRDefault="00BB10F4" w:rsidP="00BB10F4">
      <w:pPr>
        <w:spacing w:after="240"/>
        <w:jc w:val="both"/>
        <w:rPr>
          <w:rFonts w:ascii="Arial" w:hAnsi="Arial" w:cs="Arial"/>
          <w:bCs/>
          <w:i/>
        </w:rPr>
      </w:pPr>
      <w:r w:rsidRPr="00F7017C">
        <w:rPr>
          <w:rFonts w:ascii="Arial" w:hAnsi="Arial" w:cs="Arial"/>
          <w:bCs/>
          <w:i/>
        </w:rPr>
        <w:t>Clock Hours</w:t>
      </w:r>
    </w:p>
    <w:p w14:paraId="0E857D41" w14:textId="103EACC3" w:rsidR="00BB10F4" w:rsidRPr="00BB10F4" w:rsidRDefault="00BB10F4" w:rsidP="00BB10F4">
      <w:pPr>
        <w:spacing w:after="240"/>
        <w:jc w:val="both"/>
        <w:rPr>
          <w:rFonts w:ascii="Arial" w:hAnsi="Arial" w:cs="Arial"/>
          <w:bCs/>
          <w:iCs/>
        </w:rPr>
      </w:pPr>
      <w:r w:rsidRPr="00BB10F4">
        <w:rPr>
          <w:rFonts w:ascii="Arial" w:hAnsi="Arial" w:cs="Arial"/>
          <w:bCs/>
          <w:iCs/>
        </w:rPr>
        <w:t>A clock hour offered in a classroom setting is a period of time consisting of a 50- to 60- minute class, lecture, or recitation in a 60-minute period (34 CFR 600.2 Clock hour (1)(i). A clock hour in a faculty supervised laboratory, shop training, or internship is 50 to 60 minutes in a 60-minute period (34 CFR 600.2 Clock hour (1)(ii). A clock hour for a program offered through correspondence is sixty minutes of preparation in a correspondence course (34 CFR 600.2 Clock Hour (1)(iii)).</w:t>
      </w:r>
    </w:p>
    <w:p w14:paraId="01B02C85" w14:textId="06AB01C6" w:rsidR="00BB10F4" w:rsidRPr="00BB10F4" w:rsidRDefault="00BB10F4" w:rsidP="00BB10F4">
      <w:pPr>
        <w:spacing w:after="240"/>
        <w:jc w:val="both"/>
        <w:rPr>
          <w:rFonts w:ascii="Arial" w:hAnsi="Arial" w:cs="Arial"/>
          <w:bCs/>
          <w:iCs/>
        </w:rPr>
      </w:pPr>
      <w:r w:rsidRPr="00BB10F4">
        <w:rPr>
          <w:rFonts w:ascii="Arial" w:hAnsi="Arial" w:cs="Arial"/>
          <w:bCs/>
          <w:iCs/>
        </w:rPr>
        <w:t xml:space="preserve">For a program offered through distance education a clock hour is 50 to 60 minutes in a 60-minute period of attendance in a synchronous or asynchronous class, lecture, or recitation where there is opportunity for direct interaction between the instructor and students; or an asynchronous learning activity involving academic engagement in which the student interacts with technology that can monitor and document the amount of time that the student participates in the activity. A clock hour in a distance education program </w:t>
      </w:r>
      <w:r w:rsidRPr="00BB10F4">
        <w:rPr>
          <w:rFonts w:ascii="Arial" w:hAnsi="Arial" w:cs="Arial"/>
          <w:bCs/>
          <w:iCs/>
        </w:rPr>
        <w:lastRenderedPageBreak/>
        <w:t>does not meet the requirements of this definition if it does not meet all accrediting agency and State requirements or if it exceeds an agency's or State's restrictions on the number of clock hours in a program that may be offered through distance education (34 CFR 600.2 Clock Hour: (1)(iv) and (2)).</w:t>
      </w:r>
    </w:p>
    <w:p w14:paraId="02E30725" w14:textId="027F9514" w:rsidR="00BB10F4" w:rsidRPr="00BB10F4" w:rsidRDefault="00BB10F4" w:rsidP="00BB10F4">
      <w:pPr>
        <w:spacing w:after="240"/>
        <w:jc w:val="both"/>
        <w:rPr>
          <w:rFonts w:ascii="Arial" w:hAnsi="Arial" w:cs="Arial"/>
          <w:bCs/>
          <w:iCs/>
        </w:rPr>
      </w:pPr>
      <w:r w:rsidRPr="00BB10F4">
        <w:rPr>
          <w:rFonts w:ascii="Arial" w:hAnsi="Arial" w:cs="Arial"/>
          <w:bCs/>
          <w:iCs/>
        </w:rPr>
        <w:t>No matter how a program measured in clock hours is delivered an institution must be capable of monitoring a student's attendance in 50 out of 60 minutes for each clock hour under this definition (34 CFR 600.2 Clock Hour: (3)).</w:t>
      </w:r>
    </w:p>
    <w:p w14:paraId="33D538D5" w14:textId="5A95C0ED" w:rsidR="00BB10F4" w:rsidRPr="00F7017C" w:rsidRDefault="00BB10F4" w:rsidP="00BB10F4">
      <w:pPr>
        <w:spacing w:after="240"/>
        <w:jc w:val="both"/>
        <w:rPr>
          <w:rFonts w:ascii="Arial" w:hAnsi="Arial" w:cs="Arial"/>
          <w:bCs/>
          <w:iCs/>
        </w:rPr>
      </w:pPr>
      <w:r w:rsidRPr="00BB10F4">
        <w:rPr>
          <w:rFonts w:ascii="Arial" w:hAnsi="Arial" w:cs="Arial"/>
          <w:bCs/>
          <w:iCs/>
        </w:rPr>
        <w:t>NOTE: Programs offered through direct assessment are not measured in clock hours. For traditional on ground programs, a clock hour is a period of time consisting of a 50- to 60- minute class, lecture, or recitation in a 60-minute period; or a 50- to 60-minute faculty- supervised laboratory, shop training, or internship in a 60-minute period (34 CFR 600.02 Clock Hour: (1)(i) and (ii)).</w:t>
      </w:r>
    </w:p>
    <w:p w14:paraId="15F208C5" w14:textId="77777777" w:rsidR="00BB10F4" w:rsidRPr="00F7017C" w:rsidRDefault="00BB10F4" w:rsidP="00BB10F4">
      <w:pPr>
        <w:spacing w:after="240"/>
        <w:jc w:val="both"/>
        <w:rPr>
          <w:rFonts w:ascii="Arial" w:hAnsi="Arial" w:cs="Arial"/>
          <w:bCs/>
          <w:i/>
        </w:rPr>
      </w:pPr>
      <w:r w:rsidRPr="00F7017C">
        <w:rPr>
          <w:rFonts w:ascii="Arial" w:hAnsi="Arial" w:cs="Arial"/>
          <w:bCs/>
          <w:i/>
        </w:rPr>
        <w:t>Credit Hours</w:t>
      </w:r>
    </w:p>
    <w:p w14:paraId="39730F1F" w14:textId="35F14B9B" w:rsidR="00BB10F4" w:rsidRPr="00BB10F4" w:rsidRDefault="00BB10F4" w:rsidP="00BB10F4">
      <w:pPr>
        <w:spacing w:after="240"/>
        <w:jc w:val="both"/>
        <w:rPr>
          <w:rFonts w:ascii="Arial" w:hAnsi="Arial" w:cs="Arial"/>
          <w:bCs/>
          <w:iCs/>
        </w:rPr>
      </w:pPr>
      <w:r w:rsidRPr="00BB10F4">
        <w:rPr>
          <w:rFonts w:ascii="Arial" w:hAnsi="Arial" w:cs="Arial"/>
          <w:bCs/>
          <w:iCs/>
        </w:rPr>
        <w:t>Unless a program is required to use the clock to credit hour conversion, a credit hour is an amount of student work defined by an institution, as approved by the institution's accrediting agency or State approval agency, that is consistent with commonly accepted practice in postsecondary education. A credit hour reasonably approximates not less than one hour of classroom or direct faculty instruction and a minimum of two hours of out-of-class student work each week for approximately fifteen weeks for one semester or trimester hour of credit, or ten to twelve weeks for one quarter hour of credit, or the equivalent amount of work over a different period of time; or at least an equivalent amount of work for other academic activities as established by the institution, including laboratory work, internships, practica, studio work, and other academic work leading to the award of credit hours (34 CFR 600.2 Credit Hour (1)(i) and (ii)).</w:t>
      </w:r>
    </w:p>
    <w:p w14:paraId="46A16D46" w14:textId="7B453F38" w:rsidR="00BB10F4" w:rsidRPr="00BB10F4" w:rsidRDefault="00BB10F4" w:rsidP="00BB10F4">
      <w:pPr>
        <w:spacing w:after="240"/>
        <w:jc w:val="both"/>
        <w:rPr>
          <w:rFonts w:ascii="Arial" w:hAnsi="Arial" w:cs="Arial"/>
          <w:bCs/>
          <w:iCs/>
        </w:rPr>
      </w:pPr>
      <w:r w:rsidRPr="00BB10F4">
        <w:rPr>
          <w:rFonts w:ascii="Arial" w:hAnsi="Arial" w:cs="Arial"/>
          <w:bCs/>
          <w:iCs/>
        </w:rPr>
        <w:t xml:space="preserve">The regulations also permit an institution, in determining the amount of work associated with a credit hour, to </w:t>
      </w:r>
      <w:proofErr w:type="gramStart"/>
      <w:r w:rsidRPr="00BB10F4">
        <w:rPr>
          <w:rFonts w:ascii="Arial" w:hAnsi="Arial" w:cs="Arial"/>
          <w:bCs/>
          <w:iCs/>
        </w:rPr>
        <w:t>take into account</w:t>
      </w:r>
      <w:proofErr w:type="gramEnd"/>
      <w:r w:rsidRPr="00BB10F4">
        <w:rPr>
          <w:rFonts w:ascii="Arial" w:hAnsi="Arial" w:cs="Arial"/>
          <w:bCs/>
          <w:iCs/>
        </w:rPr>
        <w:t xml:space="preserve"> a variety of delivery methods, measurements of student work, academic calendars, disciplines, and degree levels.</w:t>
      </w:r>
    </w:p>
    <w:p w14:paraId="59F302C6" w14:textId="39E9F391" w:rsidR="00BB10F4" w:rsidRPr="00F7017C" w:rsidRDefault="00BB10F4" w:rsidP="00BB10F4">
      <w:pPr>
        <w:spacing w:after="240"/>
        <w:jc w:val="both"/>
        <w:rPr>
          <w:rFonts w:ascii="Arial" w:hAnsi="Arial" w:cs="Arial"/>
          <w:bCs/>
          <w:iCs/>
        </w:rPr>
      </w:pPr>
      <w:r w:rsidRPr="00BB10F4">
        <w:rPr>
          <w:rFonts w:ascii="Arial" w:hAnsi="Arial" w:cs="Arial"/>
          <w:bCs/>
          <w:iCs/>
        </w:rPr>
        <w:t>For programs that lead to an associate, bachelor’s, professional, or graduate degree, the content and length of the programs is established by state agencies and accrediting agencies. ED generally accepts the content and length established for those programs.</w:t>
      </w:r>
    </w:p>
    <w:p w14:paraId="5ABE3F6E" w14:textId="77777777" w:rsidR="00BB10F4" w:rsidRPr="00F7017C" w:rsidRDefault="00BB10F4" w:rsidP="00BB10F4">
      <w:pPr>
        <w:spacing w:after="240"/>
        <w:jc w:val="both"/>
        <w:rPr>
          <w:rFonts w:ascii="Arial" w:hAnsi="Arial" w:cs="Arial"/>
          <w:bCs/>
          <w:i/>
        </w:rPr>
      </w:pPr>
      <w:r w:rsidRPr="00F7017C">
        <w:rPr>
          <w:rFonts w:ascii="Arial" w:hAnsi="Arial" w:cs="Arial"/>
          <w:bCs/>
          <w:i/>
        </w:rPr>
        <w:t>Time</w:t>
      </w:r>
    </w:p>
    <w:p w14:paraId="4F944ADB" w14:textId="40530FBC" w:rsidR="00BB10F4" w:rsidRPr="00F7017C" w:rsidRDefault="00BB10F4" w:rsidP="00BB10F4">
      <w:pPr>
        <w:spacing w:after="240"/>
        <w:jc w:val="both"/>
        <w:rPr>
          <w:rFonts w:ascii="Arial" w:hAnsi="Arial" w:cs="Arial"/>
          <w:bCs/>
          <w:iCs/>
        </w:rPr>
      </w:pPr>
      <w:r w:rsidRPr="00BB10F4">
        <w:rPr>
          <w:rFonts w:ascii="Arial" w:hAnsi="Arial" w:cs="Arial"/>
          <w:bCs/>
          <w:iCs/>
        </w:rPr>
        <w:t>The length of a program, the amount of time to complete the program, is measured in academic years and weeks of instructional time.</w:t>
      </w:r>
    </w:p>
    <w:p w14:paraId="0708A2FB" w14:textId="77777777" w:rsidR="00BB10F4" w:rsidRPr="00F7017C" w:rsidRDefault="00BB10F4" w:rsidP="00BB10F4">
      <w:pPr>
        <w:spacing w:after="240"/>
        <w:jc w:val="both"/>
        <w:rPr>
          <w:rFonts w:ascii="Arial" w:hAnsi="Arial" w:cs="Arial"/>
          <w:bCs/>
          <w:i/>
        </w:rPr>
      </w:pPr>
      <w:r w:rsidRPr="00F7017C">
        <w:rPr>
          <w:rFonts w:ascii="Arial" w:hAnsi="Arial" w:cs="Arial"/>
          <w:bCs/>
          <w:i/>
        </w:rPr>
        <w:t>Academic Year</w:t>
      </w:r>
    </w:p>
    <w:p w14:paraId="71612E7A" w14:textId="7E8B3A4B" w:rsidR="00BB10F4" w:rsidRPr="00F7017C" w:rsidRDefault="00BB10F4" w:rsidP="00BB10F4">
      <w:pPr>
        <w:spacing w:after="240"/>
        <w:jc w:val="both"/>
        <w:rPr>
          <w:rFonts w:ascii="Arial" w:hAnsi="Arial" w:cs="Arial"/>
          <w:bCs/>
          <w:iCs/>
        </w:rPr>
      </w:pPr>
      <w:r w:rsidRPr="00BB10F4">
        <w:rPr>
          <w:rFonts w:ascii="Arial" w:hAnsi="Arial" w:cs="Arial"/>
          <w:bCs/>
          <w:iCs/>
        </w:rPr>
        <w:t>An academic year for a credit hour program must include a minimum of 30 weeks of instructional time (34 CFR 668.3(a)(1)(i)) during which a full-time undergraduate student is expected to complete a minimum of 24 semester or trimester credit hours or 36 quarter credit hours (34 CFR 668.3(a)(2)(i)). For a clock-hour program an academic year must include a minimum of 26 weeks of instructional time (34 CFR 668.3(a)(1)(ii)) during which a full-time undergraduate student is expected to complete a minimum of 900</w:t>
      </w:r>
      <w:r>
        <w:rPr>
          <w:rFonts w:ascii="Arial" w:hAnsi="Arial" w:cs="Arial"/>
          <w:bCs/>
          <w:iCs/>
        </w:rPr>
        <w:t xml:space="preserve"> </w:t>
      </w:r>
      <w:r w:rsidRPr="00BB10F4">
        <w:rPr>
          <w:rFonts w:ascii="Arial" w:hAnsi="Arial" w:cs="Arial"/>
          <w:bCs/>
          <w:iCs/>
        </w:rPr>
        <w:t>clock-hours (34 CFR 668.3(a)(2)(ii)).</w:t>
      </w:r>
    </w:p>
    <w:p w14:paraId="38410079" w14:textId="77777777" w:rsidR="00BB10F4" w:rsidRPr="00F7017C" w:rsidRDefault="00BB10F4" w:rsidP="00BB10F4">
      <w:pPr>
        <w:spacing w:after="240"/>
        <w:jc w:val="both"/>
        <w:rPr>
          <w:rFonts w:ascii="Arial" w:hAnsi="Arial" w:cs="Arial"/>
          <w:bCs/>
          <w:i/>
        </w:rPr>
      </w:pPr>
      <w:r w:rsidRPr="00F7017C">
        <w:rPr>
          <w:rFonts w:ascii="Arial" w:hAnsi="Arial" w:cs="Arial"/>
          <w:bCs/>
          <w:i/>
        </w:rPr>
        <w:t>Week of Instructional Time</w:t>
      </w:r>
    </w:p>
    <w:p w14:paraId="462D7F5F" w14:textId="77777777" w:rsidR="00BB10F4" w:rsidRPr="00BB10F4" w:rsidRDefault="00BB10F4" w:rsidP="00BB10F4">
      <w:pPr>
        <w:spacing w:after="240"/>
        <w:jc w:val="both"/>
        <w:rPr>
          <w:rFonts w:ascii="Arial" w:hAnsi="Arial" w:cs="Arial"/>
          <w:bCs/>
          <w:iCs/>
        </w:rPr>
      </w:pPr>
      <w:r w:rsidRPr="00BB10F4">
        <w:rPr>
          <w:rFonts w:ascii="Arial" w:hAnsi="Arial" w:cs="Arial"/>
          <w:bCs/>
          <w:iCs/>
        </w:rPr>
        <w:t>A week of instructional time for other than distance education or correspondence programs is a week in which at least one day of regularly scheduled instruction or examinations occurs, or, after the last scheduled day of classes for a term or payment period, at least one day of study for final examinations occurs (34 CFR 668.3(b)(2)(i)).</w:t>
      </w:r>
    </w:p>
    <w:p w14:paraId="33E8F31D" w14:textId="6CB66C16" w:rsidR="00BB10F4" w:rsidRPr="00F7017C" w:rsidRDefault="00BB10F4" w:rsidP="00BB10F4">
      <w:pPr>
        <w:spacing w:after="240"/>
        <w:jc w:val="both"/>
        <w:rPr>
          <w:rFonts w:ascii="Arial" w:hAnsi="Arial" w:cs="Arial"/>
          <w:bCs/>
          <w:iCs/>
        </w:rPr>
      </w:pPr>
      <w:r w:rsidRPr="00BB10F4">
        <w:rPr>
          <w:rFonts w:ascii="Arial" w:hAnsi="Arial" w:cs="Arial"/>
          <w:bCs/>
          <w:iCs/>
        </w:rPr>
        <w:lastRenderedPageBreak/>
        <w:t>For a program using asynchronous coursework offered through distance education or correspondence, a week of instructional time is a week in which the institution makes available the instructional materials, other resources, and instructor support necessary for academic engagement and completion of course objectives (34 CFR 668.3(b)(2)(ii)(A); and for asynchronous coursework through distance education, the institution expects enrolled students to perform educational activities demonstrating academic engagement during the week (34 CFR 668.3(b)(2)(ii)(B)).</w:t>
      </w:r>
    </w:p>
    <w:p w14:paraId="0AC37362" w14:textId="77777777" w:rsidR="00BB10F4" w:rsidRPr="00F7017C" w:rsidRDefault="00BB10F4" w:rsidP="00BB10F4">
      <w:pPr>
        <w:spacing w:after="240"/>
        <w:jc w:val="both"/>
        <w:rPr>
          <w:rFonts w:ascii="Arial" w:hAnsi="Arial" w:cs="Arial"/>
          <w:bCs/>
          <w:i/>
        </w:rPr>
      </w:pPr>
      <w:r w:rsidRPr="00F7017C">
        <w:rPr>
          <w:rFonts w:ascii="Arial" w:hAnsi="Arial" w:cs="Arial"/>
          <w:bCs/>
          <w:i/>
        </w:rPr>
        <w:t>Eligible Programs</w:t>
      </w:r>
    </w:p>
    <w:p w14:paraId="5DD92D09" w14:textId="77777777" w:rsidR="00BB10F4" w:rsidRPr="00BB10F4" w:rsidRDefault="00BB10F4" w:rsidP="00BB10F4">
      <w:pPr>
        <w:spacing w:after="240"/>
        <w:jc w:val="both"/>
        <w:rPr>
          <w:rFonts w:ascii="Arial" w:hAnsi="Arial" w:cs="Arial"/>
          <w:bCs/>
          <w:iCs/>
        </w:rPr>
      </w:pPr>
      <w:r w:rsidRPr="00BB10F4">
        <w:rPr>
          <w:rFonts w:ascii="Arial" w:hAnsi="Arial" w:cs="Arial"/>
          <w:bCs/>
          <w:iCs/>
        </w:rPr>
        <w:t>A program is Title IV-eligible if it is provided by an institution that participates in one or more of the Title IV programs and meets the requirements described in 34 CFR 668.8.</w:t>
      </w:r>
    </w:p>
    <w:p w14:paraId="6FA18A75" w14:textId="77777777" w:rsidR="00BB10F4" w:rsidRPr="00BB10F4" w:rsidRDefault="00BB10F4" w:rsidP="00BB10F4">
      <w:pPr>
        <w:spacing w:after="240"/>
        <w:jc w:val="both"/>
        <w:rPr>
          <w:rFonts w:ascii="Arial" w:hAnsi="Arial" w:cs="Arial"/>
          <w:bCs/>
          <w:iCs/>
        </w:rPr>
      </w:pPr>
      <w:r w:rsidRPr="00BB10F4">
        <w:rPr>
          <w:rFonts w:ascii="Arial" w:hAnsi="Arial" w:cs="Arial"/>
          <w:bCs/>
          <w:iCs/>
        </w:rPr>
        <w:t>The first and most important requirement for an eligible program is that it must be included in an institution’s accreditation and authorized by the State. Once that requirement is met, if the program is offered by a public or nonprofit institution of higher education and leads to an associate, bachelor’s professional, or graduate degree, or is at least two academic years in length and fully acceptable for full credit toward a bachelor’s degree, it is an eligible program. (Note: Programs that lead to an associate, bachelor’s professional, or graduate degree are generally considered eligible programs.)</w:t>
      </w:r>
    </w:p>
    <w:p w14:paraId="5AF32143" w14:textId="77777777" w:rsidR="00BB10F4" w:rsidRPr="00BB10F4" w:rsidRDefault="00BB10F4" w:rsidP="00BB10F4">
      <w:pPr>
        <w:spacing w:after="240"/>
        <w:jc w:val="both"/>
        <w:rPr>
          <w:rFonts w:ascii="Arial" w:hAnsi="Arial" w:cs="Arial"/>
          <w:bCs/>
          <w:iCs/>
        </w:rPr>
      </w:pPr>
      <w:r w:rsidRPr="00BB10F4">
        <w:rPr>
          <w:rFonts w:ascii="Arial" w:hAnsi="Arial" w:cs="Arial"/>
          <w:bCs/>
          <w:iCs/>
        </w:rPr>
        <w:t>If the program does not lead to a degree and is not at least two academic years in length, it must lead to a certificate or other non-degree recognized credential provided by the institution, provide training that prepares a student for gainful employment in a recognized occupation, and meet ED’s minimum program length requirements.</w:t>
      </w:r>
    </w:p>
    <w:p w14:paraId="62447370" w14:textId="77777777" w:rsidR="00BB10F4" w:rsidRPr="00BB10F4" w:rsidRDefault="00BB10F4" w:rsidP="00BB10F4">
      <w:pPr>
        <w:spacing w:after="240"/>
        <w:jc w:val="both"/>
        <w:rPr>
          <w:rFonts w:ascii="Arial" w:hAnsi="Arial" w:cs="Arial"/>
          <w:bCs/>
          <w:iCs/>
        </w:rPr>
      </w:pPr>
      <w:r w:rsidRPr="00BB10F4">
        <w:rPr>
          <w:rFonts w:ascii="Arial" w:hAnsi="Arial" w:cs="Arial"/>
          <w:bCs/>
          <w:iCs/>
        </w:rPr>
        <w:t>The regulations at 34 CFR 668.8(d) allow an institution to offer three types of programs offered in clock-hours, semester or trimester credit hours, or quarter credit hours (668.8(d)(1) and (2)).</w:t>
      </w:r>
    </w:p>
    <w:p w14:paraId="5B33F395" w14:textId="77777777" w:rsidR="00BB10F4" w:rsidRPr="00BB10F4" w:rsidRDefault="00BB10F4" w:rsidP="00BB10F4">
      <w:pPr>
        <w:spacing w:after="240"/>
        <w:jc w:val="both"/>
        <w:rPr>
          <w:rFonts w:ascii="Arial" w:hAnsi="Arial" w:cs="Arial"/>
          <w:bCs/>
          <w:iCs/>
        </w:rPr>
      </w:pPr>
      <w:r w:rsidRPr="00BB10F4">
        <w:rPr>
          <w:rFonts w:ascii="Arial" w:hAnsi="Arial" w:cs="Arial"/>
          <w:bCs/>
          <w:iCs/>
        </w:rPr>
        <w:t>The first type of program must require a minimum of 15 weeks of instruction; must be at least 600 clock hours, 16 semester or trimester hours or 24 quarter hours and may admit as regular students persons who have not completed the equivalent of an associate degree (34 CFR 668.8(d)(1)).</w:t>
      </w:r>
    </w:p>
    <w:p w14:paraId="729EA259" w14:textId="77777777" w:rsidR="00BB10F4" w:rsidRPr="00BB10F4" w:rsidRDefault="00BB10F4" w:rsidP="00BB10F4">
      <w:pPr>
        <w:spacing w:after="240"/>
        <w:jc w:val="both"/>
        <w:rPr>
          <w:rFonts w:ascii="Arial" w:hAnsi="Arial" w:cs="Arial"/>
          <w:bCs/>
          <w:iCs/>
        </w:rPr>
      </w:pPr>
      <w:r w:rsidRPr="00BB10F4">
        <w:rPr>
          <w:rFonts w:ascii="Arial" w:hAnsi="Arial" w:cs="Arial"/>
          <w:bCs/>
          <w:iCs/>
        </w:rPr>
        <w:t>The second type of program must require a minimum of 10 weeks of instruction, must be at least 300 clock hours, 8 semester or trimester hours, or 12 quarter hours and must either be a graduate or professional program or admit as regular students only persons who have completed the equivalent of an associate degree (34 CFR 668.8(d)(2)).</w:t>
      </w:r>
    </w:p>
    <w:p w14:paraId="576CC034" w14:textId="77777777" w:rsidR="00BB10F4" w:rsidRPr="00BB10F4" w:rsidRDefault="00BB10F4" w:rsidP="00BB10F4">
      <w:pPr>
        <w:spacing w:after="240"/>
        <w:jc w:val="both"/>
        <w:rPr>
          <w:rFonts w:ascii="Arial" w:hAnsi="Arial" w:cs="Arial"/>
          <w:bCs/>
          <w:iCs/>
        </w:rPr>
      </w:pPr>
      <w:r w:rsidRPr="00BB10F4">
        <w:rPr>
          <w:rFonts w:ascii="Arial" w:hAnsi="Arial" w:cs="Arial"/>
          <w:bCs/>
          <w:iCs/>
        </w:rPr>
        <w:t>The regulations also allow an institution to offer a “short-term” program that includes fewer than 600 clock hours and admits students who have not completed the equivalent of an associate degree. Such programs qualify only for Direct Loan funds. These programs may only be offered in clock-hours and cannot be offered using semester credit hours or quarter credit hours. They require a minimum of 10 weeks of instruction, beginning on the first day of classes and ending on the last day of classes or examinations and must be at least 300 clock hours but less than 600 clock hours and provide undergraduate training that prepares a student for gainful employment in a recognized occupation.</w:t>
      </w:r>
    </w:p>
    <w:p w14:paraId="2987B86F" w14:textId="32A42EC4" w:rsidR="00BB10F4" w:rsidRPr="00F7017C" w:rsidRDefault="00BB10F4" w:rsidP="00BB10F4">
      <w:pPr>
        <w:spacing w:after="240"/>
        <w:jc w:val="both"/>
        <w:rPr>
          <w:rFonts w:ascii="Arial" w:hAnsi="Arial" w:cs="Arial"/>
          <w:bCs/>
          <w:iCs/>
        </w:rPr>
      </w:pPr>
      <w:r w:rsidRPr="00BB10F4">
        <w:rPr>
          <w:rFonts w:ascii="Arial" w:hAnsi="Arial" w:cs="Arial"/>
          <w:bCs/>
          <w:iCs/>
        </w:rPr>
        <w:t>In addition, short-term programs must meet 70 percent completion and 70 percent placement rate requirements (34 CFR 668.8(d)(3)(v)) described in more detail below.</w:t>
      </w:r>
    </w:p>
    <w:p w14:paraId="56BB49F9" w14:textId="63BE8E50" w:rsidR="00BB10F4" w:rsidRPr="00F7017C" w:rsidRDefault="00BB10F4" w:rsidP="00BB10F4">
      <w:pPr>
        <w:spacing w:after="240"/>
        <w:jc w:val="both"/>
        <w:rPr>
          <w:rFonts w:ascii="Arial" w:hAnsi="Arial" w:cs="Arial"/>
          <w:bCs/>
          <w:iCs/>
        </w:rPr>
      </w:pPr>
      <w:hyperlink r:id="rId117" w:history="1">
        <w:r w:rsidRPr="000A7C0B">
          <w:rPr>
            <w:rStyle w:val="Hyperlink"/>
            <w:rFonts w:cs="Arial"/>
            <w:bCs/>
            <w:iCs/>
          </w:rPr>
          <w:t>Appendix B</w:t>
        </w:r>
      </w:hyperlink>
      <w:r w:rsidRPr="00F7017C">
        <w:rPr>
          <w:rFonts w:ascii="Arial" w:hAnsi="Arial" w:cs="Arial"/>
          <w:bCs/>
          <w:iCs/>
        </w:rPr>
        <w:t xml:space="preserve"> </w:t>
      </w:r>
      <w:r w:rsidRPr="00BB10F4">
        <w:rPr>
          <w:rFonts w:ascii="Arial" w:hAnsi="Arial" w:cs="Arial"/>
          <w:bCs/>
          <w:iCs/>
        </w:rPr>
        <w:t>provides a flowchart of the process for determining program eligibility.</w:t>
      </w:r>
    </w:p>
    <w:p w14:paraId="6A11B284" w14:textId="77777777" w:rsidR="00BB10F4" w:rsidRPr="00F7017C" w:rsidRDefault="00BB10F4" w:rsidP="00BB10F4">
      <w:pPr>
        <w:spacing w:after="240"/>
        <w:jc w:val="both"/>
        <w:rPr>
          <w:rFonts w:ascii="Arial" w:hAnsi="Arial" w:cs="Arial"/>
          <w:bCs/>
          <w:i/>
        </w:rPr>
      </w:pPr>
      <w:r w:rsidRPr="00F7017C">
        <w:rPr>
          <w:rFonts w:ascii="Arial" w:hAnsi="Arial" w:cs="Arial"/>
          <w:bCs/>
          <w:i/>
        </w:rPr>
        <w:t>Other Programs</w:t>
      </w:r>
    </w:p>
    <w:p w14:paraId="43FA62B8" w14:textId="7F6AF28D" w:rsidR="00BB10F4" w:rsidRPr="00F7017C" w:rsidRDefault="00BB10F4" w:rsidP="00BB10F4">
      <w:pPr>
        <w:spacing w:after="240"/>
        <w:jc w:val="both"/>
        <w:rPr>
          <w:rFonts w:ascii="Arial" w:hAnsi="Arial" w:cs="Arial"/>
          <w:bCs/>
          <w:iCs/>
        </w:rPr>
      </w:pPr>
      <w:r w:rsidRPr="00BB10F4">
        <w:rPr>
          <w:rFonts w:ascii="Arial" w:hAnsi="Arial" w:cs="Arial"/>
          <w:bCs/>
          <w:iCs/>
        </w:rPr>
        <w:t>A small number of institutions offer approved comprehensive transition and postsecondary programs and teacher certification programs where the institution does not award a credential. Please see the Federal Student Aid Handbook, Volume 2 for more information about these types of programs.</w:t>
      </w:r>
    </w:p>
    <w:p w14:paraId="77AA14D7" w14:textId="77777777" w:rsidR="00BB10F4" w:rsidRPr="00BB10F4" w:rsidRDefault="00BB10F4" w:rsidP="00BB10F4">
      <w:pPr>
        <w:spacing w:after="240"/>
        <w:jc w:val="both"/>
        <w:rPr>
          <w:rFonts w:ascii="Arial" w:hAnsi="Arial" w:cs="Arial"/>
          <w:bCs/>
          <w:i/>
        </w:rPr>
      </w:pPr>
      <w:r w:rsidRPr="000A7C0B">
        <w:rPr>
          <w:rFonts w:ascii="Arial" w:hAnsi="Arial" w:cs="Arial"/>
          <w:bCs/>
          <w:i/>
        </w:rPr>
        <w:lastRenderedPageBreak/>
        <w:t>Prison Education Programs (PEPs)</w:t>
      </w:r>
    </w:p>
    <w:p w14:paraId="52EE80CD" w14:textId="13067689" w:rsidR="00BB10F4" w:rsidRPr="00BB10F4" w:rsidRDefault="00BB10F4" w:rsidP="00BB10F4">
      <w:pPr>
        <w:spacing w:after="240"/>
        <w:jc w:val="both"/>
        <w:rPr>
          <w:rFonts w:ascii="Arial" w:hAnsi="Arial" w:cs="Arial"/>
          <w:bCs/>
          <w:i/>
        </w:rPr>
      </w:pPr>
      <w:r w:rsidRPr="00BB10F4">
        <w:rPr>
          <w:rFonts w:ascii="Arial" w:hAnsi="Arial" w:cs="Arial"/>
        </w:rPr>
        <w:t xml:space="preserve">Some institutions offer Prison Education Programs to otherwise eligible confined or incarcerated students. Otherwise eligible confined or incarcerated students must be enrolled in an eligible PEP in order to receive Pell funds. </w:t>
      </w:r>
      <w:r w:rsidRPr="00BB10F4">
        <w:rPr>
          <w:rFonts w:ascii="Arial" w:hAnsi="Arial" w:cs="Arial"/>
          <w:color w:val="16222D"/>
        </w:rPr>
        <w:t xml:space="preserve">See </w:t>
      </w:r>
      <w:hyperlink r:id="rId118" w:anchor="subpart-P">
        <w:r w:rsidRPr="00BB10F4">
          <w:rPr>
            <w:rFonts w:ascii="Arial" w:hAnsi="Arial" w:cs="Arial"/>
            <w:color w:val="2D74B5"/>
            <w:u w:val="single" w:color="2D74B5"/>
          </w:rPr>
          <w:t>34 CFR 668, Subpart P</w:t>
        </w:r>
        <w:r w:rsidRPr="00BB10F4">
          <w:rPr>
            <w:rFonts w:ascii="Arial" w:hAnsi="Arial" w:cs="Arial"/>
            <w:color w:val="2D74B5"/>
          </w:rPr>
          <w:t xml:space="preserve"> </w:t>
        </w:r>
      </w:hyperlink>
      <w:r w:rsidRPr="00BB10F4">
        <w:rPr>
          <w:rFonts w:ascii="Arial" w:hAnsi="Arial" w:cs="Arial"/>
          <w:color w:val="16222D"/>
        </w:rPr>
        <w:t>for PEP requirements.</w:t>
      </w:r>
    </w:p>
    <w:p w14:paraId="22D02CB0" w14:textId="77777777" w:rsidR="00BB10F4" w:rsidRPr="00F7017C" w:rsidRDefault="00BB10F4" w:rsidP="00BB10F4">
      <w:pPr>
        <w:spacing w:after="240"/>
        <w:jc w:val="both"/>
        <w:rPr>
          <w:rFonts w:ascii="Arial" w:hAnsi="Arial" w:cs="Arial"/>
          <w:bCs/>
          <w:i/>
        </w:rPr>
      </w:pPr>
      <w:r w:rsidRPr="00F7017C">
        <w:rPr>
          <w:rFonts w:ascii="Arial" w:hAnsi="Arial" w:cs="Arial"/>
          <w:bCs/>
          <w:i/>
        </w:rPr>
        <w:t>Programs Requiring an Evaluation of Credit Hours and Clock-to-Credit Conversion</w:t>
      </w:r>
    </w:p>
    <w:p w14:paraId="566D8D6A" w14:textId="4B72BFBC" w:rsidR="00BB10F4" w:rsidRPr="00BB10F4" w:rsidRDefault="00BB10F4" w:rsidP="00BB10F4">
      <w:pPr>
        <w:spacing w:after="240"/>
        <w:jc w:val="both"/>
        <w:rPr>
          <w:rFonts w:ascii="Arial" w:hAnsi="Arial" w:cs="Arial"/>
          <w:bCs/>
          <w:iCs/>
        </w:rPr>
      </w:pPr>
      <w:r w:rsidRPr="00BB10F4">
        <w:rPr>
          <w:rFonts w:ascii="Arial" w:hAnsi="Arial" w:cs="Arial"/>
          <w:bCs/>
          <w:iCs/>
        </w:rPr>
        <w:t>Under the regulations, if an institution offers an undergraduate educational program in credit hours, the appropriate conversion formula must be applied unless: 1) The program is at least two academic years in length (a minimum of 60 weeks of instructional time) and provides an associate degree, a bachelor’s degree, a professional degree, or an equivalent as determined by ED; or 2) Each course within the program is acceptable for full credit toward a single associate degree, bachelor’s degree, or professional degree provided by that institution, or equivalent degree as determined by ED, provided that the institution’s degree requires at least two academic years of study and the institution can demonstrate that students enroll in, and graduate from the degree program (34 CFR 668.8(k)). If the appropriate number of credit hours have not been assigned to a program, all aid to students in those programs must be recalculated based on the correct conversion supported by clock hours.</w:t>
      </w:r>
    </w:p>
    <w:p w14:paraId="23399734" w14:textId="077C12A6" w:rsidR="00BB10F4" w:rsidRPr="00F7017C" w:rsidRDefault="00BB10F4" w:rsidP="00BB10F4">
      <w:pPr>
        <w:spacing w:after="240"/>
        <w:jc w:val="both"/>
        <w:rPr>
          <w:rFonts w:ascii="Arial" w:hAnsi="Arial" w:cs="Arial"/>
          <w:bCs/>
          <w:iCs/>
        </w:rPr>
      </w:pPr>
      <w:r w:rsidRPr="00BB10F4">
        <w:rPr>
          <w:rFonts w:ascii="Arial" w:hAnsi="Arial" w:cs="Arial"/>
          <w:bCs/>
          <w:iCs/>
        </w:rPr>
        <w:t>For a program offered in semester or trimester credit hours without an exemption, each credit hour must include at least 30 clock hours of instruction (34 CFR 668.8(l)(1).</w:t>
      </w:r>
      <w:r>
        <w:rPr>
          <w:rFonts w:ascii="Arial" w:hAnsi="Arial" w:cs="Arial"/>
          <w:bCs/>
          <w:iCs/>
        </w:rPr>
        <w:t xml:space="preserve"> </w:t>
      </w:r>
      <w:r w:rsidRPr="00BB10F4">
        <w:rPr>
          <w:rFonts w:ascii="Arial" w:hAnsi="Arial" w:cs="Arial"/>
          <w:bCs/>
          <w:iCs/>
        </w:rPr>
        <w:t>Programs offered in quarter credit hours without an exemption must include at least 20 clock hours of instruction (34 CFR 668.8(l)(2)). The institution must perform this conversion on a course-by-course basis and must award Title IV aid to students using the correct conversion calculation by payment period. More information on the clock-to- credit conversion calculation is available in the Federal Student Aid Handbook, Volume 2, Chapter 2, under “Determining Program Eligibility and Clock-Hour to Credit-Hour Conversions.”</w:t>
      </w:r>
    </w:p>
    <w:p w14:paraId="736A5E89" w14:textId="77777777" w:rsidR="00BB10F4" w:rsidRPr="00F7017C" w:rsidRDefault="00BB10F4" w:rsidP="00BB10F4">
      <w:pPr>
        <w:spacing w:after="240"/>
        <w:jc w:val="both"/>
        <w:rPr>
          <w:rFonts w:ascii="Arial" w:hAnsi="Arial" w:cs="Arial"/>
          <w:bCs/>
          <w:i/>
        </w:rPr>
      </w:pPr>
      <w:r w:rsidRPr="00F7017C">
        <w:rPr>
          <w:rFonts w:ascii="Arial" w:hAnsi="Arial" w:cs="Arial"/>
          <w:bCs/>
          <w:i/>
        </w:rPr>
        <w:t>Minimum Program Completion and Placement Rates</w:t>
      </w:r>
    </w:p>
    <w:p w14:paraId="52B993E5" w14:textId="7556A780" w:rsidR="00BB10F4" w:rsidRPr="00F7017C" w:rsidRDefault="00BB10F4" w:rsidP="00BB10F4">
      <w:pPr>
        <w:spacing w:after="240"/>
        <w:jc w:val="both"/>
        <w:rPr>
          <w:rFonts w:ascii="Arial" w:hAnsi="Arial" w:cs="Arial"/>
          <w:bCs/>
          <w:iCs/>
        </w:rPr>
      </w:pPr>
      <w:r w:rsidRPr="00BB10F4">
        <w:rPr>
          <w:rFonts w:ascii="Arial" w:hAnsi="Arial" w:cs="Arial"/>
          <w:bCs/>
          <w:iCs/>
        </w:rPr>
        <w:t>A “short-term” program that is a minimum of 10 weeks of instruction, beginning on the first day of classes and ending on the last day of classes or examinations; is at least 300 clock hours but less than 600 clock hours; provides undergraduate training that prepares a student for gainful employment in a recognized occupation; and admits as regular students some persons who have not completed the equivalent of an associate degree must have a substantiated completion rate of at least 70 percent and a substantiated placement rate of at least 70 percent (34 CFR 668.8(e)(1)(i) and (ii)).</w:t>
      </w:r>
    </w:p>
    <w:p w14:paraId="346BA836" w14:textId="77777777" w:rsidR="00BB10F4" w:rsidRPr="00F7017C" w:rsidRDefault="00BB10F4" w:rsidP="00BB10F4">
      <w:pPr>
        <w:spacing w:after="240"/>
        <w:jc w:val="both"/>
        <w:rPr>
          <w:rFonts w:ascii="Arial" w:hAnsi="Arial" w:cs="Arial"/>
          <w:bCs/>
          <w:iCs/>
        </w:rPr>
      </w:pPr>
      <w:r w:rsidRPr="00F7017C">
        <w:rPr>
          <w:rFonts w:ascii="Arial" w:hAnsi="Arial" w:cs="Arial"/>
          <w:bCs/>
          <w:iCs/>
        </w:rPr>
        <w:t>To calculate its completion rate, the institution must -</w:t>
      </w:r>
    </w:p>
    <w:p w14:paraId="51668D45" w14:textId="77777777" w:rsidR="00BB10F4" w:rsidRPr="00BB10F4" w:rsidRDefault="00BB10F4" w:rsidP="00BB10F4">
      <w:pPr>
        <w:spacing w:after="240"/>
        <w:ind w:left="720" w:hanging="720"/>
        <w:jc w:val="both"/>
        <w:rPr>
          <w:rFonts w:ascii="Arial" w:hAnsi="Arial" w:cs="Arial"/>
          <w:bCs/>
          <w:iCs/>
        </w:rPr>
      </w:pPr>
      <w:r w:rsidRPr="00BB10F4">
        <w:rPr>
          <w:rFonts w:ascii="Arial" w:hAnsi="Arial" w:cs="Arial"/>
          <w:bCs/>
          <w:iCs/>
        </w:rPr>
        <w:t>1.</w:t>
      </w:r>
      <w:r w:rsidRPr="00BB10F4">
        <w:rPr>
          <w:rFonts w:ascii="Arial" w:hAnsi="Arial" w:cs="Arial"/>
          <w:bCs/>
          <w:iCs/>
        </w:rPr>
        <w:tab/>
        <w:t>Determine the number of regular students who were enrolled in the program during the award year.</w:t>
      </w:r>
    </w:p>
    <w:p w14:paraId="6646645C" w14:textId="77777777" w:rsidR="00BB10F4" w:rsidRPr="00BB10F4" w:rsidRDefault="00BB10F4" w:rsidP="00BB10F4">
      <w:pPr>
        <w:spacing w:after="240"/>
        <w:ind w:left="720" w:hanging="720"/>
        <w:jc w:val="both"/>
        <w:rPr>
          <w:rFonts w:ascii="Arial" w:hAnsi="Arial" w:cs="Arial"/>
          <w:bCs/>
          <w:iCs/>
        </w:rPr>
      </w:pPr>
      <w:r w:rsidRPr="00BB10F4">
        <w:rPr>
          <w:rFonts w:ascii="Arial" w:hAnsi="Arial" w:cs="Arial"/>
          <w:bCs/>
          <w:iCs/>
        </w:rPr>
        <w:t>2.</w:t>
      </w:r>
      <w:r w:rsidRPr="00BB10F4">
        <w:rPr>
          <w:rFonts w:ascii="Arial" w:hAnsi="Arial" w:cs="Arial"/>
          <w:bCs/>
          <w:iCs/>
        </w:rPr>
        <w:tab/>
        <w:t>Subtract from the number of students enrolled in the program during the award year, the number of regular students who, during that award year, withdrew from, dropped out of, or were expelled from the program and were entitled to and actually received, in a timely manner a refund of 100 percent of their tuition and fees.</w:t>
      </w:r>
    </w:p>
    <w:p w14:paraId="35850486" w14:textId="77777777" w:rsidR="00BB10F4" w:rsidRPr="00BB10F4" w:rsidRDefault="00BB10F4" w:rsidP="00BB10F4">
      <w:pPr>
        <w:spacing w:after="240"/>
        <w:ind w:left="720" w:hanging="720"/>
        <w:jc w:val="both"/>
        <w:rPr>
          <w:rFonts w:ascii="Arial" w:hAnsi="Arial" w:cs="Arial"/>
          <w:bCs/>
          <w:iCs/>
        </w:rPr>
      </w:pPr>
      <w:r w:rsidRPr="00BB10F4">
        <w:rPr>
          <w:rFonts w:ascii="Arial" w:hAnsi="Arial" w:cs="Arial"/>
          <w:bCs/>
          <w:iCs/>
        </w:rPr>
        <w:t>3.</w:t>
      </w:r>
      <w:r w:rsidRPr="00BB10F4">
        <w:rPr>
          <w:rFonts w:ascii="Arial" w:hAnsi="Arial" w:cs="Arial"/>
          <w:bCs/>
          <w:iCs/>
        </w:rPr>
        <w:tab/>
        <w:t>Subtract from the total obtained in 2 above the number of students who were enrolled in the program at the end of that award year.</w:t>
      </w:r>
    </w:p>
    <w:p w14:paraId="4B0B601F" w14:textId="77777777" w:rsidR="00BB10F4" w:rsidRPr="00BB10F4" w:rsidRDefault="00BB10F4" w:rsidP="00BB10F4">
      <w:pPr>
        <w:spacing w:after="240"/>
        <w:ind w:left="720" w:hanging="720"/>
        <w:jc w:val="both"/>
        <w:rPr>
          <w:rFonts w:ascii="Arial" w:hAnsi="Arial" w:cs="Arial"/>
          <w:bCs/>
          <w:iCs/>
        </w:rPr>
      </w:pPr>
      <w:r w:rsidRPr="00BB10F4">
        <w:rPr>
          <w:rFonts w:ascii="Arial" w:hAnsi="Arial" w:cs="Arial"/>
          <w:bCs/>
          <w:iCs/>
        </w:rPr>
        <w:t>4.</w:t>
      </w:r>
      <w:r w:rsidRPr="00BB10F4">
        <w:rPr>
          <w:rFonts w:ascii="Arial" w:hAnsi="Arial" w:cs="Arial"/>
          <w:bCs/>
          <w:iCs/>
        </w:rPr>
        <w:tab/>
        <w:t>Determine the number of regular students who, during that award year, received within 150 percent of the published length of the educational program the degree, certificate, or other recognized educational credential awarded for successfully completing the program.</w:t>
      </w:r>
    </w:p>
    <w:p w14:paraId="63DD62CA" w14:textId="0E735E21" w:rsidR="00BB10F4" w:rsidRPr="00F7017C" w:rsidRDefault="00BB10F4" w:rsidP="00BB10F4">
      <w:pPr>
        <w:spacing w:after="240"/>
        <w:ind w:left="720" w:hanging="720"/>
        <w:jc w:val="both"/>
        <w:rPr>
          <w:rFonts w:ascii="Arial" w:hAnsi="Arial" w:cs="Arial"/>
          <w:bCs/>
          <w:iCs/>
        </w:rPr>
      </w:pPr>
      <w:r w:rsidRPr="00BB10F4">
        <w:rPr>
          <w:rFonts w:ascii="Arial" w:hAnsi="Arial" w:cs="Arial"/>
          <w:bCs/>
          <w:iCs/>
        </w:rPr>
        <w:t>5.</w:t>
      </w:r>
      <w:r w:rsidRPr="00BB10F4">
        <w:rPr>
          <w:rFonts w:ascii="Arial" w:hAnsi="Arial" w:cs="Arial"/>
          <w:bCs/>
          <w:iCs/>
        </w:rPr>
        <w:tab/>
        <w:t>Divide the number determined under 4 above by the total obtained under 3 above of this section (34 C.F.R, 668.8(f)).</w:t>
      </w:r>
    </w:p>
    <w:p w14:paraId="3F23D89E" w14:textId="77777777" w:rsidR="00BB10F4" w:rsidRPr="00F7017C" w:rsidRDefault="00BB10F4" w:rsidP="00BB10F4">
      <w:pPr>
        <w:spacing w:after="240"/>
        <w:jc w:val="both"/>
        <w:rPr>
          <w:rFonts w:ascii="Arial" w:hAnsi="Arial" w:cs="Arial"/>
          <w:bCs/>
          <w:iCs/>
        </w:rPr>
      </w:pPr>
      <w:r w:rsidRPr="00F7017C">
        <w:rPr>
          <w:rFonts w:ascii="Arial" w:hAnsi="Arial" w:cs="Arial"/>
          <w:bCs/>
          <w:iCs/>
        </w:rPr>
        <w:lastRenderedPageBreak/>
        <w:t>To calculate its placement rate, the institution must –</w:t>
      </w:r>
    </w:p>
    <w:p w14:paraId="465BBF32" w14:textId="77777777" w:rsidR="00BB10F4" w:rsidRPr="00BB10F4" w:rsidRDefault="00BB10F4" w:rsidP="00BB10F4">
      <w:pPr>
        <w:spacing w:after="240"/>
        <w:ind w:left="720" w:hanging="720"/>
        <w:jc w:val="both"/>
        <w:rPr>
          <w:rFonts w:ascii="Arial" w:hAnsi="Arial" w:cs="Arial"/>
          <w:bCs/>
          <w:iCs/>
        </w:rPr>
      </w:pPr>
      <w:r w:rsidRPr="00BB10F4">
        <w:rPr>
          <w:rFonts w:ascii="Arial" w:hAnsi="Arial" w:cs="Arial"/>
          <w:bCs/>
          <w:iCs/>
        </w:rPr>
        <w:t>1.</w:t>
      </w:r>
      <w:r w:rsidRPr="00BB10F4">
        <w:rPr>
          <w:rFonts w:ascii="Arial" w:hAnsi="Arial" w:cs="Arial"/>
          <w:bCs/>
          <w:iCs/>
        </w:rPr>
        <w:tab/>
        <w:t>Determine the number of students who, during the award year, received the degree, certificate, or other recognized educational credential awarded for successfully completing the program.</w:t>
      </w:r>
    </w:p>
    <w:p w14:paraId="48C2C378" w14:textId="77777777" w:rsidR="00BB10F4" w:rsidRPr="00BB10F4" w:rsidRDefault="00BB10F4" w:rsidP="00BB10F4">
      <w:pPr>
        <w:spacing w:after="240"/>
        <w:ind w:left="720" w:hanging="720"/>
        <w:jc w:val="both"/>
        <w:rPr>
          <w:rFonts w:ascii="Arial" w:hAnsi="Arial" w:cs="Arial"/>
          <w:bCs/>
          <w:iCs/>
        </w:rPr>
      </w:pPr>
      <w:r w:rsidRPr="00BB10F4">
        <w:rPr>
          <w:rFonts w:ascii="Arial" w:hAnsi="Arial" w:cs="Arial"/>
          <w:bCs/>
          <w:iCs/>
        </w:rPr>
        <w:t>2.</w:t>
      </w:r>
      <w:r w:rsidRPr="00BB10F4">
        <w:rPr>
          <w:rFonts w:ascii="Arial" w:hAnsi="Arial" w:cs="Arial"/>
          <w:bCs/>
          <w:iCs/>
        </w:rPr>
        <w:tab/>
        <w:t>Of the total obtained who completed the program determined in 1 above, determine the number of students who, within 180 days of the day they received their degree, certificate, or other recognized educational credential, obtained gainful employment in the recognized occupation for which they were trained or in a related comparable recognized occupation and, on the date of this calculation, are employed, or have been employed, for at least 13 weeks following receipt of the credential from the institution.</w:t>
      </w:r>
    </w:p>
    <w:p w14:paraId="3676A6AC" w14:textId="72D1B86B" w:rsidR="00BB10F4" w:rsidRPr="00F7017C" w:rsidRDefault="00BB10F4" w:rsidP="00BB10F4">
      <w:pPr>
        <w:spacing w:after="240"/>
        <w:ind w:left="720" w:hanging="720"/>
        <w:jc w:val="both"/>
        <w:rPr>
          <w:rFonts w:ascii="Arial" w:hAnsi="Arial" w:cs="Arial"/>
          <w:bCs/>
          <w:iCs/>
        </w:rPr>
      </w:pPr>
      <w:r w:rsidRPr="00BB10F4">
        <w:rPr>
          <w:rFonts w:ascii="Arial" w:hAnsi="Arial" w:cs="Arial"/>
          <w:bCs/>
          <w:iCs/>
        </w:rPr>
        <w:t>3.</w:t>
      </w:r>
      <w:r w:rsidRPr="00BB10F4">
        <w:rPr>
          <w:rFonts w:ascii="Arial" w:hAnsi="Arial" w:cs="Arial"/>
          <w:bCs/>
          <w:iCs/>
        </w:rPr>
        <w:tab/>
        <w:t>Divide the number of students determined under 2 above by the total obtained under 1 above 34 C.F.R. 668.8(g)(1).</w:t>
      </w:r>
    </w:p>
    <w:p w14:paraId="00E4F4D9" w14:textId="66158A30" w:rsidR="00BB10F4" w:rsidRPr="00F7017C" w:rsidRDefault="00BB10F4" w:rsidP="00BB10F4">
      <w:pPr>
        <w:spacing w:after="240"/>
        <w:jc w:val="both"/>
        <w:rPr>
          <w:rFonts w:ascii="Arial" w:hAnsi="Arial" w:cs="Arial"/>
          <w:bCs/>
          <w:iCs/>
        </w:rPr>
      </w:pPr>
      <w:r w:rsidRPr="00BB10F4">
        <w:rPr>
          <w:rFonts w:ascii="Arial" w:hAnsi="Arial" w:cs="Arial"/>
          <w:bCs/>
          <w:iCs/>
        </w:rPr>
        <w:t>An institution must document that each student determined to have obtained gainful employment in a recognized occupation used in the placement rate calculation obtained gainful employment in a recognized occupation. Examples of satisfactory documentation of a student's gainful employment include, but are not limited to -</w:t>
      </w:r>
    </w:p>
    <w:p w14:paraId="6A91CC92" w14:textId="77777777" w:rsidR="00BB10F4" w:rsidRPr="00F7017C" w:rsidRDefault="00BB10F4" w:rsidP="00BB10F4">
      <w:pPr>
        <w:spacing w:after="240"/>
        <w:jc w:val="both"/>
        <w:rPr>
          <w:rFonts w:ascii="Arial" w:hAnsi="Arial" w:cs="Arial"/>
          <w:bCs/>
          <w:iCs/>
        </w:rPr>
      </w:pPr>
      <w:r w:rsidRPr="00F7017C">
        <w:rPr>
          <w:rFonts w:ascii="Arial" w:hAnsi="Arial" w:cs="Arial"/>
          <w:bCs/>
          <w:iCs/>
        </w:rPr>
        <w:t>•</w:t>
      </w:r>
      <w:r w:rsidRPr="00F7017C">
        <w:rPr>
          <w:rFonts w:ascii="Arial" w:hAnsi="Arial" w:cs="Arial"/>
          <w:bCs/>
          <w:iCs/>
        </w:rPr>
        <w:tab/>
        <w:t>A written statement from the student's employer;</w:t>
      </w:r>
    </w:p>
    <w:p w14:paraId="7661EF87" w14:textId="77777777" w:rsidR="00BB10F4" w:rsidRPr="00F7017C" w:rsidRDefault="00BB10F4" w:rsidP="00BB10F4">
      <w:pPr>
        <w:spacing w:after="240"/>
        <w:jc w:val="both"/>
        <w:rPr>
          <w:rFonts w:ascii="Arial" w:hAnsi="Arial" w:cs="Arial"/>
          <w:bCs/>
          <w:iCs/>
        </w:rPr>
      </w:pPr>
      <w:r w:rsidRPr="00F7017C">
        <w:rPr>
          <w:rFonts w:ascii="Arial" w:hAnsi="Arial" w:cs="Arial"/>
          <w:bCs/>
          <w:iCs/>
        </w:rPr>
        <w:t>•</w:t>
      </w:r>
      <w:r w:rsidRPr="00F7017C">
        <w:rPr>
          <w:rFonts w:ascii="Arial" w:hAnsi="Arial" w:cs="Arial"/>
          <w:bCs/>
          <w:iCs/>
        </w:rPr>
        <w:tab/>
        <w:t>Signed copies of State or Federal income tax forms; and</w:t>
      </w:r>
    </w:p>
    <w:p w14:paraId="262F0854" w14:textId="77777777" w:rsidR="00BB10F4" w:rsidRPr="00F7017C" w:rsidRDefault="00BB10F4" w:rsidP="00BB10F4">
      <w:pPr>
        <w:spacing w:after="240"/>
        <w:jc w:val="both"/>
        <w:rPr>
          <w:rFonts w:ascii="Arial" w:hAnsi="Arial" w:cs="Arial"/>
          <w:bCs/>
          <w:iCs/>
        </w:rPr>
      </w:pPr>
      <w:r w:rsidRPr="00F7017C">
        <w:rPr>
          <w:rFonts w:ascii="Arial" w:hAnsi="Arial" w:cs="Arial"/>
          <w:bCs/>
          <w:iCs/>
        </w:rPr>
        <w:t>•</w:t>
      </w:r>
      <w:r w:rsidRPr="00F7017C">
        <w:rPr>
          <w:rFonts w:ascii="Arial" w:hAnsi="Arial" w:cs="Arial"/>
          <w:bCs/>
          <w:iCs/>
        </w:rPr>
        <w:tab/>
        <w:t>Written evidence of payments of Social Security taxes.</w:t>
      </w:r>
    </w:p>
    <w:p w14:paraId="755F42C6" w14:textId="544049D6" w:rsidR="00BB10F4" w:rsidRPr="000C04C5" w:rsidRDefault="00BB10F4" w:rsidP="00BB10F4">
      <w:pPr>
        <w:spacing w:after="240"/>
        <w:jc w:val="both"/>
        <w:rPr>
          <w:rFonts w:ascii="Arial" w:hAnsi="Arial" w:cs="Arial"/>
          <w:bCs/>
        </w:rPr>
      </w:pPr>
      <w:r w:rsidRPr="004E2CCB">
        <w:rPr>
          <w:rFonts w:ascii="Arial" w:hAnsi="Arial" w:cs="Arial"/>
          <w:bCs/>
          <w:i/>
        </w:rPr>
        <w:t>(Source: 202</w:t>
      </w:r>
      <w:r>
        <w:rPr>
          <w:rFonts w:ascii="Arial" w:hAnsi="Arial" w:cs="Arial"/>
          <w:bCs/>
          <w:i/>
        </w:rPr>
        <w:t>5</w:t>
      </w:r>
      <w:r w:rsidRPr="004E2CCB">
        <w:rPr>
          <w:rFonts w:ascii="Arial" w:hAnsi="Arial" w:cs="Arial"/>
          <w:bCs/>
          <w:i/>
        </w:rPr>
        <w:t xml:space="preserve"> OMB Compliance Supplement, Part 5, Student Financial Assistance Cluster)</w:t>
      </w:r>
    </w:p>
    <w:p w14:paraId="01BC9FA0" w14:textId="77777777" w:rsidR="004171E2" w:rsidRPr="000706D1" w:rsidRDefault="004171E2" w:rsidP="004171E2">
      <w:pPr>
        <w:pStyle w:val="Heading3"/>
        <w:jc w:val="both"/>
        <w:rPr>
          <w:rFonts w:cs="Arial"/>
          <w:sz w:val="24"/>
          <w:szCs w:val="24"/>
        </w:rPr>
      </w:pPr>
      <w:bookmarkStart w:id="99" w:name="_Toc210306864"/>
      <w:r w:rsidRPr="000706D1">
        <w:rPr>
          <w:rFonts w:cs="Arial"/>
          <w:sz w:val="24"/>
          <w:szCs w:val="24"/>
        </w:rPr>
        <w:t>Additional Program Specific Information</w:t>
      </w:r>
      <w:bookmarkEnd w:id="99"/>
    </w:p>
    <w:p w14:paraId="3C4472A0" w14:textId="77777777" w:rsidR="004171E2" w:rsidRPr="00AA5B05" w:rsidRDefault="004171E2" w:rsidP="004171E2">
      <w:pPr>
        <w:spacing w:after="240"/>
        <w:jc w:val="both"/>
        <w:rPr>
          <w:rFonts w:ascii="Arial" w:hAnsi="Arial" w:cs="Arial"/>
          <w:b/>
          <w:highlight w:val="yellow"/>
        </w:rPr>
      </w:pPr>
      <w:r w:rsidRPr="00AA5B05">
        <w:rPr>
          <w:rFonts w:ascii="Arial" w:hAnsi="Arial" w:cs="Arial"/>
          <w:b/>
          <w:highlight w:val="yellow"/>
        </w:rPr>
        <w:t>Add program specific requirements from:</w:t>
      </w:r>
    </w:p>
    <w:p w14:paraId="28EE3221" w14:textId="04A8EF68"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BB10F4">
        <w:rPr>
          <w:rFonts w:ascii="Arial" w:hAnsi="Arial" w:cs="Arial"/>
          <w:b/>
          <w:highlight w:val="yellow"/>
        </w:rPr>
        <w:t xml:space="preserve"> and</w:t>
      </w:r>
    </w:p>
    <w:p w14:paraId="5EE8AC61" w14:textId="77777777"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F29E5D3" w14:textId="77777777" w:rsidR="004171E2" w:rsidRPr="00AA5B05" w:rsidRDefault="004171E2" w:rsidP="004171E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562884D" w14:textId="77777777" w:rsidR="004171E2" w:rsidRPr="000706D1" w:rsidRDefault="004171E2" w:rsidP="004171E2">
      <w:pPr>
        <w:pStyle w:val="Heading3"/>
        <w:jc w:val="both"/>
        <w:rPr>
          <w:rFonts w:cs="Arial"/>
          <w:sz w:val="24"/>
          <w:szCs w:val="24"/>
        </w:rPr>
      </w:pPr>
      <w:bookmarkStart w:id="100" w:name="_Toc210306865"/>
      <w:r w:rsidRPr="000706D1">
        <w:rPr>
          <w:rFonts w:cs="Arial"/>
          <w:sz w:val="24"/>
          <w:szCs w:val="24"/>
        </w:rPr>
        <w:t>Audit Objectives and Control Testing</w:t>
      </w:r>
      <w:bookmarkEnd w:id="100"/>
    </w:p>
    <w:p w14:paraId="5013B1BC" w14:textId="77777777" w:rsidR="004171E2" w:rsidRPr="00F00D94" w:rsidRDefault="004171E2" w:rsidP="004171E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E96693E" w14:textId="77777777" w:rsidR="004171E2" w:rsidRPr="00F00D94" w:rsidRDefault="004171E2" w:rsidP="004171E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50313D" w14:textId="77777777" w:rsidR="004171E2"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3A39D52" w14:textId="77777777" w:rsidR="00BB10F4" w:rsidRDefault="00BB10F4" w:rsidP="00BB10F4">
      <w:pPr>
        <w:pStyle w:val="ListParagraph"/>
        <w:numPr>
          <w:ilvl w:val="0"/>
          <w:numId w:val="7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7017C">
        <w:rPr>
          <w:rFonts w:ascii="Arial" w:hAnsi="Arial" w:cs="Arial"/>
          <w:iCs/>
        </w:rPr>
        <w:t>Determine whether the programs offered by the institution are eligible programs.</w:t>
      </w:r>
    </w:p>
    <w:p w14:paraId="76D730AC" w14:textId="30358E58" w:rsidR="00BB10F4" w:rsidRPr="00F7017C" w:rsidRDefault="00BB10F4" w:rsidP="00BB10F4">
      <w:pPr>
        <w:spacing w:after="240"/>
        <w:jc w:val="both"/>
        <w:rPr>
          <w:rFonts w:ascii="Arial" w:hAnsi="Arial" w:cs="Arial"/>
          <w:bCs/>
        </w:rPr>
      </w:pPr>
      <w:r w:rsidRPr="00F7017C">
        <w:rPr>
          <w:rFonts w:ascii="Arial" w:hAnsi="Arial" w:cs="Arial"/>
          <w:bCs/>
          <w:i/>
        </w:rPr>
        <w:t>(Source: 202</w:t>
      </w:r>
      <w:r>
        <w:rPr>
          <w:rFonts w:ascii="Arial" w:hAnsi="Arial" w:cs="Arial"/>
          <w:bCs/>
          <w:i/>
        </w:rPr>
        <w:t>5</w:t>
      </w:r>
      <w:r w:rsidRPr="00F7017C">
        <w:rPr>
          <w:rFonts w:ascii="Arial" w:hAnsi="Arial" w:cs="Arial"/>
          <w:bCs/>
          <w:i/>
        </w:rPr>
        <w:t xml:space="preserve"> OMB Compliance Supplement, Part 5, Student Financial Assistance Cluster)</w:t>
      </w:r>
    </w:p>
    <w:p w14:paraId="56D99F19" w14:textId="77777777" w:rsidR="004171E2" w:rsidRPr="00634FA3" w:rsidRDefault="004171E2" w:rsidP="004171E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171E2" w:rsidRPr="00F00D94" w14:paraId="7A90B986" w14:textId="77777777" w:rsidTr="00E0350C">
        <w:tc>
          <w:tcPr>
            <w:tcW w:w="5000" w:type="pct"/>
          </w:tcPr>
          <w:p w14:paraId="75B9711F" w14:textId="77777777" w:rsidR="004171E2" w:rsidRPr="006F5FFA" w:rsidRDefault="004171E2" w:rsidP="0005458C">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635B9CE"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626044E" w14:textId="77777777" w:rsidR="004171E2" w:rsidRPr="00F00D94" w:rsidRDefault="004171E2" w:rsidP="0005458C">
            <w:pPr>
              <w:pStyle w:val="AuditProcedureHeading"/>
              <w:spacing w:after="240"/>
              <w:jc w:val="both"/>
              <w:rPr>
                <w:rFonts w:cs="Arial"/>
                <w:b/>
                <w:bCs/>
                <w:szCs w:val="20"/>
                <w:u w:val="single"/>
              </w:rPr>
            </w:pPr>
          </w:p>
          <w:p w14:paraId="6B7FF076" w14:textId="77777777" w:rsidR="004171E2" w:rsidRPr="00F00D94" w:rsidRDefault="004171E2" w:rsidP="0005458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638CDB0" w14:textId="77777777" w:rsidR="004171E2" w:rsidRPr="00F00D94" w:rsidRDefault="004171E2" w:rsidP="0005458C">
            <w:pPr>
              <w:pStyle w:val="AuditProcedureHeading"/>
              <w:spacing w:after="240"/>
              <w:jc w:val="both"/>
              <w:rPr>
                <w:rFonts w:cs="Arial"/>
                <w:b/>
                <w:bCs/>
                <w:szCs w:val="20"/>
                <w:u w:val="single"/>
              </w:rPr>
            </w:pPr>
          </w:p>
          <w:p w14:paraId="6C37A549"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DCCE53F" w14:textId="77777777" w:rsidR="004171E2" w:rsidRPr="00F00D94" w:rsidRDefault="004171E2" w:rsidP="0005458C">
            <w:pPr>
              <w:spacing w:after="240"/>
              <w:jc w:val="both"/>
              <w:rPr>
                <w:rFonts w:ascii="Arial" w:hAnsi="Arial" w:cs="Arial"/>
                <w:b/>
                <w:sz w:val="20"/>
                <w:u w:val="single"/>
              </w:rPr>
            </w:pPr>
          </w:p>
          <w:p w14:paraId="288361F4" w14:textId="77777777" w:rsidR="004171E2" w:rsidRPr="00F00D94" w:rsidRDefault="004171E2" w:rsidP="0005458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3518CBB" w14:textId="77777777" w:rsidR="004171E2" w:rsidRPr="00C35E5F" w:rsidRDefault="004171E2" w:rsidP="0005458C">
            <w:pPr>
              <w:spacing w:after="240"/>
              <w:jc w:val="both"/>
              <w:rPr>
                <w:rFonts w:ascii="Arial" w:eastAsiaTheme="minorHAnsi" w:hAnsi="Arial" w:cs="Arial"/>
                <w:sz w:val="20"/>
                <w:szCs w:val="20"/>
              </w:rPr>
            </w:pPr>
          </w:p>
        </w:tc>
      </w:tr>
    </w:tbl>
    <w:p w14:paraId="1D2A307C" w14:textId="77777777" w:rsidR="004171E2" w:rsidRPr="00F00D94" w:rsidRDefault="004171E2" w:rsidP="004171E2">
      <w:pPr>
        <w:spacing w:after="240"/>
        <w:jc w:val="both"/>
        <w:rPr>
          <w:rFonts w:ascii="Arial" w:hAnsi="Arial" w:cs="Arial"/>
          <w:b/>
          <w:bCs/>
        </w:rPr>
      </w:pPr>
    </w:p>
    <w:p w14:paraId="7692C09D" w14:textId="77777777" w:rsidR="004171E2" w:rsidRPr="000706D1" w:rsidRDefault="004171E2" w:rsidP="004171E2">
      <w:pPr>
        <w:pStyle w:val="Heading3"/>
        <w:jc w:val="both"/>
        <w:rPr>
          <w:rFonts w:cs="Arial"/>
          <w:sz w:val="24"/>
          <w:szCs w:val="24"/>
        </w:rPr>
      </w:pPr>
      <w:bookmarkStart w:id="101" w:name="_Toc210306866"/>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1"/>
    </w:p>
    <w:tbl>
      <w:tblPr>
        <w:tblStyle w:val="TableGrid"/>
        <w:tblW w:w="9558" w:type="dxa"/>
        <w:tblLayout w:type="fixed"/>
        <w:tblLook w:val="04A0" w:firstRow="1" w:lastRow="0" w:firstColumn="1" w:lastColumn="0" w:noHBand="0" w:noVBand="1"/>
      </w:tblPr>
      <w:tblGrid>
        <w:gridCol w:w="9558"/>
      </w:tblGrid>
      <w:tr w:rsidR="004171E2" w:rsidRPr="00F00D94" w14:paraId="02856D9B" w14:textId="77777777" w:rsidTr="00634FA3">
        <w:tc>
          <w:tcPr>
            <w:tcW w:w="9558" w:type="dxa"/>
          </w:tcPr>
          <w:p w14:paraId="76F43062" w14:textId="77777777" w:rsidR="004171E2" w:rsidRDefault="004171E2" w:rsidP="0005458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0F1086E" w14:textId="77777777" w:rsidR="004171E2" w:rsidRPr="00AC7B25" w:rsidRDefault="004171E2" w:rsidP="0005458C">
            <w:pPr>
              <w:spacing w:after="240"/>
              <w:jc w:val="both"/>
              <w:rPr>
                <w:rFonts w:ascii="Arial" w:hAnsi="Arial" w:cs="Arial"/>
                <w:i/>
                <w:sz w:val="20"/>
                <w:szCs w:val="20"/>
              </w:rPr>
            </w:pPr>
            <w:r>
              <w:rPr>
                <w:rFonts w:ascii="Arial" w:hAnsi="Arial" w:cs="Arial"/>
                <w:i/>
                <w:sz w:val="20"/>
                <w:szCs w:val="20"/>
              </w:rPr>
              <w:t>(Source: 2025 OMB Compliance Supplement Part 3.2)</w:t>
            </w:r>
          </w:p>
          <w:p w14:paraId="6B32264B" w14:textId="10BD5C38" w:rsidR="00BB10F4" w:rsidRPr="00BB10F4" w:rsidRDefault="00BB10F4" w:rsidP="00BB10F4">
            <w:pPr>
              <w:spacing w:after="240"/>
              <w:ind w:left="612" w:hanging="612"/>
              <w:jc w:val="both"/>
              <w:rPr>
                <w:rFonts w:ascii="Arial" w:hAnsi="Arial" w:cs="Arial"/>
                <w:sz w:val="20"/>
              </w:rPr>
            </w:pPr>
            <w:r w:rsidRPr="00F7017C">
              <w:rPr>
                <w:rFonts w:ascii="Arial" w:hAnsi="Arial" w:cs="Arial"/>
                <w:sz w:val="20"/>
              </w:rPr>
              <w:t>a.</w:t>
            </w:r>
            <w:r w:rsidRPr="00F7017C">
              <w:rPr>
                <w:rFonts w:ascii="Arial" w:hAnsi="Arial" w:cs="Arial"/>
                <w:sz w:val="20"/>
              </w:rPr>
              <w:tab/>
            </w:r>
            <w:r w:rsidRPr="00BB10F4">
              <w:rPr>
                <w:rFonts w:ascii="Arial" w:hAnsi="Arial" w:cs="Arial"/>
                <w:sz w:val="20"/>
              </w:rPr>
              <w:t>Through inquiries of management, observations, and review of State and accrediting agency approval documents and school marketing material, identify any direct assessment programs offered by the institution. Review approval letter to determine whether ED has approved the institution’s first direct assessment program at each credential level.</w:t>
            </w:r>
          </w:p>
          <w:p w14:paraId="1568381D" w14:textId="6ED6DFB8" w:rsidR="00BB10F4" w:rsidRPr="00DF412E" w:rsidRDefault="00BB10F4" w:rsidP="00BB10F4">
            <w:pPr>
              <w:spacing w:after="240"/>
              <w:ind w:left="612" w:hanging="612"/>
              <w:jc w:val="both"/>
              <w:rPr>
                <w:rFonts w:ascii="Arial" w:hAnsi="Arial" w:cs="Arial"/>
                <w:sz w:val="20"/>
              </w:rPr>
            </w:pPr>
            <w:r w:rsidRPr="00BB10F4">
              <w:rPr>
                <w:rFonts w:ascii="Arial" w:hAnsi="Arial" w:cs="Arial"/>
                <w:sz w:val="20"/>
              </w:rPr>
              <w:t>b.</w:t>
            </w:r>
            <w:r w:rsidRPr="00BB10F4">
              <w:rPr>
                <w:rFonts w:ascii="Arial" w:hAnsi="Arial" w:cs="Arial"/>
                <w:sz w:val="20"/>
              </w:rPr>
              <w:tab/>
              <w:t xml:space="preserve">Through inquiries of management, observations, and review of State and accrediting agency approval documents and school marketing material, identify any Title IV eligible program offered in credit hours that does not meet one of the exceptions described in 34 CFR 668.8(k) </w:t>
            </w:r>
            <w:r w:rsidRPr="00BB10F4">
              <w:rPr>
                <w:rFonts w:ascii="Arial" w:hAnsi="Arial" w:cs="Arial"/>
                <w:i/>
                <w:iCs/>
                <w:sz w:val="20"/>
              </w:rPr>
              <w:t xml:space="preserve">[exceptions are for programs that are at least two academic years in length (a minimum of 60 weeks of instructional time) and leads to an associate degree, a bachelor’s degree, a professional degree, or an equivalent as determined by the ED; or each course within the program is acceptable for full credit toward a single associate degree, bachelor’s degree, or professional degree provided by that institution, or equivalent degree as determined by the ED, provided that the institution’s degree requires at least two academic years of study and the institution can demonstrate that students enroll in, and graduate from the degree program]. </w:t>
            </w:r>
            <w:r w:rsidRPr="00DF412E">
              <w:rPr>
                <w:rFonts w:ascii="Arial" w:hAnsi="Arial" w:cs="Arial"/>
                <w:sz w:val="20"/>
              </w:rPr>
              <w:t>Select a sample of these programs that includes coverage of all available modes of delivery (classroom, distance, and correspondence) and apply the appropriate clock to credit hour conversion formula on each course in the program to verify that the institution applied the appropriate clock to credit hour conversion formula. Note: This requirement applies to all programs the institution identifies as Title IV eligible programs at all Title IV eligible institutions unless exempt from the requirement as described in this suggested audit procedure.</w:t>
            </w:r>
          </w:p>
          <w:p w14:paraId="7FB41E73" w14:textId="060B5492" w:rsidR="00BB10F4" w:rsidRPr="00BB10F4" w:rsidRDefault="00BB10F4" w:rsidP="00BB10F4">
            <w:pPr>
              <w:spacing w:after="240"/>
              <w:ind w:left="612" w:hanging="612"/>
              <w:jc w:val="both"/>
              <w:rPr>
                <w:rFonts w:ascii="Arial" w:hAnsi="Arial" w:cs="Arial"/>
                <w:sz w:val="20"/>
              </w:rPr>
            </w:pPr>
            <w:r w:rsidRPr="00BB10F4">
              <w:rPr>
                <w:rFonts w:ascii="Arial" w:hAnsi="Arial" w:cs="Arial"/>
                <w:sz w:val="20"/>
              </w:rPr>
              <w:t>c.</w:t>
            </w:r>
            <w:r w:rsidRPr="00BB10F4">
              <w:rPr>
                <w:rFonts w:ascii="Arial" w:hAnsi="Arial" w:cs="Arial"/>
                <w:sz w:val="20"/>
              </w:rPr>
              <w:tab/>
              <w:t xml:space="preserve">For the sample of programs identified in procedure b, using the correct number of credit hours (as determined in procedure b), evaluate each program’s eligibility, using Appendix B as a guide, </w:t>
            </w:r>
            <w:r w:rsidRPr="00BB10F4">
              <w:rPr>
                <w:rFonts w:ascii="Arial" w:hAnsi="Arial" w:cs="Arial"/>
                <w:sz w:val="20"/>
              </w:rPr>
              <w:lastRenderedPageBreak/>
              <w:t>considering the students allowed to be admitted to the program, mode of delivery requirements for content, and mode of delivery requirements for time.</w:t>
            </w:r>
          </w:p>
          <w:p w14:paraId="09DD1BF0" w14:textId="3C01170A" w:rsidR="004171E2" w:rsidRPr="001B6A61" w:rsidRDefault="00BB10F4" w:rsidP="00BB10F4">
            <w:pPr>
              <w:spacing w:after="240"/>
              <w:ind w:left="611" w:hanging="611"/>
              <w:jc w:val="both"/>
              <w:rPr>
                <w:rFonts w:ascii="Arial" w:hAnsi="Arial" w:cs="Arial"/>
                <w:b/>
                <w:bCs/>
                <w:sz w:val="20"/>
              </w:rPr>
            </w:pPr>
            <w:r w:rsidRPr="00BB10F4">
              <w:rPr>
                <w:rFonts w:ascii="Arial" w:hAnsi="Arial" w:cs="Arial"/>
                <w:sz w:val="20"/>
              </w:rPr>
              <w:t>d.</w:t>
            </w:r>
            <w:r w:rsidRPr="00BB10F4">
              <w:rPr>
                <w:rFonts w:ascii="Arial" w:hAnsi="Arial" w:cs="Arial"/>
                <w:sz w:val="20"/>
              </w:rPr>
              <w:tab/>
              <w:t>Through review of ED approvals, identify any short-term programs (at least 300 clock hours but less than 600 clock hours) and substantiate the school’s calculation of its completion and placement rates by (1) selecting a random sample of the regular students who were enrolled during the award year for which the most recent completion rate was calculated and testing to verify if each student in the sample was included appropriately in each step of the rate’s calculation, as described in 34 CFR 668.8(f); and (2) selecting a random sample of the students who graduated during the award year for which the most recent placement rate was calculated and testing to verify if each student in the sample was included appropriately in each step of the rate’s calculation, as described in 34 CFR 668.8(g). Note: This requirement applies to all short-term programs at all Title IV eligible institutions (See Section III.B. Title IV Programs – General for a discussion about when an institution of higher education can also be considered a postsecondary vocational institution).</w:t>
            </w:r>
          </w:p>
        </w:tc>
      </w:tr>
    </w:tbl>
    <w:p w14:paraId="53CA7540" w14:textId="77777777" w:rsidR="004171E2" w:rsidRPr="00F00D94" w:rsidRDefault="004171E2" w:rsidP="004171E2">
      <w:pPr>
        <w:tabs>
          <w:tab w:val="left" w:pos="-1440"/>
          <w:tab w:val="left" w:pos="720"/>
        </w:tabs>
        <w:spacing w:after="240"/>
        <w:ind w:left="720" w:hanging="720"/>
        <w:jc w:val="both"/>
        <w:rPr>
          <w:rFonts w:ascii="Arial" w:hAnsi="Arial" w:cs="Arial"/>
        </w:rPr>
      </w:pPr>
    </w:p>
    <w:p w14:paraId="1900FCF5" w14:textId="77777777" w:rsidR="004171E2" w:rsidRPr="000706D1" w:rsidRDefault="004171E2" w:rsidP="004171E2">
      <w:pPr>
        <w:pStyle w:val="Heading3"/>
        <w:jc w:val="both"/>
        <w:rPr>
          <w:rFonts w:cs="Arial"/>
          <w:b w:val="0"/>
          <w:sz w:val="24"/>
          <w:szCs w:val="24"/>
        </w:rPr>
      </w:pPr>
      <w:bookmarkStart w:id="102" w:name="_Toc210306867"/>
      <w:r w:rsidRPr="000706D1">
        <w:rPr>
          <w:rFonts w:cs="Arial"/>
          <w:sz w:val="24"/>
          <w:szCs w:val="24"/>
        </w:rPr>
        <w:t>Audit Implications Summary</w:t>
      </w:r>
      <w:bookmarkEnd w:id="102"/>
    </w:p>
    <w:tbl>
      <w:tblPr>
        <w:tblStyle w:val="TableGrid"/>
        <w:tblW w:w="5000" w:type="pct"/>
        <w:tblLook w:val="04A0" w:firstRow="1" w:lastRow="0" w:firstColumn="1" w:lastColumn="0" w:noHBand="0" w:noVBand="1"/>
      </w:tblPr>
      <w:tblGrid>
        <w:gridCol w:w="9350"/>
      </w:tblGrid>
      <w:tr w:rsidR="004171E2" w:rsidRPr="00F00D94" w14:paraId="2772EA52" w14:textId="77777777" w:rsidTr="00E0350C">
        <w:tc>
          <w:tcPr>
            <w:tcW w:w="5000" w:type="pct"/>
          </w:tcPr>
          <w:p w14:paraId="55F51247" w14:textId="77777777" w:rsidR="004171E2" w:rsidRDefault="004171E2" w:rsidP="0005458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35CB0E60" w14:textId="77777777" w:rsidR="004171E2" w:rsidRPr="006E46AD" w:rsidRDefault="004171E2" w:rsidP="0005458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9F357E2" w14:textId="77777777" w:rsidR="004171E2" w:rsidRPr="006E46AD" w:rsidRDefault="004171E2" w:rsidP="00BB10F4">
            <w:pPr>
              <w:pStyle w:val="ListParagraph"/>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77F5F3B" w14:textId="77777777" w:rsidR="004171E2" w:rsidRPr="006E46AD" w:rsidRDefault="004171E2" w:rsidP="0005458C">
            <w:pPr>
              <w:widowControl w:val="0"/>
              <w:spacing w:after="240"/>
              <w:ind w:left="720"/>
              <w:jc w:val="both"/>
              <w:rPr>
                <w:rFonts w:ascii="Arial" w:hAnsi="Arial" w:cs="Arial"/>
                <w:b/>
                <w:sz w:val="20"/>
                <w:szCs w:val="20"/>
              </w:rPr>
            </w:pPr>
          </w:p>
          <w:p w14:paraId="0C752404" w14:textId="77777777" w:rsidR="004171E2" w:rsidRPr="006E46AD" w:rsidRDefault="004171E2" w:rsidP="00BB10F4">
            <w:pPr>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4F36F2B" w14:textId="77777777" w:rsidR="004171E2" w:rsidRPr="00F00D94" w:rsidRDefault="004171E2" w:rsidP="0005458C">
            <w:pPr>
              <w:pStyle w:val="ListParagraph"/>
              <w:spacing w:after="240"/>
              <w:jc w:val="both"/>
              <w:rPr>
                <w:rFonts w:ascii="Arial" w:hAnsi="Arial" w:cs="Arial"/>
                <w:b/>
              </w:rPr>
            </w:pPr>
          </w:p>
          <w:p w14:paraId="09FC8391" w14:textId="77777777" w:rsidR="004171E2" w:rsidRPr="00F00D94" w:rsidRDefault="004171E2" w:rsidP="00BB10F4">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74FF4F8" w14:textId="77777777" w:rsidR="004171E2" w:rsidRPr="00F00D94" w:rsidRDefault="004171E2" w:rsidP="0005458C">
            <w:pPr>
              <w:pStyle w:val="ListParagraph"/>
              <w:spacing w:after="240"/>
              <w:jc w:val="both"/>
              <w:rPr>
                <w:rFonts w:ascii="Arial" w:hAnsi="Arial" w:cs="Arial"/>
                <w:b/>
              </w:rPr>
            </w:pPr>
          </w:p>
          <w:p w14:paraId="117596C7" w14:textId="77777777" w:rsidR="004171E2" w:rsidRPr="00F00D94" w:rsidRDefault="004171E2" w:rsidP="00BB10F4">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260B1C" w14:textId="77777777" w:rsidR="004171E2" w:rsidRPr="00F00D94" w:rsidRDefault="004171E2" w:rsidP="0005458C">
            <w:pPr>
              <w:pStyle w:val="ListParagraph"/>
              <w:spacing w:after="240"/>
              <w:jc w:val="both"/>
              <w:rPr>
                <w:rFonts w:ascii="Arial" w:hAnsi="Arial" w:cs="Arial"/>
                <w:b/>
              </w:rPr>
            </w:pPr>
          </w:p>
          <w:p w14:paraId="39852191" w14:textId="77777777" w:rsidR="004171E2" w:rsidRPr="00F00D94" w:rsidRDefault="004171E2" w:rsidP="00BB10F4">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3657CD6" w14:textId="77777777" w:rsidR="004171E2" w:rsidRPr="00F00D94" w:rsidRDefault="004171E2" w:rsidP="0005458C">
            <w:pPr>
              <w:pStyle w:val="APStepItem"/>
              <w:numPr>
                <w:ilvl w:val="0"/>
                <w:numId w:val="0"/>
              </w:numPr>
              <w:spacing w:after="240"/>
              <w:rPr>
                <w:rFonts w:cs="Arial"/>
                <w:b/>
              </w:rPr>
            </w:pPr>
          </w:p>
        </w:tc>
      </w:tr>
    </w:tbl>
    <w:p w14:paraId="7E9417B0" w14:textId="77777777" w:rsidR="004171E2" w:rsidRPr="00F00D94" w:rsidRDefault="004171E2" w:rsidP="004171E2">
      <w:pPr>
        <w:tabs>
          <w:tab w:val="left" w:pos="-1440"/>
          <w:tab w:val="left" w:pos="720"/>
        </w:tabs>
        <w:spacing w:after="240"/>
        <w:ind w:left="720" w:hanging="720"/>
        <w:jc w:val="both"/>
        <w:rPr>
          <w:rFonts w:ascii="Arial" w:hAnsi="Arial" w:cs="Arial"/>
        </w:rPr>
        <w:sectPr w:rsidR="004171E2" w:rsidRPr="00F00D94" w:rsidSect="004171E2">
          <w:headerReference w:type="default" r:id="rId120"/>
          <w:pgSz w:w="12240" w:h="15840" w:code="1"/>
          <w:pgMar w:top="1440" w:right="1440" w:bottom="1440" w:left="1440" w:header="720" w:footer="720" w:gutter="0"/>
          <w:cols w:space="720"/>
          <w:docGrid w:linePitch="360"/>
        </w:sectPr>
      </w:pPr>
    </w:p>
    <w:p w14:paraId="36B87A08" w14:textId="75014CD4" w:rsidR="004171E2" w:rsidRPr="000706D1" w:rsidRDefault="004171E2" w:rsidP="004171E2">
      <w:pPr>
        <w:pStyle w:val="Heading2"/>
        <w:jc w:val="both"/>
        <w:rPr>
          <w:rFonts w:cs="Arial"/>
          <w:sz w:val="24"/>
        </w:rPr>
      </w:pPr>
      <w:bookmarkStart w:id="104" w:name="_Toc210306868"/>
      <w:r w:rsidRPr="000706D1">
        <w:rPr>
          <w:rFonts w:cs="Arial"/>
          <w:sz w:val="24"/>
        </w:rPr>
        <w:lastRenderedPageBreak/>
        <w:t>N</w:t>
      </w:r>
      <w:r w:rsidR="00BB10F4">
        <w:rPr>
          <w:rFonts w:cs="Arial"/>
          <w:sz w:val="24"/>
        </w:rPr>
        <w:t>10</w:t>
      </w:r>
      <w:r w:rsidRPr="000706D1">
        <w:rPr>
          <w:rFonts w:cs="Arial"/>
          <w:sz w:val="24"/>
        </w:rPr>
        <w:t>.  SPECIAL TESTS AND PROVISIONS</w:t>
      </w:r>
      <w:r w:rsidR="00BB10F4" w:rsidRPr="00BB10F4">
        <w:rPr>
          <w:rFonts w:cs="Arial"/>
          <w:sz w:val="24"/>
        </w:rPr>
        <w:t xml:space="preserve"> – Gramm-Leach-Bliley Act – Student Information Security</w:t>
      </w:r>
      <w:bookmarkEnd w:id="104"/>
    </w:p>
    <w:p w14:paraId="5E2E5381" w14:textId="77777777" w:rsidR="004171E2" w:rsidRPr="000706D1" w:rsidRDefault="004171E2" w:rsidP="004171E2">
      <w:pPr>
        <w:pStyle w:val="Heading3"/>
        <w:jc w:val="both"/>
        <w:rPr>
          <w:rFonts w:cs="Arial"/>
          <w:sz w:val="24"/>
          <w:szCs w:val="24"/>
        </w:rPr>
      </w:pPr>
      <w:bookmarkStart w:id="105" w:name="_Toc210306869"/>
      <w:r w:rsidRPr="000706D1">
        <w:rPr>
          <w:rFonts w:cs="Arial"/>
          <w:sz w:val="24"/>
          <w:szCs w:val="24"/>
        </w:rPr>
        <w:t>OMB Compliance Requirements</w:t>
      </w:r>
      <w:bookmarkEnd w:id="105"/>
    </w:p>
    <w:p w14:paraId="32466A75" w14:textId="77777777" w:rsidR="004171E2" w:rsidRPr="005C1EBC" w:rsidRDefault="004171E2" w:rsidP="004171E2">
      <w:pP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526EE83D" w14:textId="77777777" w:rsidR="004171E2" w:rsidRPr="00F00D94" w:rsidRDefault="004171E2" w:rsidP="004171E2">
      <w:pP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03D04EEB" w14:textId="77777777" w:rsidR="004171E2" w:rsidRPr="00F00D94"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9705048" w14:textId="55244216" w:rsidR="004171E2" w:rsidRPr="000706D1" w:rsidRDefault="004171E2" w:rsidP="004171E2">
      <w:pPr>
        <w:spacing w:after="240"/>
        <w:jc w:val="both"/>
        <w:rPr>
          <w:rFonts w:ascii="Arial" w:hAnsi="Arial" w:cs="Arial"/>
          <w:b/>
          <w:sz w:val="24"/>
          <w:szCs w:val="24"/>
        </w:rPr>
      </w:pPr>
      <w:r w:rsidRPr="000706D1">
        <w:rPr>
          <w:rFonts w:ascii="Arial" w:hAnsi="Arial" w:cs="Arial"/>
          <w:b/>
          <w:sz w:val="24"/>
          <w:szCs w:val="24"/>
        </w:rPr>
        <w:t xml:space="preserve">Part </w:t>
      </w:r>
      <w:r w:rsidR="00BB10F4">
        <w:rPr>
          <w:rFonts w:ascii="Arial" w:hAnsi="Arial" w:cs="Arial"/>
          <w:b/>
          <w:sz w:val="24"/>
          <w:szCs w:val="24"/>
        </w:rPr>
        <w:t>5</w:t>
      </w:r>
      <w:r w:rsidRPr="000706D1">
        <w:rPr>
          <w:rFonts w:ascii="Arial" w:hAnsi="Arial" w:cs="Arial"/>
          <w:b/>
          <w:sz w:val="24"/>
          <w:szCs w:val="24"/>
        </w:rPr>
        <w:t xml:space="preserve"> OMB Program Specific Requirements</w:t>
      </w:r>
    </w:p>
    <w:p w14:paraId="5D63C26F" w14:textId="01D6A3B7" w:rsidR="00C8003D" w:rsidRPr="00C8003D" w:rsidRDefault="00C8003D" w:rsidP="00C8003D">
      <w:pPr>
        <w:pStyle w:val="BodyText"/>
        <w:jc w:val="both"/>
        <w:rPr>
          <w:rFonts w:ascii="Arial" w:hAnsi="Arial" w:cs="Arial"/>
          <w:szCs w:val="20"/>
        </w:rPr>
      </w:pPr>
      <w:r w:rsidRPr="00C8003D">
        <w:rPr>
          <w:rFonts w:ascii="Arial" w:hAnsi="Arial" w:cs="Arial"/>
          <w:szCs w:val="20"/>
        </w:rPr>
        <w:t xml:space="preserve">The Gramm-Leach-Bliley Act (Pub. L. No. 106-102) (GLBA) requires financial institutions to explain their information-sharing practices to their customers and to safeguard sensitive data (16 CFR 314). The Federal Trade Commission considers Title IV-eligible institutions that participate in Title IV Educational Assistance Programs as “financial institutions” and subject to the Gramm- Leach-Bliley Act because they appear to be significantly engaged in wiring funds to consumers (16 CFR 313.3(k)) Institutions agree to comply with GLBA in their Program Participation Agreement and their Student Aid Internet Gateway (SAIG) Agreement with ED. Institutions must protect student financial aid information, with particular attention to information provided to institutions by ED or otherwise obtained in support of the administration of the Federal student financial aid programs (16 CFR 314.3; HEA 483(a)(3)(C), HEA 485B(d)(2), HEA 494, and Internal Revenue Code (IRC) 6103(l)(13)). ED issued an Electronic Announcement in February 2023 on GLBA compliance that can be found at </w:t>
      </w:r>
      <w:hyperlink r:id="rId121">
        <w:r w:rsidRPr="00C8003D">
          <w:rPr>
            <w:rFonts w:ascii="Arial" w:hAnsi="Arial" w:cs="Arial"/>
            <w:color w:val="2D74B5"/>
            <w:szCs w:val="20"/>
            <w:u w:val="single" w:color="2D74B5"/>
          </w:rPr>
          <w:t>(General-23-09)</w:t>
        </w:r>
        <w:r w:rsidRPr="00C8003D">
          <w:rPr>
            <w:rFonts w:ascii="Arial" w:hAnsi="Arial" w:cs="Arial"/>
            <w:color w:val="2D74B5"/>
            <w:szCs w:val="20"/>
          </w:rPr>
          <w:t xml:space="preserve"> </w:t>
        </w:r>
      </w:hyperlink>
      <w:hyperlink r:id="rId122">
        <w:r w:rsidRPr="00C8003D">
          <w:rPr>
            <w:rFonts w:ascii="Arial" w:hAnsi="Arial" w:cs="Arial"/>
            <w:color w:val="0000FF"/>
            <w:szCs w:val="20"/>
            <w:u w:val="single" w:color="0000FF"/>
          </w:rPr>
          <w:t>Updates to the Gramm-Leach-Bliley</w:t>
        </w:r>
      </w:hyperlink>
      <w:r w:rsidRPr="00C8003D">
        <w:rPr>
          <w:rFonts w:ascii="Arial" w:hAnsi="Arial" w:cs="Arial"/>
          <w:color w:val="0000FF"/>
          <w:szCs w:val="20"/>
        </w:rPr>
        <w:t xml:space="preserve"> </w:t>
      </w:r>
      <w:hyperlink r:id="rId123">
        <w:r w:rsidRPr="00C8003D">
          <w:rPr>
            <w:rFonts w:ascii="Arial" w:hAnsi="Arial" w:cs="Arial"/>
            <w:color w:val="0000FF"/>
            <w:szCs w:val="20"/>
            <w:u w:val="single" w:color="0000FF"/>
          </w:rPr>
          <w:t>Act Cybersecurity Requirements</w:t>
        </w:r>
      </w:hyperlink>
      <w:r w:rsidRPr="00C8003D">
        <w:rPr>
          <w:rFonts w:ascii="Arial" w:hAnsi="Arial" w:cs="Arial"/>
          <w:szCs w:val="20"/>
        </w:rPr>
        <w:t xml:space="preserve">. ED also provides additional information about cybersecurity requirements, partner resources, and data breach reporting requirements at: </w:t>
      </w:r>
      <w:hyperlink r:id="rId124">
        <w:r w:rsidRPr="00C8003D">
          <w:rPr>
            <w:rFonts w:ascii="Arial" w:hAnsi="Arial" w:cs="Arial"/>
            <w:color w:val="2D74B5"/>
            <w:szCs w:val="20"/>
            <w:u w:val="single" w:color="2D74B5"/>
          </w:rPr>
          <w:t>https://fsapartners.ed.gov/title-iv-program-eligibility/cybersecurity</w:t>
        </w:r>
      </w:hyperlink>
      <w:r w:rsidRPr="00C8003D">
        <w:rPr>
          <w:rFonts w:ascii="Arial" w:hAnsi="Arial" w:cs="Arial"/>
          <w:szCs w:val="20"/>
        </w:rPr>
        <w:t>.</w:t>
      </w:r>
    </w:p>
    <w:p w14:paraId="0E3FA99A" w14:textId="3A9837F4" w:rsidR="00C8003D" w:rsidRPr="00C8003D" w:rsidRDefault="00C8003D" w:rsidP="00C8003D">
      <w:pPr>
        <w:pStyle w:val="BodyText"/>
        <w:spacing w:before="90"/>
        <w:jc w:val="both"/>
        <w:rPr>
          <w:rFonts w:ascii="Arial" w:hAnsi="Arial" w:cs="Arial"/>
          <w:szCs w:val="20"/>
        </w:rPr>
      </w:pPr>
      <w:r w:rsidRPr="00C8003D">
        <w:rPr>
          <w:rFonts w:ascii="Arial" w:hAnsi="Arial" w:cs="Arial"/>
          <w:szCs w:val="20"/>
        </w:rPr>
        <w:t xml:space="preserve">On December 9, 2021, the FTC issued final regulations for 16 CFR Part 314 to implement the GLBA information safeguarding standards that institutions must implement. These regulations significantly modified the requirements that institutions must meet under GLBA. The regulations established minimum standards that institutions must meet. The FTC stated that it “believes many of the requirements set forth in the Final Rule are so fundamental to any information security program that the information security programs of many financial institutions will already include them if those programs are in compliance with the current Safeguards Rule.”  Institutions were required to </w:t>
      </w:r>
      <w:proofErr w:type="gramStart"/>
      <w:r w:rsidRPr="00C8003D">
        <w:rPr>
          <w:rFonts w:ascii="Arial" w:hAnsi="Arial" w:cs="Arial"/>
          <w:szCs w:val="20"/>
        </w:rPr>
        <w:t>be in compliance with</w:t>
      </w:r>
      <w:proofErr w:type="gramEnd"/>
      <w:r w:rsidRPr="00C8003D">
        <w:rPr>
          <w:rFonts w:ascii="Arial" w:hAnsi="Arial" w:cs="Arial"/>
          <w:szCs w:val="20"/>
        </w:rPr>
        <w:t xml:space="preserve"> the revised requirements by June 9,</w:t>
      </w:r>
      <w:r w:rsidRPr="00C8003D">
        <w:rPr>
          <w:rFonts w:ascii="Arial" w:hAnsi="Arial" w:cs="Arial"/>
          <w:spacing w:val="-9"/>
          <w:szCs w:val="20"/>
        </w:rPr>
        <w:t xml:space="preserve"> </w:t>
      </w:r>
      <w:r w:rsidRPr="00C8003D">
        <w:rPr>
          <w:rFonts w:ascii="Arial" w:hAnsi="Arial" w:cs="Arial"/>
          <w:szCs w:val="20"/>
        </w:rPr>
        <w:t>2023.</w:t>
      </w:r>
    </w:p>
    <w:p w14:paraId="49FCC8C0" w14:textId="34301B4A" w:rsidR="00C8003D" w:rsidRPr="00C8003D" w:rsidRDefault="00C8003D" w:rsidP="00C8003D">
      <w:pPr>
        <w:spacing w:after="240"/>
        <w:jc w:val="both"/>
        <w:rPr>
          <w:rFonts w:ascii="Arial" w:hAnsi="Arial" w:cs="Arial"/>
          <w:bCs/>
        </w:rPr>
      </w:pPr>
      <w:r w:rsidRPr="00C8003D">
        <w:rPr>
          <w:rFonts w:ascii="Arial" w:hAnsi="Arial" w:cs="Arial"/>
        </w:rPr>
        <w:t xml:space="preserve">Institutions are required to develop, implement, and maintain a comprehensive information security program that is written in one or more readily accessible parts. The regulations require the written </w:t>
      </w:r>
      <w:r w:rsidRPr="00C8003D">
        <w:rPr>
          <w:rFonts w:ascii="Arial" w:hAnsi="Arial" w:cs="Arial"/>
        </w:rPr>
        <w:lastRenderedPageBreak/>
        <w:t>information security program to include nine elements for institutions with 5,000 or more customers, (16 CFR 314.3(a)). The written information security program for institutions with fewer than 5,000 customers must address seven elements (16 CFR 314.3(a) and 16 CFR 314.6). In the preamble to the Final Rule, the FTC stated, “Proposed § 314.4 [Elements] altered the current Rule’s required elements of an information security program and added several new elements.” The FTC also stated, “[t]he elements for the information security programs set forth in this section [16 CFR 314.4} are high-level principles that set forth basic issues the programs must address, and do not prescribe how they will be addressed.” The elements that an institution must</w:t>
      </w:r>
      <w:r>
        <w:rPr>
          <w:rFonts w:ascii="Arial" w:hAnsi="Arial" w:cs="Arial"/>
        </w:rPr>
        <w:t xml:space="preserve"> </w:t>
      </w:r>
      <w:r w:rsidRPr="00C8003D">
        <w:rPr>
          <w:rFonts w:ascii="Arial" w:hAnsi="Arial" w:cs="Arial"/>
        </w:rPr>
        <w:t>address in its written information security program are at 16 CFR 314.4. At a minimum, an institution’s written information security program –</w:t>
      </w:r>
    </w:p>
    <w:p w14:paraId="01AE4B6A" w14:textId="77777777" w:rsidR="00C8003D" w:rsidRPr="00C8003D" w:rsidRDefault="00C8003D" w:rsidP="00C8003D">
      <w:pPr>
        <w:pStyle w:val="ListParagraph"/>
        <w:widowControl w:val="0"/>
        <w:numPr>
          <w:ilvl w:val="0"/>
          <w:numId w:val="59"/>
        </w:numPr>
        <w:tabs>
          <w:tab w:val="left" w:pos="1559"/>
          <w:tab w:val="left" w:pos="1560"/>
        </w:tabs>
        <w:suppressAutoHyphens w:val="0"/>
        <w:adjustRightInd/>
        <w:ind w:left="1559"/>
        <w:jc w:val="both"/>
        <w:rPr>
          <w:rFonts w:ascii="Arial" w:hAnsi="Arial" w:cs="Arial"/>
        </w:rPr>
      </w:pPr>
      <w:r w:rsidRPr="00C8003D">
        <w:rPr>
          <w:rFonts w:ascii="Arial" w:hAnsi="Arial" w:cs="Arial"/>
        </w:rPr>
        <w:t>Designates a qualified individual responsible for overseeing and implementing the institution’s information security program and enforcing the information security program in compliance (16 CFR</w:t>
      </w:r>
      <w:r w:rsidRPr="00C8003D">
        <w:rPr>
          <w:rFonts w:ascii="Arial" w:hAnsi="Arial" w:cs="Arial"/>
          <w:spacing w:val="-3"/>
        </w:rPr>
        <w:t xml:space="preserve"> </w:t>
      </w:r>
      <w:r w:rsidRPr="00C8003D">
        <w:rPr>
          <w:rFonts w:ascii="Arial" w:hAnsi="Arial" w:cs="Arial"/>
        </w:rPr>
        <w:t>314.4(a)).</w:t>
      </w:r>
    </w:p>
    <w:p w14:paraId="168FD6EF" w14:textId="77777777" w:rsidR="00C8003D" w:rsidRPr="00C8003D" w:rsidRDefault="00C8003D" w:rsidP="00C8003D">
      <w:pPr>
        <w:pStyle w:val="ListParagraph"/>
        <w:widowControl w:val="0"/>
        <w:numPr>
          <w:ilvl w:val="0"/>
          <w:numId w:val="59"/>
        </w:numPr>
        <w:tabs>
          <w:tab w:val="left" w:pos="1559"/>
          <w:tab w:val="left" w:pos="1560"/>
        </w:tabs>
        <w:suppressAutoHyphens w:val="0"/>
        <w:adjustRightInd/>
        <w:ind w:left="1559"/>
        <w:jc w:val="both"/>
        <w:rPr>
          <w:rFonts w:ascii="Arial" w:hAnsi="Arial" w:cs="Arial"/>
        </w:rPr>
      </w:pPr>
      <w:r w:rsidRPr="00C8003D">
        <w:rPr>
          <w:rFonts w:ascii="Arial" w:hAnsi="Arial" w:cs="Arial"/>
        </w:rPr>
        <w:t>Provides for the information security program to be based on a risk assessment that identifies reasonably foreseeable internal and external risks to the security, confidentiality, and integrity of customer information (as the term customer information applies to the institution) that could result in the unauthorized disclosure, misuse, alteration, destruction, or other compromise of such information, and assesses the sufficiency of any safeguards in place to control these risks (16 CFR</w:t>
      </w:r>
      <w:r w:rsidRPr="00C8003D">
        <w:rPr>
          <w:rFonts w:ascii="Arial" w:hAnsi="Arial" w:cs="Arial"/>
          <w:spacing w:val="-3"/>
        </w:rPr>
        <w:t xml:space="preserve"> </w:t>
      </w:r>
      <w:r w:rsidRPr="00C8003D">
        <w:rPr>
          <w:rFonts w:ascii="Arial" w:hAnsi="Arial" w:cs="Arial"/>
        </w:rPr>
        <w:t>314.4(b)).</w:t>
      </w:r>
    </w:p>
    <w:p w14:paraId="273555DC" w14:textId="77777777" w:rsidR="00C8003D" w:rsidRPr="00C8003D" w:rsidRDefault="00C8003D" w:rsidP="00C8003D">
      <w:pPr>
        <w:pStyle w:val="ListParagraph"/>
        <w:widowControl w:val="0"/>
        <w:numPr>
          <w:ilvl w:val="0"/>
          <w:numId w:val="59"/>
        </w:numPr>
        <w:tabs>
          <w:tab w:val="left" w:pos="1559"/>
          <w:tab w:val="left" w:pos="1560"/>
        </w:tabs>
        <w:suppressAutoHyphens w:val="0"/>
        <w:adjustRightInd/>
        <w:ind w:left="1559"/>
        <w:jc w:val="both"/>
        <w:rPr>
          <w:rFonts w:ascii="Arial" w:hAnsi="Arial" w:cs="Arial"/>
        </w:rPr>
      </w:pPr>
      <w:r w:rsidRPr="00C8003D">
        <w:rPr>
          <w:rFonts w:ascii="Arial" w:hAnsi="Arial" w:cs="Arial"/>
        </w:rPr>
        <w:t>Provides for the design and implementation of safeguards to control the risks the institution identifies through its risk assessment (16 CFR 314.4(c)). At a minimum, the institution’s written information security program must address the implementation of the minimum safeguards identified in 16 CFR 314.4(c)(1) through (8). The eight minimum safeguards that the written information security program must address are summarized as</w:t>
      </w:r>
      <w:r w:rsidRPr="00C8003D">
        <w:rPr>
          <w:rFonts w:ascii="Arial" w:hAnsi="Arial" w:cs="Arial"/>
          <w:spacing w:val="-3"/>
        </w:rPr>
        <w:t xml:space="preserve"> </w:t>
      </w:r>
      <w:r w:rsidRPr="00C8003D">
        <w:rPr>
          <w:rFonts w:ascii="Arial" w:hAnsi="Arial" w:cs="Arial"/>
        </w:rPr>
        <w:t>follows:</w:t>
      </w:r>
    </w:p>
    <w:p w14:paraId="442BAAE5" w14:textId="77777777" w:rsidR="00C8003D" w:rsidRPr="00C8003D" w:rsidRDefault="00C8003D" w:rsidP="00C8003D">
      <w:pPr>
        <w:pStyle w:val="ListParagraph"/>
        <w:widowControl w:val="0"/>
        <w:numPr>
          <w:ilvl w:val="1"/>
          <w:numId w:val="59"/>
        </w:numPr>
        <w:tabs>
          <w:tab w:val="left" w:pos="2279"/>
          <w:tab w:val="left" w:pos="2280"/>
        </w:tabs>
        <w:suppressAutoHyphens w:val="0"/>
        <w:adjustRightInd/>
        <w:spacing w:line="286" w:lineRule="exact"/>
        <w:ind w:hanging="721"/>
        <w:jc w:val="both"/>
        <w:rPr>
          <w:rFonts w:ascii="Arial" w:hAnsi="Arial" w:cs="Arial"/>
        </w:rPr>
      </w:pPr>
      <w:r w:rsidRPr="00C8003D">
        <w:rPr>
          <w:rFonts w:ascii="Arial" w:hAnsi="Arial" w:cs="Arial"/>
        </w:rPr>
        <w:t>Implement and periodically review access</w:t>
      </w:r>
      <w:r w:rsidRPr="00C8003D">
        <w:rPr>
          <w:rFonts w:ascii="Arial" w:hAnsi="Arial" w:cs="Arial"/>
          <w:spacing w:val="-3"/>
        </w:rPr>
        <w:t xml:space="preserve"> </w:t>
      </w:r>
      <w:r w:rsidRPr="00C8003D">
        <w:rPr>
          <w:rFonts w:ascii="Arial" w:hAnsi="Arial" w:cs="Arial"/>
        </w:rPr>
        <w:t>controls.</w:t>
      </w:r>
    </w:p>
    <w:p w14:paraId="5A47E217" w14:textId="77777777" w:rsidR="00C8003D" w:rsidRPr="00C8003D" w:rsidRDefault="00C8003D" w:rsidP="00C8003D">
      <w:pPr>
        <w:pStyle w:val="ListParagraph"/>
        <w:widowControl w:val="0"/>
        <w:numPr>
          <w:ilvl w:val="1"/>
          <w:numId w:val="59"/>
        </w:numPr>
        <w:tabs>
          <w:tab w:val="left" w:pos="2279"/>
          <w:tab w:val="left" w:pos="2280"/>
        </w:tabs>
        <w:suppressAutoHyphens w:val="0"/>
        <w:adjustRightInd/>
        <w:spacing w:before="2" w:line="223" w:lineRule="auto"/>
        <w:ind w:left="2279"/>
        <w:jc w:val="both"/>
        <w:rPr>
          <w:rFonts w:ascii="Arial" w:hAnsi="Arial" w:cs="Arial"/>
        </w:rPr>
      </w:pPr>
      <w:r w:rsidRPr="00C8003D">
        <w:rPr>
          <w:rFonts w:ascii="Arial" w:hAnsi="Arial" w:cs="Arial"/>
        </w:rPr>
        <w:t>Conduct a periodic inventory of data, noting where it’s collected, stored, or</w:t>
      </w:r>
      <w:r w:rsidRPr="00C8003D">
        <w:rPr>
          <w:rFonts w:ascii="Arial" w:hAnsi="Arial" w:cs="Arial"/>
          <w:spacing w:val="-1"/>
        </w:rPr>
        <w:t xml:space="preserve"> </w:t>
      </w:r>
      <w:r w:rsidRPr="00C8003D">
        <w:rPr>
          <w:rFonts w:ascii="Arial" w:hAnsi="Arial" w:cs="Arial"/>
        </w:rPr>
        <w:t>transmitted.</w:t>
      </w:r>
    </w:p>
    <w:p w14:paraId="12B97076" w14:textId="77777777" w:rsidR="00C8003D" w:rsidRPr="00C8003D" w:rsidRDefault="00C8003D" w:rsidP="00C8003D">
      <w:pPr>
        <w:pStyle w:val="ListParagraph"/>
        <w:widowControl w:val="0"/>
        <w:numPr>
          <w:ilvl w:val="1"/>
          <w:numId w:val="59"/>
        </w:numPr>
        <w:tabs>
          <w:tab w:val="left" w:pos="2279"/>
          <w:tab w:val="left" w:pos="2280"/>
        </w:tabs>
        <w:suppressAutoHyphens w:val="0"/>
        <w:adjustRightInd/>
        <w:spacing w:before="19" w:line="223" w:lineRule="auto"/>
        <w:ind w:left="2279"/>
        <w:jc w:val="both"/>
        <w:rPr>
          <w:rFonts w:ascii="Arial" w:hAnsi="Arial" w:cs="Arial"/>
        </w:rPr>
      </w:pPr>
      <w:r w:rsidRPr="00C8003D">
        <w:rPr>
          <w:rFonts w:ascii="Arial" w:hAnsi="Arial" w:cs="Arial"/>
        </w:rPr>
        <w:t>Encrypt customer information on the institution’s system and when it’s in transit.</w:t>
      </w:r>
    </w:p>
    <w:p w14:paraId="6F1C2C1E" w14:textId="77777777" w:rsidR="00C8003D" w:rsidRPr="00C8003D" w:rsidRDefault="00C8003D" w:rsidP="00C8003D">
      <w:pPr>
        <w:pStyle w:val="ListParagraph"/>
        <w:widowControl w:val="0"/>
        <w:numPr>
          <w:ilvl w:val="1"/>
          <w:numId w:val="59"/>
        </w:numPr>
        <w:tabs>
          <w:tab w:val="left" w:pos="2279"/>
          <w:tab w:val="left" w:pos="2280"/>
        </w:tabs>
        <w:suppressAutoHyphens w:val="0"/>
        <w:adjustRightInd/>
        <w:spacing w:before="4" w:line="286" w:lineRule="exact"/>
        <w:ind w:hanging="721"/>
        <w:jc w:val="both"/>
        <w:rPr>
          <w:rFonts w:ascii="Arial" w:hAnsi="Arial" w:cs="Arial"/>
        </w:rPr>
      </w:pPr>
      <w:r w:rsidRPr="00C8003D">
        <w:rPr>
          <w:rFonts w:ascii="Arial" w:hAnsi="Arial" w:cs="Arial"/>
        </w:rPr>
        <w:t>Assess apps developed by the</w:t>
      </w:r>
      <w:r w:rsidRPr="00C8003D">
        <w:rPr>
          <w:rFonts w:ascii="Arial" w:hAnsi="Arial" w:cs="Arial"/>
          <w:spacing w:val="-2"/>
        </w:rPr>
        <w:t xml:space="preserve"> </w:t>
      </w:r>
      <w:r w:rsidRPr="00C8003D">
        <w:rPr>
          <w:rFonts w:ascii="Arial" w:hAnsi="Arial" w:cs="Arial"/>
        </w:rPr>
        <w:t>institution.</w:t>
      </w:r>
    </w:p>
    <w:p w14:paraId="26D55F28" w14:textId="77777777" w:rsidR="00C8003D" w:rsidRPr="00C8003D" w:rsidRDefault="00C8003D" w:rsidP="00C8003D">
      <w:pPr>
        <w:pStyle w:val="ListParagraph"/>
        <w:widowControl w:val="0"/>
        <w:numPr>
          <w:ilvl w:val="1"/>
          <w:numId w:val="59"/>
        </w:numPr>
        <w:tabs>
          <w:tab w:val="left" w:pos="2279"/>
          <w:tab w:val="left" w:pos="2280"/>
        </w:tabs>
        <w:suppressAutoHyphens w:val="0"/>
        <w:adjustRightInd/>
        <w:spacing w:before="4" w:line="223" w:lineRule="auto"/>
        <w:ind w:left="2279"/>
        <w:jc w:val="both"/>
        <w:rPr>
          <w:rFonts w:ascii="Arial" w:hAnsi="Arial" w:cs="Arial"/>
        </w:rPr>
      </w:pPr>
      <w:r w:rsidRPr="00C8003D">
        <w:rPr>
          <w:rFonts w:ascii="Arial" w:hAnsi="Arial" w:cs="Arial"/>
        </w:rPr>
        <w:t>Implement multi-factor authentication for anyone accessing customer information on the institution’s</w:t>
      </w:r>
      <w:r w:rsidRPr="00C8003D">
        <w:rPr>
          <w:rFonts w:ascii="Arial" w:hAnsi="Arial" w:cs="Arial"/>
          <w:spacing w:val="-5"/>
        </w:rPr>
        <w:t xml:space="preserve"> </w:t>
      </w:r>
      <w:r w:rsidRPr="00C8003D">
        <w:rPr>
          <w:rFonts w:ascii="Arial" w:hAnsi="Arial" w:cs="Arial"/>
        </w:rPr>
        <w:t>system.</w:t>
      </w:r>
    </w:p>
    <w:p w14:paraId="62B03681" w14:textId="77777777" w:rsidR="00C8003D" w:rsidRPr="00C8003D" w:rsidRDefault="00C8003D" w:rsidP="00C8003D">
      <w:pPr>
        <w:pStyle w:val="ListParagraph"/>
        <w:widowControl w:val="0"/>
        <w:numPr>
          <w:ilvl w:val="1"/>
          <w:numId w:val="59"/>
        </w:numPr>
        <w:tabs>
          <w:tab w:val="left" w:pos="2279"/>
          <w:tab w:val="left" w:pos="2280"/>
        </w:tabs>
        <w:suppressAutoHyphens w:val="0"/>
        <w:adjustRightInd/>
        <w:spacing w:before="4" w:line="286" w:lineRule="exact"/>
        <w:ind w:hanging="721"/>
        <w:jc w:val="both"/>
        <w:rPr>
          <w:rFonts w:ascii="Arial" w:hAnsi="Arial" w:cs="Arial"/>
        </w:rPr>
      </w:pPr>
      <w:r w:rsidRPr="00C8003D">
        <w:rPr>
          <w:rFonts w:ascii="Arial" w:hAnsi="Arial" w:cs="Arial"/>
        </w:rPr>
        <w:t>Dispose of customer information</w:t>
      </w:r>
      <w:r w:rsidRPr="00C8003D">
        <w:rPr>
          <w:rFonts w:ascii="Arial" w:hAnsi="Arial" w:cs="Arial"/>
          <w:spacing w:val="-1"/>
        </w:rPr>
        <w:t xml:space="preserve"> </w:t>
      </w:r>
      <w:r w:rsidRPr="00C8003D">
        <w:rPr>
          <w:rFonts w:ascii="Arial" w:hAnsi="Arial" w:cs="Arial"/>
        </w:rPr>
        <w:t>securely.</w:t>
      </w:r>
    </w:p>
    <w:p w14:paraId="1D27DCD0" w14:textId="77777777" w:rsidR="00C8003D" w:rsidRPr="00C8003D" w:rsidRDefault="00C8003D" w:rsidP="00C8003D">
      <w:pPr>
        <w:pStyle w:val="ListParagraph"/>
        <w:widowControl w:val="0"/>
        <w:numPr>
          <w:ilvl w:val="1"/>
          <w:numId w:val="59"/>
        </w:numPr>
        <w:tabs>
          <w:tab w:val="left" w:pos="2279"/>
          <w:tab w:val="left" w:pos="2280"/>
        </w:tabs>
        <w:suppressAutoHyphens w:val="0"/>
        <w:adjustRightInd/>
        <w:spacing w:line="276" w:lineRule="exact"/>
        <w:ind w:hanging="721"/>
        <w:jc w:val="both"/>
        <w:rPr>
          <w:rFonts w:ascii="Arial" w:hAnsi="Arial" w:cs="Arial"/>
        </w:rPr>
      </w:pPr>
      <w:r w:rsidRPr="00C8003D">
        <w:rPr>
          <w:rFonts w:ascii="Arial" w:hAnsi="Arial" w:cs="Arial"/>
        </w:rPr>
        <w:t>Anticipate and evaluate changes to the information system or</w:t>
      </w:r>
      <w:r w:rsidRPr="00C8003D">
        <w:rPr>
          <w:rFonts w:ascii="Arial" w:hAnsi="Arial" w:cs="Arial"/>
          <w:spacing w:val="-9"/>
        </w:rPr>
        <w:t xml:space="preserve"> </w:t>
      </w:r>
      <w:r w:rsidRPr="00C8003D">
        <w:rPr>
          <w:rFonts w:ascii="Arial" w:hAnsi="Arial" w:cs="Arial"/>
        </w:rPr>
        <w:t>network.</w:t>
      </w:r>
    </w:p>
    <w:p w14:paraId="1D4EEB43" w14:textId="77777777" w:rsidR="00C8003D" w:rsidRPr="00C8003D" w:rsidRDefault="00C8003D" w:rsidP="00C8003D">
      <w:pPr>
        <w:pStyle w:val="ListParagraph"/>
        <w:widowControl w:val="0"/>
        <w:numPr>
          <w:ilvl w:val="1"/>
          <w:numId w:val="59"/>
        </w:numPr>
        <w:tabs>
          <w:tab w:val="left" w:pos="2279"/>
          <w:tab w:val="left" w:pos="2280"/>
        </w:tabs>
        <w:suppressAutoHyphens w:val="0"/>
        <w:adjustRightInd/>
        <w:spacing w:before="5" w:line="223" w:lineRule="auto"/>
        <w:ind w:left="2279"/>
        <w:jc w:val="both"/>
        <w:rPr>
          <w:rFonts w:ascii="Arial" w:hAnsi="Arial" w:cs="Arial"/>
        </w:rPr>
      </w:pPr>
      <w:r w:rsidRPr="00C8003D">
        <w:rPr>
          <w:rFonts w:ascii="Arial" w:hAnsi="Arial" w:cs="Arial"/>
        </w:rPr>
        <w:t>Maintain a log of authorized users’ activity and keep an eye out for unauthorized</w:t>
      </w:r>
      <w:r w:rsidRPr="00C8003D">
        <w:rPr>
          <w:rFonts w:ascii="Arial" w:hAnsi="Arial" w:cs="Arial"/>
          <w:spacing w:val="-1"/>
        </w:rPr>
        <w:t xml:space="preserve"> </w:t>
      </w:r>
      <w:r w:rsidRPr="00C8003D">
        <w:rPr>
          <w:rFonts w:ascii="Arial" w:hAnsi="Arial" w:cs="Arial"/>
        </w:rPr>
        <w:t>access.</w:t>
      </w:r>
    </w:p>
    <w:p w14:paraId="77A418B1" w14:textId="77777777" w:rsidR="00C8003D" w:rsidRPr="00C8003D" w:rsidRDefault="00C8003D" w:rsidP="00C8003D">
      <w:pPr>
        <w:pStyle w:val="ListParagraph"/>
        <w:widowControl w:val="0"/>
        <w:numPr>
          <w:ilvl w:val="0"/>
          <w:numId w:val="59"/>
        </w:numPr>
        <w:tabs>
          <w:tab w:val="left" w:pos="1559"/>
          <w:tab w:val="left" w:pos="1560"/>
        </w:tabs>
        <w:suppressAutoHyphens w:val="0"/>
        <w:adjustRightInd/>
        <w:spacing w:before="2"/>
        <w:ind w:left="1559"/>
        <w:jc w:val="both"/>
        <w:rPr>
          <w:rFonts w:ascii="Arial" w:hAnsi="Arial" w:cs="Arial"/>
        </w:rPr>
      </w:pPr>
      <w:r w:rsidRPr="00C8003D">
        <w:rPr>
          <w:rFonts w:ascii="Arial" w:hAnsi="Arial" w:cs="Arial"/>
        </w:rPr>
        <w:t>Provides for the institution to regularly test or otherwise monitor the effectiveness of the safeguards it has implemented (16 CFR</w:t>
      </w:r>
      <w:r w:rsidRPr="00C8003D">
        <w:rPr>
          <w:rFonts w:ascii="Arial" w:hAnsi="Arial" w:cs="Arial"/>
          <w:spacing w:val="-6"/>
        </w:rPr>
        <w:t xml:space="preserve"> </w:t>
      </w:r>
      <w:r w:rsidRPr="00C8003D">
        <w:rPr>
          <w:rFonts w:ascii="Arial" w:hAnsi="Arial" w:cs="Arial"/>
        </w:rPr>
        <w:t>314.4(d)).</w:t>
      </w:r>
    </w:p>
    <w:p w14:paraId="6D5436B5" w14:textId="77777777" w:rsidR="00C8003D" w:rsidRPr="00C8003D" w:rsidRDefault="00C8003D" w:rsidP="00C8003D">
      <w:pPr>
        <w:pStyle w:val="ListParagraph"/>
        <w:widowControl w:val="0"/>
        <w:numPr>
          <w:ilvl w:val="0"/>
          <w:numId w:val="59"/>
        </w:numPr>
        <w:tabs>
          <w:tab w:val="left" w:pos="1559"/>
          <w:tab w:val="left" w:pos="1560"/>
        </w:tabs>
        <w:suppressAutoHyphens w:val="0"/>
        <w:adjustRightInd/>
        <w:ind w:left="1559"/>
        <w:jc w:val="both"/>
        <w:rPr>
          <w:rFonts w:ascii="Arial" w:hAnsi="Arial" w:cs="Arial"/>
        </w:rPr>
      </w:pPr>
      <w:r w:rsidRPr="00C8003D">
        <w:rPr>
          <w:rFonts w:ascii="Arial" w:hAnsi="Arial" w:cs="Arial"/>
        </w:rPr>
        <w:t>Provides for the implementation of policies and procedures to ensure that personnel are able to enact the information security program (16 CFR</w:t>
      </w:r>
      <w:r w:rsidRPr="00C8003D">
        <w:rPr>
          <w:rFonts w:ascii="Arial" w:hAnsi="Arial" w:cs="Arial"/>
          <w:spacing w:val="-17"/>
        </w:rPr>
        <w:t xml:space="preserve"> </w:t>
      </w:r>
      <w:r w:rsidRPr="00C8003D">
        <w:rPr>
          <w:rFonts w:ascii="Arial" w:hAnsi="Arial" w:cs="Arial"/>
        </w:rPr>
        <w:t>314.4(e)).</w:t>
      </w:r>
    </w:p>
    <w:p w14:paraId="52C3BA0F" w14:textId="77777777" w:rsidR="00C8003D" w:rsidRPr="00C8003D" w:rsidRDefault="00C8003D" w:rsidP="00C8003D">
      <w:pPr>
        <w:pStyle w:val="ListParagraph"/>
        <w:widowControl w:val="0"/>
        <w:numPr>
          <w:ilvl w:val="0"/>
          <w:numId w:val="59"/>
        </w:numPr>
        <w:tabs>
          <w:tab w:val="left" w:pos="1559"/>
          <w:tab w:val="left" w:pos="1560"/>
        </w:tabs>
        <w:suppressAutoHyphens w:val="0"/>
        <w:adjustRightInd/>
        <w:ind w:left="1559"/>
        <w:jc w:val="both"/>
        <w:rPr>
          <w:rFonts w:ascii="Arial" w:hAnsi="Arial" w:cs="Arial"/>
        </w:rPr>
      </w:pPr>
      <w:r w:rsidRPr="00C8003D">
        <w:rPr>
          <w:rFonts w:ascii="Arial" w:hAnsi="Arial" w:cs="Arial"/>
        </w:rPr>
        <w:t>Addresses how the institution will oversee its information system service providers (16 CFR</w:t>
      </w:r>
      <w:r w:rsidRPr="00C8003D">
        <w:rPr>
          <w:rFonts w:ascii="Arial" w:hAnsi="Arial" w:cs="Arial"/>
          <w:spacing w:val="-2"/>
        </w:rPr>
        <w:t xml:space="preserve"> </w:t>
      </w:r>
      <w:r w:rsidRPr="00C8003D">
        <w:rPr>
          <w:rFonts w:ascii="Arial" w:hAnsi="Arial" w:cs="Arial"/>
        </w:rPr>
        <w:t>314.4(f)).</w:t>
      </w:r>
    </w:p>
    <w:p w14:paraId="7142F0CA" w14:textId="22534533" w:rsidR="00C8003D" w:rsidRPr="00DF412E" w:rsidRDefault="00C8003D" w:rsidP="00AD5EF0">
      <w:pPr>
        <w:pStyle w:val="ListParagraph"/>
        <w:widowControl w:val="0"/>
        <w:numPr>
          <w:ilvl w:val="0"/>
          <w:numId w:val="59"/>
        </w:numPr>
        <w:tabs>
          <w:tab w:val="left" w:pos="1559"/>
          <w:tab w:val="left" w:pos="1560"/>
        </w:tabs>
        <w:suppressAutoHyphens w:val="0"/>
        <w:adjustRightInd/>
        <w:ind w:left="1559"/>
        <w:jc w:val="both"/>
        <w:rPr>
          <w:rFonts w:ascii="Arial" w:hAnsi="Arial" w:cs="Arial"/>
        </w:rPr>
      </w:pPr>
      <w:r w:rsidRPr="00DF412E">
        <w:rPr>
          <w:rFonts w:ascii="Arial" w:hAnsi="Arial" w:cs="Arial"/>
        </w:rPr>
        <w:t>Provides for the evaluation and adjustment of its information security program in light of the results of the required testing and monitoring; any material changes to its operations or business arrangements; the results of the required risk assessments; or any other circumstances that it knows or has reason to</w:t>
      </w:r>
      <w:r w:rsidRPr="00DF412E">
        <w:rPr>
          <w:rFonts w:ascii="Arial" w:hAnsi="Arial" w:cs="Arial"/>
          <w:spacing w:val="-11"/>
        </w:rPr>
        <w:t xml:space="preserve"> </w:t>
      </w:r>
      <w:r w:rsidRPr="00DF412E">
        <w:rPr>
          <w:rFonts w:ascii="Arial" w:hAnsi="Arial" w:cs="Arial"/>
        </w:rPr>
        <w:t>know</w:t>
      </w:r>
      <w:r w:rsidR="00DF412E">
        <w:rPr>
          <w:rFonts w:ascii="Arial" w:hAnsi="Arial" w:cs="Arial"/>
        </w:rPr>
        <w:t xml:space="preserve"> </w:t>
      </w:r>
      <w:r w:rsidRPr="00DF412E">
        <w:rPr>
          <w:rFonts w:ascii="Arial" w:hAnsi="Arial" w:cs="Arial"/>
        </w:rPr>
        <w:t>may have a material impact the institution’s information security program (16 CFR 314.4(g)).</w:t>
      </w:r>
    </w:p>
    <w:p w14:paraId="3A4DD0BC" w14:textId="219B7290" w:rsidR="00C8003D" w:rsidRPr="00C8003D" w:rsidRDefault="00C8003D" w:rsidP="00C8003D">
      <w:pPr>
        <w:pStyle w:val="BodyText"/>
        <w:spacing w:before="90"/>
        <w:jc w:val="both"/>
        <w:rPr>
          <w:rFonts w:ascii="Arial" w:hAnsi="Arial" w:cs="Arial"/>
          <w:szCs w:val="20"/>
        </w:rPr>
      </w:pPr>
      <w:r w:rsidRPr="00C8003D">
        <w:rPr>
          <w:rFonts w:ascii="Arial" w:hAnsi="Arial" w:cs="Arial"/>
          <w:szCs w:val="20"/>
        </w:rPr>
        <w:t>The first element that an institution’s written information security program must address is the</w:t>
      </w:r>
      <w:r>
        <w:rPr>
          <w:rFonts w:ascii="Arial" w:hAnsi="Arial" w:cs="Arial"/>
          <w:szCs w:val="20"/>
        </w:rPr>
        <w:t xml:space="preserve"> </w:t>
      </w:r>
      <w:r w:rsidRPr="00C8003D">
        <w:rPr>
          <w:rFonts w:ascii="Arial" w:hAnsi="Arial" w:cs="Arial"/>
          <w:szCs w:val="20"/>
        </w:rPr>
        <w:t xml:space="preserve">designation of an individual with responsibility for implementing and enforcing an institution’s written information security program. The regulations refer to this individual as the Qualified Individual. If an institution has not designated a Qualified Individual, it is not in compliance with the GLBA requirements. The Qualified </w:t>
      </w:r>
      <w:r w:rsidRPr="00C8003D">
        <w:rPr>
          <w:rFonts w:ascii="Arial" w:hAnsi="Arial" w:cs="Arial"/>
          <w:szCs w:val="20"/>
        </w:rPr>
        <w:lastRenderedPageBreak/>
        <w:t>Individual, has ultimate responsibility and accountability for implementing and enforcing the institution’s information security program (16 CFR 314.4(a)). The regulations do provide for an institution to use a service provider as the Qualified Individual. In cases where an institution uses a service provider as the Qualified Individual, the institution must –</w:t>
      </w:r>
    </w:p>
    <w:p w14:paraId="564D9D8E" w14:textId="77777777" w:rsidR="00C8003D" w:rsidRPr="00C8003D" w:rsidRDefault="00C8003D" w:rsidP="00C8003D">
      <w:pPr>
        <w:pStyle w:val="ListParagraph"/>
        <w:widowControl w:val="0"/>
        <w:numPr>
          <w:ilvl w:val="0"/>
          <w:numId w:val="59"/>
        </w:numPr>
        <w:tabs>
          <w:tab w:val="left" w:pos="1559"/>
          <w:tab w:val="left" w:pos="1560"/>
        </w:tabs>
        <w:suppressAutoHyphens w:val="0"/>
        <w:adjustRightInd/>
        <w:spacing w:line="293" w:lineRule="exact"/>
        <w:ind w:hanging="721"/>
        <w:jc w:val="both"/>
        <w:rPr>
          <w:rFonts w:ascii="Arial" w:hAnsi="Arial" w:cs="Arial"/>
        </w:rPr>
      </w:pPr>
      <w:r w:rsidRPr="00C8003D">
        <w:rPr>
          <w:rFonts w:ascii="Arial" w:hAnsi="Arial" w:cs="Arial"/>
        </w:rPr>
        <w:t>Retain responsibility for compliance with</w:t>
      </w:r>
      <w:r w:rsidRPr="00C8003D">
        <w:rPr>
          <w:rFonts w:ascii="Arial" w:hAnsi="Arial" w:cs="Arial"/>
          <w:spacing w:val="-5"/>
        </w:rPr>
        <w:t xml:space="preserve"> </w:t>
      </w:r>
      <w:r w:rsidRPr="00C8003D">
        <w:rPr>
          <w:rFonts w:ascii="Arial" w:hAnsi="Arial" w:cs="Arial"/>
        </w:rPr>
        <w:t>GLBA;</w:t>
      </w:r>
    </w:p>
    <w:p w14:paraId="7AA22195" w14:textId="77777777" w:rsidR="00C8003D" w:rsidRPr="00C8003D" w:rsidRDefault="00C8003D" w:rsidP="00C8003D">
      <w:pPr>
        <w:pStyle w:val="ListParagraph"/>
        <w:widowControl w:val="0"/>
        <w:numPr>
          <w:ilvl w:val="0"/>
          <w:numId w:val="59"/>
        </w:numPr>
        <w:tabs>
          <w:tab w:val="left" w:pos="1559"/>
          <w:tab w:val="left" w:pos="1560"/>
        </w:tabs>
        <w:suppressAutoHyphens w:val="0"/>
        <w:adjustRightInd/>
        <w:ind w:left="1559"/>
        <w:jc w:val="both"/>
        <w:rPr>
          <w:rFonts w:ascii="Arial" w:hAnsi="Arial" w:cs="Arial"/>
        </w:rPr>
      </w:pPr>
      <w:r w:rsidRPr="00C8003D">
        <w:rPr>
          <w:rFonts w:ascii="Arial" w:hAnsi="Arial" w:cs="Arial"/>
        </w:rPr>
        <w:t>Designate a senior member of its personnel responsible for direction</w:t>
      </w:r>
      <w:r w:rsidRPr="00C8003D">
        <w:rPr>
          <w:rFonts w:ascii="Arial" w:hAnsi="Arial" w:cs="Arial"/>
          <w:spacing w:val="-16"/>
        </w:rPr>
        <w:t xml:space="preserve"> </w:t>
      </w:r>
      <w:r w:rsidRPr="00C8003D">
        <w:rPr>
          <w:rFonts w:ascii="Arial" w:hAnsi="Arial" w:cs="Arial"/>
        </w:rPr>
        <w:t>and oversight of the Qualified Individual;</w:t>
      </w:r>
      <w:r w:rsidRPr="00C8003D">
        <w:rPr>
          <w:rFonts w:ascii="Arial" w:hAnsi="Arial" w:cs="Arial"/>
          <w:spacing w:val="-2"/>
        </w:rPr>
        <w:t xml:space="preserve"> </w:t>
      </w:r>
      <w:r w:rsidRPr="00C8003D">
        <w:rPr>
          <w:rFonts w:ascii="Arial" w:hAnsi="Arial" w:cs="Arial"/>
        </w:rPr>
        <w:t>and</w:t>
      </w:r>
    </w:p>
    <w:p w14:paraId="38EF3888" w14:textId="77777777" w:rsidR="00C8003D" w:rsidRPr="00C8003D" w:rsidRDefault="00C8003D" w:rsidP="00C8003D">
      <w:pPr>
        <w:pStyle w:val="ListParagraph"/>
        <w:widowControl w:val="0"/>
        <w:numPr>
          <w:ilvl w:val="0"/>
          <w:numId w:val="59"/>
        </w:numPr>
        <w:tabs>
          <w:tab w:val="left" w:pos="1559"/>
          <w:tab w:val="left" w:pos="1560"/>
        </w:tabs>
        <w:suppressAutoHyphens w:val="0"/>
        <w:adjustRightInd/>
        <w:spacing w:after="240"/>
        <w:ind w:left="1555"/>
        <w:jc w:val="both"/>
        <w:rPr>
          <w:rFonts w:ascii="Arial" w:hAnsi="Arial" w:cs="Arial"/>
        </w:rPr>
      </w:pPr>
      <w:r w:rsidRPr="00C8003D">
        <w:rPr>
          <w:rFonts w:ascii="Arial" w:hAnsi="Arial" w:cs="Arial"/>
        </w:rPr>
        <w:t>Require the service provider or affiliate to maintain an information security program that protects the institution in accordance with the requirements of the regulations at 16 CFR Part 314(a)(1) through</w:t>
      </w:r>
      <w:r w:rsidRPr="00C8003D">
        <w:rPr>
          <w:rFonts w:ascii="Arial" w:hAnsi="Arial" w:cs="Arial"/>
          <w:spacing w:val="-4"/>
        </w:rPr>
        <w:t xml:space="preserve"> </w:t>
      </w:r>
      <w:r w:rsidRPr="00C8003D">
        <w:rPr>
          <w:rFonts w:ascii="Arial" w:hAnsi="Arial" w:cs="Arial"/>
        </w:rPr>
        <w:t>(3).</w:t>
      </w:r>
    </w:p>
    <w:p w14:paraId="47B2F553" w14:textId="7B273FCD" w:rsidR="00BB10F4" w:rsidRPr="00C8003D" w:rsidRDefault="00C8003D" w:rsidP="00C8003D">
      <w:pPr>
        <w:spacing w:after="240"/>
        <w:jc w:val="both"/>
        <w:rPr>
          <w:rFonts w:ascii="Arial" w:hAnsi="Arial" w:cs="Arial"/>
          <w:bCs/>
        </w:rPr>
      </w:pPr>
      <w:r w:rsidRPr="00C8003D">
        <w:rPr>
          <w:rFonts w:ascii="Arial" w:hAnsi="Arial" w:cs="Arial"/>
        </w:rPr>
        <w:t>Because the written information security program may be in one or more readily accessible parts and the Qualified Individual is responsible for implementing and monitoring the information security program, it is ED’s expectation that the Qualified Individual would be able to provide the written information security program that addresses the elements required for the written information security program to the auditors.</w:t>
      </w:r>
    </w:p>
    <w:p w14:paraId="5A67E1BA" w14:textId="38686E62" w:rsidR="004171E2" w:rsidRPr="00F00D94" w:rsidRDefault="00BB10F4" w:rsidP="00BB10F4">
      <w:pPr>
        <w:spacing w:after="240"/>
        <w:jc w:val="both"/>
        <w:rPr>
          <w:rFonts w:ascii="Arial" w:hAnsi="Arial" w:cs="Arial"/>
        </w:rPr>
      </w:pPr>
      <w:r w:rsidRPr="004E2CCB">
        <w:rPr>
          <w:rFonts w:ascii="Arial" w:hAnsi="Arial" w:cs="Arial"/>
          <w:bCs/>
          <w:i/>
        </w:rPr>
        <w:t>(Source: 202</w:t>
      </w:r>
      <w:r w:rsidR="00C8003D">
        <w:rPr>
          <w:rFonts w:ascii="Arial" w:hAnsi="Arial" w:cs="Arial"/>
          <w:bCs/>
          <w:i/>
        </w:rPr>
        <w:t>5</w:t>
      </w:r>
      <w:r w:rsidRPr="004E2CCB">
        <w:rPr>
          <w:rFonts w:ascii="Arial" w:hAnsi="Arial" w:cs="Arial"/>
          <w:bCs/>
          <w:i/>
        </w:rPr>
        <w:t xml:space="preserve"> OMB Compliance Supplement, Part 5, Student Financial Assistance Cluster)</w:t>
      </w:r>
    </w:p>
    <w:p w14:paraId="5E4B919B" w14:textId="77777777" w:rsidR="004171E2" w:rsidRPr="000706D1" w:rsidRDefault="004171E2" w:rsidP="004171E2">
      <w:pPr>
        <w:pStyle w:val="Heading3"/>
        <w:jc w:val="both"/>
        <w:rPr>
          <w:rFonts w:cs="Arial"/>
          <w:sz w:val="24"/>
          <w:szCs w:val="24"/>
        </w:rPr>
      </w:pPr>
      <w:bookmarkStart w:id="106" w:name="_Toc210306870"/>
      <w:r w:rsidRPr="000706D1">
        <w:rPr>
          <w:rFonts w:cs="Arial"/>
          <w:sz w:val="24"/>
          <w:szCs w:val="24"/>
        </w:rPr>
        <w:t>Additional Program Specific Information</w:t>
      </w:r>
      <w:bookmarkEnd w:id="106"/>
    </w:p>
    <w:p w14:paraId="141DDCE0" w14:textId="77777777" w:rsidR="004171E2" w:rsidRPr="00AA5B05" w:rsidRDefault="004171E2" w:rsidP="004171E2">
      <w:pPr>
        <w:spacing w:after="240"/>
        <w:jc w:val="both"/>
        <w:rPr>
          <w:rFonts w:ascii="Arial" w:hAnsi="Arial" w:cs="Arial"/>
          <w:b/>
          <w:highlight w:val="yellow"/>
        </w:rPr>
      </w:pPr>
      <w:r w:rsidRPr="00AA5B05">
        <w:rPr>
          <w:rFonts w:ascii="Arial" w:hAnsi="Arial" w:cs="Arial"/>
          <w:b/>
          <w:highlight w:val="yellow"/>
        </w:rPr>
        <w:t>Add program specific requirements from:</w:t>
      </w:r>
    </w:p>
    <w:p w14:paraId="58AF30A0" w14:textId="3C492A6E"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8003D">
        <w:rPr>
          <w:rFonts w:ascii="Arial" w:hAnsi="Arial" w:cs="Arial"/>
          <w:b/>
          <w:highlight w:val="yellow"/>
        </w:rPr>
        <w:t xml:space="preserve"> and</w:t>
      </w:r>
    </w:p>
    <w:p w14:paraId="38459C5E" w14:textId="77777777" w:rsidR="004171E2" w:rsidRPr="00AA5B05" w:rsidRDefault="004171E2" w:rsidP="008827D6">
      <w:pPr>
        <w:pStyle w:val="ListParagraph"/>
        <w:numPr>
          <w:ilvl w:val="0"/>
          <w:numId w:val="4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18C8F3F" w14:textId="77777777" w:rsidR="004171E2" w:rsidRPr="00AA5B05" w:rsidRDefault="004171E2" w:rsidP="004171E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06091" w14:textId="77777777" w:rsidR="004171E2" w:rsidRPr="000706D1" w:rsidRDefault="004171E2" w:rsidP="004171E2">
      <w:pPr>
        <w:pStyle w:val="Heading3"/>
        <w:jc w:val="both"/>
        <w:rPr>
          <w:rFonts w:cs="Arial"/>
          <w:sz w:val="24"/>
          <w:szCs w:val="24"/>
        </w:rPr>
      </w:pPr>
      <w:bookmarkStart w:id="107" w:name="_Toc210306871"/>
      <w:r w:rsidRPr="000706D1">
        <w:rPr>
          <w:rFonts w:cs="Arial"/>
          <w:sz w:val="24"/>
          <w:szCs w:val="24"/>
        </w:rPr>
        <w:t>Audit Objectives and Control Testing</w:t>
      </w:r>
      <w:bookmarkEnd w:id="107"/>
    </w:p>
    <w:p w14:paraId="54657E1B" w14:textId="77777777" w:rsidR="004171E2" w:rsidRPr="00F00D94" w:rsidRDefault="004171E2" w:rsidP="004171E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4A3AD12" w14:textId="77777777" w:rsidR="004171E2" w:rsidRPr="00F00D94" w:rsidRDefault="004171E2" w:rsidP="004171E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6336E85" w14:textId="77777777" w:rsidR="004171E2" w:rsidRDefault="004171E2" w:rsidP="004171E2">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E64E93D" w14:textId="22146E66" w:rsidR="00C8003D" w:rsidRPr="007E1C1C" w:rsidRDefault="00C8003D" w:rsidP="00C8003D">
      <w:pPr>
        <w:pStyle w:val="ListParagraph"/>
        <w:numPr>
          <w:ilvl w:val="0"/>
          <w:numId w:val="7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8003D">
        <w:rPr>
          <w:rFonts w:ascii="Arial" w:hAnsi="Arial" w:cs="Arial"/>
          <w:iCs/>
        </w:rPr>
        <w:t>Determine whether the institution designated a Qualified Individual responsible for implementing and monitoring the institution’s information security program.</w:t>
      </w:r>
    </w:p>
    <w:p w14:paraId="705492AA" w14:textId="17635C65" w:rsidR="00C8003D" w:rsidRPr="007E1C1C" w:rsidRDefault="00C8003D" w:rsidP="00C8003D">
      <w:pPr>
        <w:pStyle w:val="ListParagraph"/>
        <w:numPr>
          <w:ilvl w:val="0"/>
          <w:numId w:val="7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8003D">
        <w:rPr>
          <w:rFonts w:ascii="Arial" w:hAnsi="Arial" w:cs="Arial"/>
          <w:iCs/>
        </w:rPr>
        <w:t>Determine whether the institution’s written information security program addresses the required minimum seven elements.</w:t>
      </w:r>
    </w:p>
    <w:p w14:paraId="778B64DD" w14:textId="1D15A4EB" w:rsidR="00C8003D" w:rsidRPr="007E1C1C" w:rsidRDefault="00C8003D" w:rsidP="00C8003D">
      <w:pPr>
        <w:spacing w:after="240"/>
        <w:jc w:val="both"/>
        <w:rPr>
          <w:rFonts w:ascii="Arial" w:hAnsi="Arial" w:cs="Arial"/>
          <w:bCs/>
        </w:rPr>
      </w:pPr>
      <w:r w:rsidRPr="007E1C1C">
        <w:rPr>
          <w:rFonts w:ascii="Arial" w:hAnsi="Arial" w:cs="Arial"/>
          <w:bCs/>
          <w:i/>
        </w:rPr>
        <w:t>(Source: 202</w:t>
      </w:r>
      <w:r>
        <w:rPr>
          <w:rFonts w:ascii="Arial" w:hAnsi="Arial" w:cs="Arial"/>
          <w:bCs/>
          <w:i/>
        </w:rPr>
        <w:t>5</w:t>
      </w:r>
      <w:r w:rsidRPr="007E1C1C">
        <w:rPr>
          <w:rFonts w:ascii="Arial" w:hAnsi="Arial" w:cs="Arial"/>
          <w:bCs/>
          <w:i/>
        </w:rPr>
        <w:t xml:space="preserve"> OMB Compliance Supplement, Part 5, Student Financial Assistance Cluster)</w:t>
      </w:r>
    </w:p>
    <w:p w14:paraId="5BF539B2" w14:textId="77777777" w:rsidR="004171E2" w:rsidRPr="00634FA3" w:rsidRDefault="004171E2" w:rsidP="004171E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171E2" w:rsidRPr="00F00D94" w14:paraId="037D039D" w14:textId="77777777" w:rsidTr="00E0350C">
        <w:tc>
          <w:tcPr>
            <w:tcW w:w="5000" w:type="pct"/>
          </w:tcPr>
          <w:p w14:paraId="69B3373B" w14:textId="77777777" w:rsidR="004171E2" w:rsidRPr="006F5FFA" w:rsidRDefault="004171E2" w:rsidP="0005458C">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B5ABCE9"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0DEE65" w14:textId="77777777" w:rsidR="004171E2" w:rsidRPr="00F00D94" w:rsidRDefault="004171E2" w:rsidP="0005458C">
            <w:pPr>
              <w:pStyle w:val="AuditProcedureHeading"/>
              <w:spacing w:after="240"/>
              <w:jc w:val="both"/>
              <w:rPr>
                <w:rFonts w:cs="Arial"/>
                <w:b/>
                <w:bCs/>
                <w:szCs w:val="20"/>
                <w:u w:val="single"/>
              </w:rPr>
            </w:pPr>
          </w:p>
          <w:p w14:paraId="487F5190" w14:textId="77777777" w:rsidR="004171E2" w:rsidRPr="00F00D94" w:rsidRDefault="004171E2" w:rsidP="0005458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768D5FC" w14:textId="77777777" w:rsidR="004171E2" w:rsidRPr="00F00D94" w:rsidRDefault="004171E2" w:rsidP="0005458C">
            <w:pPr>
              <w:pStyle w:val="AuditProcedureHeading"/>
              <w:spacing w:after="240"/>
              <w:jc w:val="both"/>
              <w:rPr>
                <w:rFonts w:cs="Arial"/>
                <w:b/>
                <w:bCs/>
                <w:szCs w:val="20"/>
                <w:u w:val="single"/>
              </w:rPr>
            </w:pPr>
          </w:p>
          <w:p w14:paraId="6BE5F8C4" w14:textId="77777777" w:rsidR="004171E2" w:rsidRPr="00F00D94" w:rsidRDefault="004171E2" w:rsidP="0005458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0855755" w14:textId="77777777" w:rsidR="004171E2" w:rsidRPr="00F00D94" w:rsidRDefault="004171E2" w:rsidP="0005458C">
            <w:pPr>
              <w:spacing w:after="240"/>
              <w:jc w:val="both"/>
              <w:rPr>
                <w:rFonts w:ascii="Arial" w:hAnsi="Arial" w:cs="Arial"/>
                <w:b/>
                <w:sz w:val="20"/>
                <w:u w:val="single"/>
              </w:rPr>
            </w:pPr>
          </w:p>
          <w:p w14:paraId="467459E1" w14:textId="77777777" w:rsidR="004171E2" w:rsidRPr="00F00D94" w:rsidRDefault="004171E2" w:rsidP="0005458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8A8EC45" w14:textId="77777777" w:rsidR="004171E2" w:rsidRPr="00C35E5F" w:rsidRDefault="004171E2" w:rsidP="0005458C">
            <w:pPr>
              <w:spacing w:after="240"/>
              <w:jc w:val="both"/>
              <w:rPr>
                <w:rFonts w:ascii="Arial" w:eastAsiaTheme="minorHAnsi" w:hAnsi="Arial" w:cs="Arial"/>
                <w:sz w:val="20"/>
                <w:szCs w:val="20"/>
              </w:rPr>
            </w:pPr>
          </w:p>
        </w:tc>
      </w:tr>
    </w:tbl>
    <w:p w14:paraId="6E004AEA" w14:textId="77777777" w:rsidR="004171E2" w:rsidRPr="00F00D94" w:rsidRDefault="004171E2" w:rsidP="004171E2">
      <w:pPr>
        <w:spacing w:after="240"/>
        <w:jc w:val="both"/>
        <w:rPr>
          <w:rFonts w:ascii="Arial" w:hAnsi="Arial" w:cs="Arial"/>
          <w:b/>
          <w:bCs/>
        </w:rPr>
      </w:pPr>
    </w:p>
    <w:p w14:paraId="1C46EBA5" w14:textId="77777777" w:rsidR="004171E2" w:rsidRPr="000706D1" w:rsidRDefault="004171E2" w:rsidP="004171E2">
      <w:pPr>
        <w:pStyle w:val="Heading3"/>
        <w:jc w:val="both"/>
        <w:rPr>
          <w:rFonts w:cs="Arial"/>
          <w:sz w:val="24"/>
          <w:szCs w:val="24"/>
        </w:rPr>
      </w:pPr>
      <w:bookmarkStart w:id="108" w:name="_Toc210306872"/>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8"/>
    </w:p>
    <w:tbl>
      <w:tblPr>
        <w:tblStyle w:val="TableGrid"/>
        <w:tblW w:w="9558" w:type="dxa"/>
        <w:tblLayout w:type="fixed"/>
        <w:tblLook w:val="04A0" w:firstRow="1" w:lastRow="0" w:firstColumn="1" w:lastColumn="0" w:noHBand="0" w:noVBand="1"/>
      </w:tblPr>
      <w:tblGrid>
        <w:gridCol w:w="9558"/>
      </w:tblGrid>
      <w:tr w:rsidR="004171E2" w:rsidRPr="00F00D94" w14:paraId="3CFF3FFF" w14:textId="77777777" w:rsidTr="00634FA3">
        <w:tc>
          <w:tcPr>
            <w:tcW w:w="9558" w:type="dxa"/>
          </w:tcPr>
          <w:p w14:paraId="67CADD80" w14:textId="77777777" w:rsidR="004171E2" w:rsidRDefault="004171E2" w:rsidP="0005458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CA0590E" w14:textId="77777777" w:rsidR="004171E2" w:rsidRPr="00AC7B25" w:rsidRDefault="004171E2" w:rsidP="0005458C">
            <w:pPr>
              <w:spacing w:after="240"/>
              <w:jc w:val="both"/>
              <w:rPr>
                <w:rFonts w:ascii="Arial" w:hAnsi="Arial" w:cs="Arial"/>
                <w:i/>
                <w:sz w:val="20"/>
                <w:szCs w:val="20"/>
              </w:rPr>
            </w:pPr>
            <w:r>
              <w:rPr>
                <w:rFonts w:ascii="Arial" w:hAnsi="Arial" w:cs="Arial"/>
                <w:i/>
                <w:sz w:val="20"/>
                <w:szCs w:val="20"/>
              </w:rPr>
              <w:t>(Source: 2025 OMB Compliance Supplement Part 3.2)</w:t>
            </w:r>
          </w:p>
          <w:p w14:paraId="42D99EFF" w14:textId="72561510" w:rsidR="00C8003D" w:rsidRPr="00C8003D" w:rsidRDefault="00C8003D" w:rsidP="00C8003D">
            <w:pPr>
              <w:spacing w:after="240"/>
              <w:ind w:left="612" w:hanging="612"/>
              <w:jc w:val="both"/>
              <w:rPr>
                <w:rFonts w:ascii="Arial" w:hAnsi="Arial" w:cs="Arial"/>
                <w:sz w:val="20"/>
              </w:rPr>
            </w:pPr>
            <w:r w:rsidRPr="007E1C1C">
              <w:rPr>
                <w:rFonts w:ascii="Arial" w:hAnsi="Arial" w:cs="Arial"/>
                <w:sz w:val="20"/>
              </w:rPr>
              <w:t>a.</w:t>
            </w:r>
            <w:r w:rsidRPr="007E1C1C">
              <w:rPr>
                <w:rFonts w:ascii="Arial" w:hAnsi="Arial" w:cs="Arial"/>
                <w:sz w:val="20"/>
              </w:rPr>
              <w:tab/>
            </w:r>
            <w:r w:rsidRPr="00C8003D">
              <w:rPr>
                <w:rFonts w:ascii="Arial" w:hAnsi="Arial" w:cs="Arial"/>
                <w:sz w:val="20"/>
              </w:rPr>
              <w:t>Verify that the institution has designated a Qualified Individual responsible for implementing and monitoring the institution’s information security program.</w:t>
            </w:r>
          </w:p>
          <w:p w14:paraId="5E855AF5" w14:textId="31B57ABF" w:rsidR="004171E2" w:rsidRPr="001B6A61" w:rsidRDefault="00C8003D" w:rsidP="00C8003D">
            <w:pPr>
              <w:spacing w:after="240"/>
              <w:ind w:left="611" w:hanging="630"/>
              <w:jc w:val="both"/>
              <w:rPr>
                <w:rFonts w:ascii="Arial" w:hAnsi="Arial" w:cs="Arial"/>
                <w:b/>
                <w:bCs/>
                <w:sz w:val="20"/>
              </w:rPr>
            </w:pPr>
            <w:r w:rsidRPr="00C8003D">
              <w:rPr>
                <w:rFonts w:ascii="Arial" w:hAnsi="Arial" w:cs="Arial"/>
                <w:sz w:val="20"/>
              </w:rPr>
              <w:t>b.</w:t>
            </w:r>
            <w:r w:rsidRPr="00C8003D">
              <w:rPr>
                <w:rFonts w:ascii="Arial" w:hAnsi="Arial" w:cs="Arial"/>
                <w:sz w:val="20"/>
              </w:rPr>
              <w:tab/>
              <w:t>Verify that the institution has a written information security program and that the written information security program addresses the remaining six required minimum elements.</w:t>
            </w:r>
          </w:p>
        </w:tc>
      </w:tr>
    </w:tbl>
    <w:p w14:paraId="2746EF0F" w14:textId="77777777" w:rsidR="004171E2" w:rsidRPr="00F00D94" w:rsidRDefault="004171E2" w:rsidP="004171E2">
      <w:pPr>
        <w:tabs>
          <w:tab w:val="left" w:pos="-1440"/>
          <w:tab w:val="left" w:pos="720"/>
        </w:tabs>
        <w:spacing w:after="240"/>
        <w:ind w:left="720" w:hanging="720"/>
        <w:jc w:val="both"/>
        <w:rPr>
          <w:rFonts w:ascii="Arial" w:hAnsi="Arial" w:cs="Arial"/>
        </w:rPr>
      </w:pPr>
    </w:p>
    <w:p w14:paraId="674DC89F" w14:textId="77777777" w:rsidR="004171E2" w:rsidRPr="000706D1" w:rsidRDefault="004171E2" w:rsidP="004171E2">
      <w:pPr>
        <w:pStyle w:val="Heading3"/>
        <w:jc w:val="both"/>
        <w:rPr>
          <w:rFonts w:cs="Arial"/>
          <w:b w:val="0"/>
          <w:sz w:val="24"/>
          <w:szCs w:val="24"/>
        </w:rPr>
      </w:pPr>
      <w:bookmarkStart w:id="109" w:name="_Toc210306873"/>
      <w:r w:rsidRPr="000706D1">
        <w:rPr>
          <w:rFonts w:cs="Arial"/>
          <w:sz w:val="24"/>
          <w:szCs w:val="24"/>
        </w:rPr>
        <w:t>Audit Implications Summary</w:t>
      </w:r>
      <w:bookmarkEnd w:id="109"/>
    </w:p>
    <w:tbl>
      <w:tblPr>
        <w:tblStyle w:val="TableGrid"/>
        <w:tblW w:w="5000" w:type="pct"/>
        <w:tblLook w:val="04A0" w:firstRow="1" w:lastRow="0" w:firstColumn="1" w:lastColumn="0" w:noHBand="0" w:noVBand="1"/>
      </w:tblPr>
      <w:tblGrid>
        <w:gridCol w:w="9350"/>
      </w:tblGrid>
      <w:tr w:rsidR="004171E2" w:rsidRPr="00F00D94" w14:paraId="3A277D6A" w14:textId="77777777" w:rsidTr="00E0350C">
        <w:tc>
          <w:tcPr>
            <w:tcW w:w="5000" w:type="pct"/>
          </w:tcPr>
          <w:p w14:paraId="2E16621D" w14:textId="77777777" w:rsidR="004171E2" w:rsidRDefault="004171E2" w:rsidP="0005458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BBED105" w14:textId="77777777" w:rsidR="004171E2" w:rsidRPr="006E46AD" w:rsidRDefault="004171E2" w:rsidP="0005458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2658887" w14:textId="77777777" w:rsidR="004171E2" w:rsidRPr="006E46AD" w:rsidRDefault="004171E2" w:rsidP="00C8003D">
            <w:pPr>
              <w:pStyle w:val="ListParagraph"/>
              <w:widowControl w:val="0"/>
              <w:numPr>
                <w:ilvl w:val="0"/>
                <w:numId w:val="7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C338979" w14:textId="77777777" w:rsidR="004171E2" w:rsidRPr="006E46AD" w:rsidRDefault="004171E2" w:rsidP="0005458C">
            <w:pPr>
              <w:widowControl w:val="0"/>
              <w:spacing w:after="240"/>
              <w:ind w:left="720"/>
              <w:jc w:val="both"/>
              <w:rPr>
                <w:rFonts w:ascii="Arial" w:hAnsi="Arial" w:cs="Arial"/>
                <w:b/>
                <w:sz w:val="20"/>
                <w:szCs w:val="20"/>
              </w:rPr>
            </w:pPr>
          </w:p>
          <w:p w14:paraId="002DA60D" w14:textId="77777777" w:rsidR="004171E2" w:rsidRPr="006E46AD" w:rsidRDefault="004171E2" w:rsidP="00C8003D">
            <w:pPr>
              <w:widowControl w:val="0"/>
              <w:numPr>
                <w:ilvl w:val="0"/>
                <w:numId w:val="78"/>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7247F1F3" w14:textId="77777777" w:rsidR="004171E2" w:rsidRPr="00F00D94" w:rsidRDefault="004171E2" w:rsidP="0005458C">
            <w:pPr>
              <w:pStyle w:val="ListParagraph"/>
              <w:spacing w:after="240"/>
              <w:jc w:val="both"/>
              <w:rPr>
                <w:rFonts w:ascii="Arial" w:hAnsi="Arial" w:cs="Arial"/>
                <w:b/>
              </w:rPr>
            </w:pPr>
          </w:p>
          <w:p w14:paraId="4D19DE14" w14:textId="77777777" w:rsidR="004171E2" w:rsidRPr="00F00D94" w:rsidRDefault="004171E2" w:rsidP="00C8003D">
            <w:pPr>
              <w:widowControl w:val="0"/>
              <w:numPr>
                <w:ilvl w:val="0"/>
                <w:numId w:val="7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4699595" w14:textId="77777777" w:rsidR="004171E2" w:rsidRPr="00F00D94" w:rsidRDefault="004171E2" w:rsidP="0005458C">
            <w:pPr>
              <w:pStyle w:val="ListParagraph"/>
              <w:spacing w:after="240"/>
              <w:jc w:val="both"/>
              <w:rPr>
                <w:rFonts w:ascii="Arial" w:hAnsi="Arial" w:cs="Arial"/>
                <w:b/>
              </w:rPr>
            </w:pPr>
          </w:p>
          <w:p w14:paraId="119C59B0" w14:textId="77777777" w:rsidR="004171E2" w:rsidRPr="00F00D94" w:rsidRDefault="004171E2" w:rsidP="00C8003D">
            <w:pPr>
              <w:widowControl w:val="0"/>
              <w:numPr>
                <w:ilvl w:val="0"/>
                <w:numId w:val="7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6295F6C" w14:textId="77777777" w:rsidR="004171E2" w:rsidRPr="00F00D94" w:rsidRDefault="004171E2" w:rsidP="0005458C">
            <w:pPr>
              <w:pStyle w:val="ListParagraph"/>
              <w:spacing w:after="240"/>
              <w:jc w:val="both"/>
              <w:rPr>
                <w:rFonts w:ascii="Arial" w:hAnsi="Arial" w:cs="Arial"/>
                <w:b/>
              </w:rPr>
            </w:pPr>
          </w:p>
          <w:p w14:paraId="6C3E8BB2" w14:textId="77777777" w:rsidR="004171E2" w:rsidRPr="00F00D94" w:rsidRDefault="004171E2" w:rsidP="00C8003D">
            <w:pPr>
              <w:widowControl w:val="0"/>
              <w:numPr>
                <w:ilvl w:val="0"/>
                <w:numId w:val="7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6822739" w14:textId="77777777" w:rsidR="004171E2" w:rsidRPr="00F00D94" w:rsidRDefault="004171E2" w:rsidP="0005458C">
            <w:pPr>
              <w:pStyle w:val="APStepItem"/>
              <w:numPr>
                <w:ilvl w:val="0"/>
                <w:numId w:val="0"/>
              </w:numPr>
              <w:spacing w:after="240"/>
              <w:rPr>
                <w:rFonts w:cs="Arial"/>
                <w:b/>
              </w:rPr>
            </w:pPr>
          </w:p>
        </w:tc>
      </w:tr>
    </w:tbl>
    <w:p w14:paraId="18031ED5" w14:textId="77777777" w:rsidR="004171E2" w:rsidRPr="00F00D94" w:rsidRDefault="004171E2" w:rsidP="004171E2">
      <w:pPr>
        <w:tabs>
          <w:tab w:val="left" w:pos="-1440"/>
          <w:tab w:val="left" w:pos="720"/>
        </w:tabs>
        <w:spacing w:after="240"/>
        <w:ind w:left="720" w:hanging="720"/>
        <w:jc w:val="both"/>
        <w:rPr>
          <w:rFonts w:ascii="Arial" w:hAnsi="Arial" w:cs="Arial"/>
        </w:rPr>
        <w:sectPr w:rsidR="004171E2" w:rsidRPr="00F00D94" w:rsidSect="004171E2">
          <w:headerReference w:type="default" r:id="rId126"/>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10" w:name="_Toc210306874"/>
      <w:r w:rsidRPr="000706D1">
        <w:rPr>
          <w:rStyle w:val="PageNumber"/>
          <w:rFonts w:cs="Arial"/>
          <w:sz w:val="24"/>
        </w:rPr>
        <w:lastRenderedPageBreak/>
        <w:t>Program Testing Conclusion</w:t>
      </w:r>
      <w:bookmarkEnd w:id="60"/>
      <w:bookmarkEnd w:id="110"/>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827D6">
      <w:pPr>
        <w:numPr>
          <w:ilvl w:val="0"/>
          <w:numId w:val="3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827D6">
      <w:pPr>
        <w:numPr>
          <w:ilvl w:val="0"/>
          <w:numId w:val="3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827D6">
      <w:pPr>
        <w:numPr>
          <w:ilvl w:val="0"/>
          <w:numId w:val="3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827D6">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8827D6">
      <w:pPr>
        <w:numPr>
          <w:ilvl w:val="0"/>
          <w:numId w:val="3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827D6">
      <w:pPr>
        <w:numPr>
          <w:ilvl w:val="0"/>
          <w:numId w:val="3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827D6">
      <w:pPr>
        <w:numPr>
          <w:ilvl w:val="0"/>
          <w:numId w:val="3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2B6D3495" w:rsidR="00FA3EC3" w:rsidRPr="00F00D94" w:rsidRDefault="00FA3EC3" w:rsidP="006672EA">
      <w:pPr>
        <w:spacing w:after="240"/>
        <w:jc w:val="both"/>
        <w:rPr>
          <w:rFonts w:ascii="Arial" w:hAnsi="Arial" w:cs="Arial"/>
        </w:rPr>
      </w:pPr>
      <w:hyperlink r:id="rId127"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F36648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8"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11" w:name="AICPAIGS:767.2670-1"/>
      <w:bookmarkEnd w:id="111"/>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827D6">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827D6">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827D6">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7DF7ED40"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3B788EB4" w:rsidR="000C7D0B" w:rsidRDefault="009D190B">
    <w:pPr>
      <w:pBdr>
        <w:top w:val="single" w:sz="4" w:space="1" w:color="auto"/>
      </w:pBdr>
      <w:tabs>
        <w:tab w:val="center" w:pos="4680"/>
      </w:tabs>
      <w:spacing w:line="240" w:lineRule="exact"/>
      <w:rPr>
        <w:sz w:val="18"/>
      </w:rPr>
    </w:pPr>
    <w:r>
      <w:rPr>
        <w:sz w:val="18"/>
      </w:rPr>
      <w:t xml:space="preserve">2025 </w:t>
    </w:r>
    <w:r w:rsidR="004A6745">
      <w:rPr>
        <w:sz w:val="18"/>
      </w:rPr>
      <w:t>FACCR Student Financial Assistance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513A9F2F"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4171E2">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4171E2">
      <w:rPr>
        <w:rFonts w:ascii="Arial" w:hAnsi="Arial" w:cs="Arial"/>
        <w:b/>
        <w:sz w:val="36"/>
        <w:szCs w:val="36"/>
      </w:rPr>
      <w:t xml:space="preserve"> – Institutional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6068" w14:textId="169F28BF" w:rsidR="004171E2" w:rsidRPr="002616A3" w:rsidRDefault="004171E2" w:rsidP="00F13178">
    <w:pPr>
      <w:pStyle w:val="Header"/>
      <w:spacing w:after="240"/>
      <w:jc w:val="center"/>
      <w:rPr>
        <w:rFonts w:ascii="Arial" w:hAnsi="Arial" w:cs="Arial"/>
        <w:sz w:val="36"/>
        <w:szCs w:val="36"/>
      </w:rPr>
    </w:pPr>
    <w:r w:rsidRPr="002616A3">
      <w:rPr>
        <w:rFonts w:ascii="Arial" w:hAnsi="Arial" w:cs="Arial"/>
        <w:b/>
        <w:sz w:val="36"/>
        <w:szCs w:val="36"/>
      </w:rPr>
      <w:t>N</w:t>
    </w:r>
    <w:r w:rsidR="008827D6">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w:t>
    </w:r>
    <w:r w:rsidR="008827D6">
      <w:rPr>
        <w:rFonts w:ascii="Arial" w:hAnsi="Arial" w:cs="Arial"/>
        <w:b/>
        <w:sz w:val="36"/>
        <w:szCs w:val="36"/>
      </w:rPr>
      <w:t xml:space="preserve"> - Verification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C77C" w14:textId="3EFD405C" w:rsidR="004171E2" w:rsidRPr="002616A3" w:rsidRDefault="004171E2" w:rsidP="00F13178">
    <w:pPr>
      <w:pStyle w:val="Header"/>
      <w:spacing w:after="240"/>
      <w:jc w:val="center"/>
      <w:rPr>
        <w:rFonts w:ascii="Arial" w:hAnsi="Arial" w:cs="Arial"/>
        <w:sz w:val="36"/>
        <w:szCs w:val="36"/>
      </w:rPr>
    </w:pPr>
    <w:r w:rsidRPr="002616A3">
      <w:rPr>
        <w:rFonts w:ascii="Arial" w:hAnsi="Arial" w:cs="Arial"/>
        <w:b/>
        <w:sz w:val="36"/>
        <w:szCs w:val="36"/>
      </w:rPr>
      <w:t>N</w:t>
    </w:r>
    <w:r w:rsidR="000D2EFF">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w:t>
    </w:r>
    <w:bookmarkStart w:id="72" w:name="_Hlk210211444"/>
    <w:r w:rsidR="00C90AC5">
      <w:rPr>
        <w:rFonts w:ascii="Arial" w:hAnsi="Arial" w:cs="Arial"/>
        <w:b/>
        <w:sz w:val="36"/>
        <w:szCs w:val="36"/>
      </w:rPr>
      <w:t xml:space="preserve"> – Disbursements to or on Behalf of Students</w:t>
    </w:r>
    <w:bookmarkEnd w:id="72"/>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DFD7" w14:textId="1197B099" w:rsidR="004171E2" w:rsidRPr="002616A3" w:rsidRDefault="004171E2" w:rsidP="00F13178">
    <w:pPr>
      <w:pStyle w:val="Header"/>
      <w:spacing w:after="240"/>
      <w:jc w:val="center"/>
      <w:rPr>
        <w:rFonts w:ascii="Arial" w:hAnsi="Arial" w:cs="Arial"/>
        <w:sz w:val="36"/>
        <w:szCs w:val="36"/>
      </w:rPr>
    </w:pPr>
    <w:r w:rsidRPr="002616A3">
      <w:rPr>
        <w:rFonts w:ascii="Arial" w:hAnsi="Arial" w:cs="Arial"/>
        <w:b/>
        <w:sz w:val="36"/>
        <w:szCs w:val="36"/>
      </w:rPr>
      <w:t>N</w:t>
    </w:r>
    <w:r w:rsidR="007219D6">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w:t>
    </w:r>
    <w:r w:rsidR="007219D6">
      <w:rPr>
        <w:rFonts w:ascii="Arial" w:hAnsi="Arial" w:cs="Arial"/>
        <w:b/>
        <w:sz w:val="36"/>
        <w:szCs w:val="36"/>
      </w:rPr>
      <w:t xml:space="preserve"> - </w:t>
    </w:r>
    <w:r w:rsidR="007219D6" w:rsidRPr="007219D6">
      <w:rPr>
        <w:rFonts w:ascii="Arial" w:hAnsi="Arial" w:cs="Arial"/>
        <w:b/>
        <w:sz w:val="36"/>
        <w:szCs w:val="36"/>
      </w:rPr>
      <w:t>Using a Servicer or Financial Institution to Deliver Title IV Credit Balances to a Card or Other Access Device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B5D7" w14:textId="2D1DFFA4" w:rsidR="004171E2" w:rsidRPr="002616A3" w:rsidRDefault="004171E2" w:rsidP="00F13178">
    <w:pPr>
      <w:pStyle w:val="Header"/>
      <w:spacing w:after="240"/>
      <w:jc w:val="center"/>
      <w:rPr>
        <w:rFonts w:ascii="Arial" w:hAnsi="Arial" w:cs="Arial"/>
        <w:sz w:val="36"/>
        <w:szCs w:val="36"/>
      </w:rPr>
    </w:pPr>
    <w:r w:rsidRPr="002616A3">
      <w:rPr>
        <w:rFonts w:ascii="Arial" w:hAnsi="Arial" w:cs="Arial"/>
        <w:b/>
        <w:sz w:val="36"/>
        <w:szCs w:val="36"/>
      </w:rPr>
      <w:t>N</w:t>
    </w:r>
    <w:r w:rsidR="002A7D42">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w:t>
    </w:r>
    <w:r w:rsidR="002A7D42">
      <w:rPr>
        <w:rFonts w:ascii="Arial" w:hAnsi="Arial" w:cs="Arial"/>
        <w:b/>
        <w:sz w:val="36"/>
        <w:szCs w:val="36"/>
      </w:rPr>
      <w:t xml:space="preserve"> – Return of Title IV Funds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DE69" w14:textId="416994A1" w:rsidR="004171E2" w:rsidRPr="002616A3" w:rsidRDefault="004171E2" w:rsidP="00F13178">
    <w:pPr>
      <w:pStyle w:val="Header"/>
      <w:spacing w:after="240"/>
      <w:jc w:val="center"/>
      <w:rPr>
        <w:rFonts w:ascii="Arial" w:hAnsi="Arial" w:cs="Arial"/>
        <w:sz w:val="36"/>
        <w:szCs w:val="36"/>
      </w:rPr>
    </w:pPr>
    <w:r w:rsidRPr="002616A3">
      <w:rPr>
        <w:rFonts w:ascii="Arial" w:hAnsi="Arial" w:cs="Arial"/>
        <w:b/>
        <w:sz w:val="36"/>
        <w:szCs w:val="36"/>
      </w:rPr>
      <w:t>N</w:t>
    </w:r>
    <w:r w:rsidR="00D12EB7">
      <w:rPr>
        <w:rFonts w:ascii="Arial" w:hAnsi="Arial" w:cs="Arial"/>
        <w:b/>
        <w:sz w:val="36"/>
        <w:szCs w:val="36"/>
      </w:rPr>
      <w:t>6</w:t>
    </w:r>
    <w:r w:rsidRPr="002616A3">
      <w:rPr>
        <w:rFonts w:ascii="Arial" w:hAnsi="Arial" w:cs="Arial"/>
        <w:b/>
        <w:sz w:val="36"/>
        <w:szCs w:val="36"/>
      </w:rPr>
      <w:t xml:space="preserve">. </w:t>
    </w:r>
    <w:r>
      <w:rPr>
        <w:rFonts w:ascii="Arial" w:hAnsi="Arial" w:cs="Arial"/>
        <w:b/>
        <w:sz w:val="36"/>
        <w:szCs w:val="36"/>
      </w:rPr>
      <w:t>Special Tests and Provisions</w:t>
    </w:r>
    <w:r w:rsidR="00D12EB7">
      <w:rPr>
        <w:rFonts w:ascii="Arial" w:hAnsi="Arial" w:cs="Arial"/>
        <w:b/>
        <w:sz w:val="36"/>
        <w:szCs w:val="36"/>
      </w:rPr>
      <w:t xml:space="preserve"> – NSLDS Reporting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5281" w14:textId="412EE482" w:rsidR="004171E2" w:rsidRPr="002616A3" w:rsidRDefault="004171E2" w:rsidP="00F13178">
    <w:pPr>
      <w:pStyle w:val="Header"/>
      <w:spacing w:after="240"/>
      <w:jc w:val="center"/>
      <w:rPr>
        <w:rFonts w:ascii="Arial" w:hAnsi="Arial" w:cs="Arial"/>
        <w:sz w:val="36"/>
        <w:szCs w:val="36"/>
      </w:rPr>
    </w:pPr>
    <w:r w:rsidRPr="002616A3">
      <w:rPr>
        <w:rFonts w:ascii="Arial" w:hAnsi="Arial" w:cs="Arial"/>
        <w:b/>
        <w:sz w:val="36"/>
        <w:szCs w:val="36"/>
      </w:rPr>
      <w:t>N</w:t>
    </w:r>
    <w:r w:rsidR="00D12EB7">
      <w:rPr>
        <w:rFonts w:ascii="Arial" w:hAnsi="Arial" w:cs="Arial"/>
        <w:b/>
        <w:sz w:val="36"/>
        <w:szCs w:val="36"/>
      </w:rPr>
      <w:t>8</w:t>
    </w:r>
    <w:r w:rsidRPr="002616A3">
      <w:rPr>
        <w:rFonts w:ascii="Arial" w:hAnsi="Arial" w:cs="Arial"/>
        <w:b/>
        <w:sz w:val="36"/>
        <w:szCs w:val="36"/>
      </w:rPr>
      <w:t xml:space="preserve">. </w:t>
    </w:r>
    <w:r>
      <w:rPr>
        <w:rFonts w:ascii="Arial" w:hAnsi="Arial" w:cs="Arial"/>
        <w:b/>
        <w:sz w:val="36"/>
        <w:szCs w:val="36"/>
      </w:rPr>
      <w:t>Special Tests and Provisions</w:t>
    </w:r>
    <w:r w:rsidR="00D12EB7">
      <w:rPr>
        <w:rFonts w:ascii="Arial" w:hAnsi="Arial" w:cs="Arial"/>
        <w:b/>
        <w:sz w:val="36"/>
        <w:szCs w:val="36"/>
      </w:rPr>
      <w:t xml:space="preserve"> – Incentive Compensation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BB38" w14:textId="40F77FC4" w:rsidR="004171E2" w:rsidRPr="002616A3" w:rsidRDefault="004171E2" w:rsidP="00F13178">
    <w:pPr>
      <w:pStyle w:val="Header"/>
      <w:spacing w:after="240"/>
      <w:jc w:val="center"/>
      <w:rPr>
        <w:rFonts w:ascii="Arial" w:hAnsi="Arial" w:cs="Arial"/>
        <w:sz w:val="36"/>
        <w:szCs w:val="36"/>
      </w:rPr>
    </w:pPr>
    <w:r w:rsidRPr="002616A3">
      <w:rPr>
        <w:rFonts w:ascii="Arial" w:hAnsi="Arial" w:cs="Arial"/>
        <w:b/>
        <w:sz w:val="36"/>
        <w:szCs w:val="36"/>
      </w:rPr>
      <w:t>N</w:t>
    </w:r>
    <w:r w:rsidR="00BB10F4">
      <w:rPr>
        <w:rFonts w:ascii="Arial" w:hAnsi="Arial" w:cs="Arial"/>
        <w:b/>
        <w:sz w:val="36"/>
        <w:szCs w:val="36"/>
      </w:rPr>
      <w:t>9</w:t>
    </w:r>
    <w:r w:rsidRPr="002616A3">
      <w:rPr>
        <w:rFonts w:ascii="Arial" w:hAnsi="Arial" w:cs="Arial"/>
        <w:b/>
        <w:sz w:val="36"/>
        <w:szCs w:val="36"/>
      </w:rPr>
      <w:t xml:space="preserve">. </w:t>
    </w:r>
    <w:r>
      <w:rPr>
        <w:rFonts w:ascii="Arial" w:hAnsi="Arial" w:cs="Arial"/>
        <w:b/>
        <w:sz w:val="36"/>
        <w:szCs w:val="36"/>
      </w:rPr>
      <w:t>Special Tests and Provisions</w:t>
    </w:r>
    <w:bookmarkStart w:id="103" w:name="_Hlk210228092"/>
    <w:r w:rsidR="00BB10F4">
      <w:rPr>
        <w:rFonts w:ascii="Arial" w:hAnsi="Arial" w:cs="Arial"/>
        <w:b/>
        <w:sz w:val="36"/>
        <w:szCs w:val="36"/>
      </w:rPr>
      <w:t xml:space="preserve"> – Program Eligibility</w:t>
    </w:r>
    <w:bookmarkEnd w:id="103"/>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8441" w14:textId="0AFD4E76" w:rsidR="004171E2" w:rsidRPr="002616A3" w:rsidRDefault="004171E2" w:rsidP="00F13178">
    <w:pPr>
      <w:pStyle w:val="Header"/>
      <w:spacing w:after="240"/>
      <w:jc w:val="center"/>
      <w:rPr>
        <w:rFonts w:ascii="Arial" w:hAnsi="Arial" w:cs="Arial"/>
        <w:sz w:val="36"/>
        <w:szCs w:val="36"/>
      </w:rPr>
    </w:pPr>
    <w:r w:rsidRPr="002616A3">
      <w:rPr>
        <w:rFonts w:ascii="Arial" w:hAnsi="Arial" w:cs="Arial"/>
        <w:b/>
        <w:sz w:val="36"/>
        <w:szCs w:val="36"/>
      </w:rPr>
      <w:t>N</w:t>
    </w:r>
    <w:r w:rsidR="00BB10F4">
      <w:rPr>
        <w:rFonts w:ascii="Arial" w:hAnsi="Arial" w:cs="Arial"/>
        <w:b/>
        <w:sz w:val="36"/>
        <w:szCs w:val="36"/>
      </w:rPr>
      <w:t>10</w:t>
    </w:r>
    <w:r w:rsidRPr="002616A3">
      <w:rPr>
        <w:rFonts w:ascii="Arial" w:hAnsi="Arial" w:cs="Arial"/>
        <w:b/>
        <w:sz w:val="36"/>
        <w:szCs w:val="36"/>
      </w:rPr>
      <w:t xml:space="preserve">. </w:t>
    </w:r>
    <w:r>
      <w:rPr>
        <w:rFonts w:ascii="Arial" w:hAnsi="Arial" w:cs="Arial"/>
        <w:b/>
        <w:sz w:val="36"/>
        <w:szCs w:val="36"/>
      </w:rPr>
      <w:t>Special Tests and Provisions</w:t>
    </w:r>
    <w:r w:rsidR="00BB10F4">
      <w:rPr>
        <w:rFonts w:ascii="Arial" w:hAnsi="Arial" w:cs="Arial"/>
        <w:b/>
        <w:sz w:val="36"/>
        <w:szCs w:val="36"/>
      </w:rPr>
      <w:t xml:space="preserve"> – Gramm-Leach-Bliley Act – Student Information Security</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53331F"/>
    <w:multiLevelType w:val="hybridMultilevel"/>
    <w:tmpl w:val="CCB02FC6"/>
    <w:lvl w:ilvl="0" w:tplc="05420456">
      <w:start w:val="1"/>
      <w:numFmt w:val="lowerLetter"/>
      <w:lvlText w:val="%1."/>
      <w:lvlJc w:val="left"/>
      <w:pPr>
        <w:ind w:left="1560" w:hanging="720"/>
        <w:jc w:val="left"/>
      </w:pPr>
      <w:rPr>
        <w:rFonts w:ascii="Arial" w:eastAsia="Times New Roman" w:hAnsi="Arial" w:cs="Arial" w:hint="default"/>
        <w:spacing w:val="-2"/>
        <w:w w:val="100"/>
        <w:sz w:val="20"/>
        <w:szCs w:val="20"/>
      </w:rPr>
    </w:lvl>
    <w:lvl w:ilvl="1" w:tplc="D408EF04">
      <w:numFmt w:val="bullet"/>
      <w:lvlText w:val="•"/>
      <w:lvlJc w:val="left"/>
      <w:pPr>
        <w:ind w:left="2364" w:hanging="720"/>
      </w:pPr>
      <w:rPr>
        <w:rFonts w:hint="default"/>
      </w:rPr>
    </w:lvl>
    <w:lvl w:ilvl="2" w:tplc="FB0221D4">
      <w:numFmt w:val="bullet"/>
      <w:lvlText w:val="•"/>
      <w:lvlJc w:val="left"/>
      <w:pPr>
        <w:ind w:left="3168" w:hanging="720"/>
      </w:pPr>
      <w:rPr>
        <w:rFonts w:hint="default"/>
      </w:rPr>
    </w:lvl>
    <w:lvl w:ilvl="3" w:tplc="280A5DAA">
      <w:numFmt w:val="bullet"/>
      <w:lvlText w:val="•"/>
      <w:lvlJc w:val="left"/>
      <w:pPr>
        <w:ind w:left="3972" w:hanging="720"/>
      </w:pPr>
      <w:rPr>
        <w:rFonts w:hint="default"/>
      </w:rPr>
    </w:lvl>
    <w:lvl w:ilvl="4" w:tplc="BD141C88">
      <w:numFmt w:val="bullet"/>
      <w:lvlText w:val="•"/>
      <w:lvlJc w:val="left"/>
      <w:pPr>
        <w:ind w:left="4776" w:hanging="720"/>
      </w:pPr>
      <w:rPr>
        <w:rFonts w:hint="default"/>
      </w:rPr>
    </w:lvl>
    <w:lvl w:ilvl="5" w:tplc="02ACBC1E">
      <w:numFmt w:val="bullet"/>
      <w:lvlText w:val="•"/>
      <w:lvlJc w:val="left"/>
      <w:pPr>
        <w:ind w:left="5580" w:hanging="720"/>
      </w:pPr>
      <w:rPr>
        <w:rFonts w:hint="default"/>
      </w:rPr>
    </w:lvl>
    <w:lvl w:ilvl="6" w:tplc="79263F20">
      <w:numFmt w:val="bullet"/>
      <w:lvlText w:val="•"/>
      <w:lvlJc w:val="left"/>
      <w:pPr>
        <w:ind w:left="6384" w:hanging="720"/>
      </w:pPr>
      <w:rPr>
        <w:rFonts w:hint="default"/>
      </w:rPr>
    </w:lvl>
    <w:lvl w:ilvl="7" w:tplc="272C3E82">
      <w:numFmt w:val="bullet"/>
      <w:lvlText w:val="•"/>
      <w:lvlJc w:val="left"/>
      <w:pPr>
        <w:ind w:left="7188" w:hanging="720"/>
      </w:pPr>
      <w:rPr>
        <w:rFonts w:hint="default"/>
      </w:rPr>
    </w:lvl>
    <w:lvl w:ilvl="8" w:tplc="8AA20242">
      <w:numFmt w:val="bullet"/>
      <w:lvlText w:val="•"/>
      <w:lvlJc w:val="left"/>
      <w:pPr>
        <w:ind w:left="7992" w:hanging="720"/>
      </w:pPr>
      <w:rPr>
        <w:rFonts w:hint="default"/>
      </w:r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7"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16C1881"/>
    <w:multiLevelType w:val="hybridMultilevel"/>
    <w:tmpl w:val="66A0637E"/>
    <w:lvl w:ilvl="0" w:tplc="6A9076CE">
      <w:numFmt w:val="bullet"/>
      <w:lvlText w:val=""/>
      <w:lvlJc w:val="left"/>
      <w:pPr>
        <w:ind w:left="1560" w:hanging="360"/>
      </w:pPr>
      <w:rPr>
        <w:rFonts w:ascii="Symbol" w:eastAsia="Symbol" w:hAnsi="Symbol" w:cs="Symbol" w:hint="default"/>
        <w:w w:val="100"/>
        <w:sz w:val="24"/>
        <w:szCs w:val="24"/>
      </w:rPr>
    </w:lvl>
    <w:lvl w:ilvl="1" w:tplc="3FE6ADE0">
      <w:numFmt w:val="bullet"/>
      <w:lvlText w:val="•"/>
      <w:lvlJc w:val="left"/>
      <w:pPr>
        <w:ind w:left="2364" w:hanging="360"/>
      </w:pPr>
      <w:rPr>
        <w:rFonts w:hint="default"/>
      </w:rPr>
    </w:lvl>
    <w:lvl w:ilvl="2" w:tplc="17706A3A">
      <w:numFmt w:val="bullet"/>
      <w:lvlText w:val="•"/>
      <w:lvlJc w:val="left"/>
      <w:pPr>
        <w:ind w:left="3168" w:hanging="360"/>
      </w:pPr>
      <w:rPr>
        <w:rFonts w:hint="default"/>
      </w:rPr>
    </w:lvl>
    <w:lvl w:ilvl="3" w:tplc="9A10EF40">
      <w:numFmt w:val="bullet"/>
      <w:lvlText w:val="•"/>
      <w:lvlJc w:val="left"/>
      <w:pPr>
        <w:ind w:left="3972" w:hanging="360"/>
      </w:pPr>
      <w:rPr>
        <w:rFonts w:hint="default"/>
      </w:rPr>
    </w:lvl>
    <w:lvl w:ilvl="4" w:tplc="EE8E7468">
      <w:numFmt w:val="bullet"/>
      <w:lvlText w:val="•"/>
      <w:lvlJc w:val="left"/>
      <w:pPr>
        <w:ind w:left="4776" w:hanging="360"/>
      </w:pPr>
      <w:rPr>
        <w:rFonts w:hint="default"/>
      </w:rPr>
    </w:lvl>
    <w:lvl w:ilvl="5" w:tplc="468CD1F4">
      <w:numFmt w:val="bullet"/>
      <w:lvlText w:val="•"/>
      <w:lvlJc w:val="left"/>
      <w:pPr>
        <w:ind w:left="5580" w:hanging="360"/>
      </w:pPr>
      <w:rPr>
        <w:rFonts w:hint="default"/>
      </w:rPr>
    </w:lvl>
    <w:lvl w:ilvl="6" w:tplc="006EFA44">
      <w:numFmt w:val="bullet"/>
      <w:lvlText w:val="•"/>
      <w:lvlJc w:val="left"/>
      <w:pPr>
        <w:ind w:left="6384" w:hanging="360"/>
      </w:pPr>
      <w:rPr>
        <w:rFonts w:hint="default"/>
      </w:rPr>
    </w:lvl>
    <w:lvl w:ilvl="7" w:tplc="A1CA4378">
      <w:numFmt w:val="bullet"/>
      <w:lvlText w:val="•"/>
      <w:lvlJc w:val="left"/>
      <w:pPr>
        <w:ind w:left="7188" w:hanging="360"/>
      </w:pPr>
      <w:rPr>
        <w:rFonts w:hint="default"/>
      </w:rPr>
    </w:lvl>
    <w:lvl w:ilvl="8" w:tplc="B37415FE">
      <w:numFmt w:val="bullet"/>
      <w:lvlText w:val="•"/>
      <w:lvlJc w:val="left"/>
      <w:pPr>
        <w:ind w:left="7992" w:hanging="360"/>
      </w:pPr>
      <w:rPr>
        <w:rFonts w:hint="default"/>
      </w:rPr>
    </w:lvl>
  </w:abstractNum>
  <w:abstractNum w:abstractNumId="11" w15:restartNumberingAfterBreak="0">
    <w:nsid w:val="118854DA"/>
    <w:multiLevelType w:val="hybridMultilevel"/>
    <w:tmpl w:val="D95E7FB8"/>
    <w:lvl w:ilvl="0" w:tplc="FFFFFFFF">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D53F1E"/>
    <w:multiLevelType w:val="hybridMultilevel"/>
    <w:tmpl w:val="65B2D084"/>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6"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63485C"/>
    <w:multiLevelType w:val="hybridMultilevel"/>
    <w:tmpl w:val="65B2D084"/>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9542C3"/>
    <w:multiLevelType w:val="hybridMultilevel"/>
    <w:tmpl w:val="0236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495540"/>
    <w:multiLevelType w:val="hybridMultilevel"/>
    <w:tmpl w:val="65B2D084"/>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F5059C"/>
    <w:multiLevelType w:val="hybridMultilevel"/>
    <w:tmpl w:val="D7B0258E"/>
    <w:lvl w:ilvl="0" w:tplc="210E84A4">
      <w:start w:val="1"/>
      <w:numFmt w:val="decimal"/>
      <w:lvlText w:val="%1."/>
      <w:lvlJc w:val="left"/>
      <w:pPr>
        <w:ind w:left="2280" w:hanging="720"/>
        <w:jc w:val="left"/>
      </w:pPr>
      <w:rPr>
        <w:rFonts w:ascii="Arial" w:eastAsia="Times New Roman" w:hAnsi="Arial" w:cs="Arial" w:hint="default"/>
        <w:spacing w:val="-11"/>
        <w:w w:val="100"/>
        <w:sz w:val="20"/>
        <w:szCs w:val="20"/>
      </w:rPr>
    </w:lvl>
    <w:lvl w:ilvl="1" w:tplc="4936F974">
      <w:numFmt w:val="bullet"/>
      <w:lvlText w:val="•"/>
      <w:lvlJc w:val="left"/>
      <w:pPr>
        <w:ind w:left="3012" w:hanging="720"/>
      </w:pPr>
      <w:rPr>
        <w:rFonts w:hint="default"/>
      </w:rPr>
    </w:lvl>
    <w:lvl w:ilvl="2" w:tplc="6A861BC4">
      <w:numFmt w:val="bullet"/>
      <w:lvlText w:val="•"/>
      <w:lvlJc w:val="left"/>
      <w:pPr>
        <w:ind w:left="3744" w:hanging="720"/>
      </w:pPr>
      <w:rPr>
        <w:rFonts w:hint="default"/>
      </w:rPr>
    </w:lvl>
    <w:lvl w:ilvl="3" w:tplc="B6F69FFE">
      <w:numFmt w:val="bullet"/>
      <w:lvlText w:val="•"/>
      <w:lvlJc w:val="left"/>
      <w:pPr>
        <w:ind w:left="4476" w:hanging="720"/>
      </w:pPr>
      <w:rPr>
        <w:rFonts w:hint="default"/>
      </w:rPr>
    </w:lvl>
    <w:lvl w:ilvl="4" w:tplc="670CC1D6">
      <w:numFmt w:val="bullet"/>
      <w:lvlText w:val="•"/>
      <w:lvlJc w:val="left"/>
      <w:pPr>
        <w:ind w:left="5208" w:hanging="720"/>
      </w:pPr>
      <w:rPr>
        <w:rFonts w:hint="default"/>
      </w:rPr>
    </w:lvl>
    <w:lvl w:ilvl="5" w:tplc="AA563F16">
      <w:numFmt w:val="bullet"/>
      <w:lvlText w:val="•"/>
      <w:lvlJc w:val="left"/>
      <w:pPr>
        <w:ind w:left="5940" w:hanging="720"/>
      </w:pPr>
      <w:rPr>
        <w:rFonts w:hint="default"/>
      </w:rPr>
    </w:lvl>
    <w:lvl w:ilvl="6" w:tplc="797AC980">
      <w:numFmt w:val="bullet"/>
      <w:lvlText w:val="•"/>
      <w:lvlJc w:val="left"/>
      <w:pPr>
        <w:ind w:left="6672" w:hanging="720"/>
      </w:pPr>
      <w:rPr>
        <w:rFonts w:hint="default"/>
      </w:rPr>
    </w:lvl>
    <w:lvl w:ilvl="7" w:tplc="B0EAA994">
      <w:numFmt w:val="bullet"/>
      <w:lvlText w:val="•"/>
      <w:lvlJc w:val="left"/>
      <w:pPr>
        <w:ind w:left="7404" w:hanging="720"/>
      </w:pPr>
      <w:rPr>
        <w:rFonts w:hint="default"/>
      </w:rPr>
    </w:lvl>
    <w:lvl w:ilvl="8" w:tplc="2AE0263A">
      <w:numFmt w:val="bullet"/>
      <w:lvlText w:val="•"/>
      <w:lvlJc w:val="left"/>
      <w:pPr>
        <w:ind w:left="8136" w:hanging="720"/>
      </w:pPr>
      <w:rPr>
        <w:rFonts w:hint="default"/>
      </w:rPr>
    </w:lvl>
  </w:abstractNum>
  <w:abstractNum w:abstractNumId="23"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0" w15:restartNumberingAfterBreak="0">
    <w:nsid w:val="2DF424CC"/>
    <w:multiLevelType w:val="hybridMultilevel"/>
    <w:tmpl w:val="62608AAE"/>
    <w:lvl w:ilvl="0" w:tplc="60981880">
      <w:start w:val="14"/>
      <w:numFmt w:val="upperLetter"/>
      <w:lvlText w:val="%1."/>
      <w:lvlJc w:val="left"/>
      <w:pPr>
        <w:ind w:left="840" w:hanging="720"/>
        <w:jc w:val="left"/>
      </w:pPr>
      <w:rPr>
        <w:rFonts w:ascii="Times New Roman" w:eastAsia="Times New Roman" w:hAnsi="Times New Roman" w:cs="Times New Roman" w:hint="default"/>
        <w:b/>
        <w:bCs/>
        <w:spacing w:val="-1"/>
        <w:w w:val="100"/>
        <w:sz w:val="24"/>
        <w:szCs w:val="24"/>
      </w:rPr>
    </w:lvl>
    <w:lvl w:ilvl="1" w:tplc="B484C722">
      <w:start w:val="1"/>
      <w:numFmt w:val="decimal"/>
      <w:lvlText w:val="%2."/>
      <w:lvlJc w:val="left"/>
      <w:pPr>
        <w:ind w:left="1080" w:hanging="240"/>
        <w:jc w:val="left"/>
      </w:pPr>
      <w:rPr>
        <w:rFonts w:ascii="Arial" w:eastAsia="Times New Roman" w:hAnsi="Arial" w:cs="Arial" w:hint="default"/>
        <w:b w:val="0"/>
        <w:bCs w:val="0"/>
        <w:spacing w:val="-2"/>
        <w:w w:val="100"/>
        <w:sz w:val="20"/>
        <w:szCs w:val="20"/>
      </w:rPr>
    </w:lvl>
    <w:lvl w:ilvl="2" w:tplc="04EE6B80">
      <w:numFmt w:val="bullet"/>
      <w:lvlText w:val=""/>
      <w:lvlJc w:val="left"/>
      <w:pPr>
        <w:ind w:left="1920" w:hanging="360"/>
      </w:pPr>
      <w:rPr>
        <w:rFonts w:ascii="Symbol" w:eastAsia="Symbol" w:hAnsi="Symbol" w:cs="Symbol" w:hint="default"/>
        <w:w w:val="100"/>
        <w:sz w:val="24"/>
        <w:szCs w:val="24"/>
      </w:rPr>
    </w:lvl>
    <w:lvl w:ilvl="3" w:tplc="970637A4">
      <w:numFmt w:val="bullet"/>
      <w:lvlText w:val="•"/>
      <w:lvlJc w:val="left"/>
      <w:pPr>
        <w:ind w:left="2880" w:hanging="360"/>
      </w:pPr>
      <w:rPr>
        <w:rFonts w:hint="default"/>
      </w:rPr>
    </w:lvl>
    <w:lvl w:ilvl="4" w:tplc="041E4A7A">
      <w:numFmt w:val="bullet"/>
      <w:lvlText w:val="•"/>
      <w:lvlJc w:val="left"/>
      <w:pPr>
        <w:ind w:left="3840" w:hanging="360"/>
      </w:pPr>
      <w:rPr>
        <w:rFonts w:hint="default"/>
      </w:rPr>
    </w:lvl>
    <w:lvl w:ilvl="5" w:tplc="7F52DE8E">
      <w:numFmt w:val="bullet"/>
      <w:lvlText w:val="•"/>
      <w:lvlJc w:val="left"/>
      <w:pPr>
        <w:ind w:left="4800" w:hanging="360"/>
      </w:pPr>
      <w:rPr>
        <w:rFonts w:hint="default"/>
      </w:rPr>
    </w:lvl>
    <w:lvl w:ilvl="6" w:tplc="90EE7216">
      <w:numFmt w:val="bullet"/>
      <w:lvlText w:val="•"/>
      <w:lvlJc w:val="left"/>
      <w:pPr>
        <w:ind w:left="5760" w:hanging="360"/>
      </w:pPr>
      <w:rPr>
        <w:rFonts w:hint="default"/>
      </w:rPr>
    </w:lvl>
    <w:lvl w:ilvl="7" w:tplc="293437BA">
      <w:numFmt w:val="bullet"/>
      <w:lvlText w:val="•"/>
      <w:lvlJc w:val="left"/>
      <w:pPr>
        <w:ind w:left="6720" w:hanging="360"/>
      </w:pPr>
      <w:rPr>
        <w:rFonts w:hint="default"/>
      </w:rPr>
    </w:lvl>
    <w:lvl w:ilvl="8" w:tplc="306AD810">
      <w:numFmt w:val="bullet"/>
      <w:lvlText w:val="•"/>
      <w:lvlJc w:val="left"/>
      <w:pPr>
        <w:ind w:left="7680" w:hanging="360"/>
      </w:pPr>
      <w:rPr>
        <w:rFonts w:hint="default"/>
      </w:rPr>
    </w:lvl>
  </w:abstractNum>
  <w:abstractNum w:abstractNumId="31"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4FC787B"/>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6807C18"/>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A0D3268"/>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3E2C63EE"/>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1" w15:restartNumberingAfterBreak="0">
    <w:nsid w:val="406237A4"/>
    <w:multiLevelType w:val="hybridMultilevel"/>
    <w:tmpl w:val="0BE0EFAC"/>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A46E19"/>
    <w:multiLevelType w:val="hybridMultilevel"/>
    <w:tmpl w:val="CD68874E"/>
    <w:lvl w:ilvl="0" w:tplc="CDDADBA2">
      <w:start w:val="1"/>
      <w:numFmt w:val="bullet"/>
      <w:lvlText w:val=""/>
      <w:lvlJc w:val="left"/>
      <w:pPr>
        <w:ind w:left="840" w:hanging="720"/>
      </w:pPr>
      <w:rPr>
        <w:rFonts w:ascii="Symbol" w:hAnsi="Symbol" w:hint="default"/>
        <w:w w:val="100"/>
      </w:rPr>
    </w:lvl>
    <w:lvl w:ilvl="1" w:tplc="2DA0D178">
      <w:numFmt w:val="bullet"/>
      <w:lvlText w:val="•"/>
      <w:lvlJc w:val="left"/>
      <w:pPr>
        <w:ind w:left="1716" w:hanging="720"/>
      </w:pPr>
      <w:rPr>
        <w:rFonts w:hint="default"/>
      </w:rPr>
    </w:lvl>
    <w:lvl w:ilvl="2" w:tplc="6D0CDA7C">
      <w:numFmt w:val="bullet"/>
      <w:lvlText w:val="•"/>
      <w:lvlJc w:val="left"/>
      <w:pPr>
        <w:ind w:left="2592" w:hanging="720"/>
      </w:pPr>
      <w:rPr>
        <w:rFonts w:hint="default"/>
      </w:rPr>
    </w:lvl>
    <w:lvl w:ilvl="3" w:tplc="4EB292D6">
      <w:numFmt w:val="bullet"/>
      <w:lvlText w:val="•"/>
      <w:lvlJc w:val="left"/>
      <w:pPr>
        <w:ind w:left="3468" w:hanging="720"/>
      </w:pPr>
      <w:rPr>
        <w:rFonts w:hint="default"/>
      </w:rPr>
    </w:lvl>
    <w:lvl w:ilvl="4" w:tplc="B382FE94">
      <w:numFmt w:val="bullet"/>
      <w:lvlText w:val="•"/>
      <w:lvlJc w:val="left"/>
      <w:pPr>
        <w:ind w:left="4344" w:hanging="720"/>
      </w:pPr>
      <w:rPr>
        <w:rFonts w:hint="default"/>
      </w:rPr>
    </w:lvl>
    <w:lvl w:ilvl="5" w:tplc="1C2E51AA">
      <w:numFmt w:val="bullet"/>
      <w:lvlText w:val="•"/>
      <w:lvlJc w:val="left"/>
      <w:pPr>
        <w:ind w:left="5220" w:hanging="720"/>
      </w:pPr>
      <w:rPr>
        <w:rFonts w:hint="default"/>
      </w:rPr>
    </w:lvl>
    <w:lvl w:ilvl="6" w:tplc="41B4E95E">
      <w:numFmt w:val="bullet"/>
      <w:lvlText w:val="•"/>
      <w:lvlJc w:val="left"/>
      <w:pPr>
        <w:ind w:left="6096" w:hanging="720"/>
      </w:pPr>
      <w:rPr>
        <w:rFonts w:hint="default"/>
      </w:rPr>
    </w:lvl>
    <w:lvl w:ilvl="7" w:tplc="7AE64B6C">
      <w:numFmt w:val="bullet"/>
      <w:lvlText w:val="•"/>
      <w:lvlJc w:val="left"/>
      <w:pPr>
        <w:ind w:left="6972" w:hanging="720"/>
      </w:pPr>
      <w:rPr>
        <w:rFonts w:hint="default"/>
      </w:rPr>
    </w:lvl>
    <w:lvl w:ilvl="8" w:tplc="EEE45BE2">
      <w:numFmt w:val="bullet"/>
      <w:lvlText w:val="•"/>
      <w:lvlJc w:val="left"/>
      <w:pPr>
        <w:ind w:left="7848" w:hanging="720"/>
      </w:pPr>
      <w:rPr>
        <w:rFonts w:hint="default"/>
      </w:rPr>
    </w:lvl>
  </w:abstractNum>
  <w:abstractNum w:abstractNumId="43"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D678E5"/>
    <w:multiLevelType w:val="hybridMultilevel"/>
    <w:tmpl w:val="8B2A591E"/>
    <w:lvl w:ilvl="0" w:tplc="4E7E973E">
      <w:numFmt w:val="bullet"/>
      <w:lvlText w:val=""/>
      <w:lvlJc w:val="left"/>
      <w:pPr>
        <w:ind w:left="1560" w:hanging="720"/>
      </w:pPr>
      <w:rPr>
        <w:rFonts w:ascii="Symbol" w:eastAsia="Symbol" w:hAnsi="Symbol" w:cs="Symbol" w:hint="default"/>
        <w:w w:val="100"/>
        <w:sz w:val="24"/>
        <w:szCs w:val="24"/>
      </w:rPr>
    </w:lvl>
    <w:lvl w:ilvl="1" w:tplc="A8D201A8">
      <w:numFmt w:val="bullet"/>
      <w:lvlText w:val="o"/>
      <w:lvlJc w:val="left"/>
      <w:pPr>
        <w:ind w:left="2280" w:hanging="720"/>
      </w:pPr>
      <w:rPr>
        <w:rFonts w:ascii="Courier New" w:eastAsia="Courier New" w:hAnsi="Courier New" w:cs="Courier New" w:hint="default"/>
        <w:spacing w:val="-2"/>
        <w:w w:val="100"/>
        <w:sz w:val="24"/>
        <w:szCs w:val="24"/>
      </w:rPr>
    </w:lvl>
    <w:lvl w:ilvl="2" w:tplc="D228C8EC">
      <w:numFmt w:val="bullet"/>
      <w:lvlText w:val="•"/>
      <w:lvlJc w:val="left"/>
      <w:pPr>
        <w:ind w:left="2340" w:hanging="720"/>
      </w:pPr>
      <w:rPr>
        <w:rFonts w:hint="default"/>
      </w:rPr>
    </w:lvl>
    <w:lvl w:ilvl="3" w:tplc="BDE6A2C8">
      <w:numFmt w:val="bullet"/>
      <w:lvlText w:val="•"/>
      <w:lvlJc w:val="left"/>
      <w:pPr>
        <w:ind w:left="3247" w:hanging="720"/>
      </w:pPr>
      <w:rPr>
        <w:rFonts w:hint="default"/>
      </w:rPr>
    </w:lvl>
    <w:lvl w:ilvl="4" w:tplc="449EE780">
      <w:numFmt w:val="bullet"/>
      <w:lvlText w:val="•"/>
      <w:lvlJc w:val="left"/>
      <w:pPr>
        <w:ind w:left="4155" w:hanging="720"/>
      </w:pPr>
      <w:rPr>
        <w:rFonts w:hint="default"/>
      </w:rPr>
    </w:lvl>
    <w:lvl w:ilvl="5" w:tplc="AE80E07C">
      <w:numFmt w:val="bullet"/>
      <w:lvlText w:val="•"/>
      <w:lvlJc w:val="left"/>
      <w:pPr>
        <w:ind w:left="5062" w:hanging="720"/>
      </w:pPr>
      <w:rPr>
        <w:rFonts w:hint="default"/>
      </w:rPr>
    </w:lvl>
    <w:lvl w:ilvl="6" w:tplc="81866C2E">
      <w:numFmt w:val="bullet"/>
      <w:lvlText w:val="•"/>
      <w:lvlJc w:val="left"/>
      <w:pPr>
        <w:ind w:left="5970" w:hanging="720"/>
      </w:pPr>
      <w:rPr>
        <w:rFonts w:hint="default"/>
      </w:rPr>
    </w:lvl>
    <w:lvl w:ilvl="7" w:tplc="BDFCFEEC">
      <w:numFmt w:val="bullet"/>
      <w:lvlText w:val="•"/>
      <w:lvlJc w:val="left"/>
      <w:pPr>
        <w:ind w:left="6877" w:hanging="720"/>
      </w:pPr>
      <w:rPr>
        <w:rFonts w:hint="default"/>
      </w:rPr>
    </w:lvl>
    <w:lvl w:ilvl="8" w:tplc="59CA0A50">
      <w:numFmt w:val="bullet"/>
      <w:lvlText w:val="•"/>
      <w:lvlJc w:val="left"/>
      <w:pPr>
        <w:ind w:left="7785" w:hanging="720"/>
      </w:pPr>
      <w:rPr>
        <w:rFonts w:hint="default"/>
      </w:rPr>
    </w:lvl>
  </w:abstractNum>
  <w:abstractNum w:abstractNumId="45"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6B1AB0"/>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3" w15:restartNumberingAfterBreak="0">
    <w:nsid w:val="54F75071"/>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17721A"/>
    <w:multiLevelType w:val="hybridMultilevel"/>
    <w:tmpl w:val="1ED6496C"/>
    <w:lvl w:ilvl="0" w:tplc="CDDADBA2">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F67420E"/>
    <w:multiLevelType w:val="hybridMultilevel"/>
    <w:tmpl w:val="9AFC2D1A"/>
    <w:lvl w:ilvl="0" w:tplc="1A58EE4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0D05D06"/>
    <w:multiLevelType w:val="hybridMultilevel"/>
    <w:tmpl w:val="FA3EC2AA"/>
    <w:lvl w:ilvl="0" w:tplc="E7F89D30">
      <w:start w:val="1"/>
      <w:numFmt w:val="lowerLetter"/>
      <w:lvlText w:val="%1."/>
      <w:lvlJc w:val="left"/>
      <w:pPr>
        <w:ind w:left="1560" w:hanging="720"/>
        <w:jc w:val="left"/>
      </w:pPr>
      <w:rPr>
        <w:rFonts w:ascii="Arial" w:eastAsia="Times New Roman" w:hAnsi="Arial" w:cs="Arial" w:hint="default"/>
        <w:spacing w:val="-2"/>
        <w:w w:val="100"/>
        <w:sz w:val="20"/>
        <w:szCs w:val="20"/>
      </w:rPr>
    </w:lvl>
    <w:lvl w:ilvl="1" w:tplc="8BB2CE30">
      <w:start w:val="1"/>
      <w:numFmt w:val="decimal"/>
      <w:lvlText w:val="(%2)"/>
      <w:lvlJc w:val="left"/>
      <w:pPr>
        <w:ind w:left="2280" w:hanging="720"/>
        <w:jc w:val="left"/>
      </w:pPr>
      <w:rPr>
        <w:rFonts w:ascii="Arial" w:eastAsia="Times New Roman" w:hAnsi="Arial" w:cs="Arial" w:hint="default"/>
        <w:color w:val="030913"/>
        <w:spacing w:val="-2"/>
        <w:w w:val="100"/>
        <w:sz w:val="20"/>
        <w:szCs w:val="20"/>
      </w:rPr>
    </w:lvl>
    <w:lvl w:ilvl="2" w:tplc="FD8A4E9A">
      <w:numFmt w:val="bullet"/>
      <w:lvlText w:val="•"/>
      <w:lvlJc w:val="left"/>
      <w:pPr>
        <w:ind w:left="3093" w:hanging="720"/>
      </w:pPr>
      <w:rPr>
        <w:rFonts w:hint="default"/>
      </w:rPr>
    </w:lvl>
    <w:lvl w:ilvl="3" w:tplc="D2EAEE1C">
      <w:numFmt w:val="bullet"/>
      <w:lvlText w:val="•"/>
      <w:lvlJc w:val="left"/>
      <w:pPr>
        <w:ind w:left="3906" w:hanging="720"/>
      </w:pPr>
      <w:rPr>
        <w:rFonts w:hint="default"/>
      </w:rPr>
    </w:lvl>
    <w:lvl w:ilvl="4" w:tplc="565806EC">
      <w:numFmt w:val="bullet"/>
      <w:lvlText w:val="•"/>
      <w:lvlJc w:val="left"/>
      <w:pPr>
        <w:ind w:left="4720" w:hanging="720"/>
      </w:pPr>
      <w:rPr>
        <w:rFonts w:hint="default"/>
      </w:rPr>
    </w:lvl>
    <w:lvl w:ilvl="5" w:tplc="DA2EB044">
      <w:numFmt w:val="bullet"/>
      <w:lvlText w:val="•"/>
      <w:lvlJc w:val="left"/>
      <w:pPr>
        <w:ind w:left="5533" w:hanging="720"/>
      </w:pPr>
      <w:rPr>
        <w:rFonts w:hint="default"/>
      </w:rPr>
    </w:lvl>
    <w:lvl w:ilvl="6" w:tplc="A74A3BAA">
      <w:numFmt w:val="bullet"/>
      <w:lvlText w:val="•"/>
      <w:lvlJc w:val="left"/>
      <w:pPr>
        <w:ind w:left="6346" w:hanging="720"/>
      </w:pPr>
      <w:rPr>
        <w:rFonts w:hint="default"/>
      </w:rPr>
    </w:lvl>
    <w:lvl w:ilvl="7" w:tplc="3C840560">
      <w:numFmt w:val="bullet"/>
      <w:lvlText w:val="•"/>
      <w:lvlJc w:val="left"/>
      <w:pPr>
        <w:ind w:left="7160" w:hanging="720"/>
      </w:pPr>
      <w:rPr>
        <w:rFonts w:hint="default"/>
      </w:rPr>
    </w:lvl>
    <w:lvl w:ilvl="8" w:tplc="9BDA7410">
      <w:numFmt w:val="bullet"/>
      <w:lvlText w:val="•"/>
      <w:lvlJc w:val="left"/>
      <w:pPr>
        <w:ind w:left="7973" w:hanging="720"/>
      </w:pPr>
      <w:rPr>
        <w:rFonts w:hint="default"/>
      </w:rPr>
    </w:lvl>
  </w:abstractNum>
  <w:abstractNum w:abstractNumId="62"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6D3DC3"/>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71C328E"/>
    <w:multiLevelType w:val="hybridMultilevel"/>
    <w:tmpl w:val="0958ED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1" w15:restartNumberingAfterBreak="0">
    <w:nsid w:val="782B6A97"/>
    <w:multiLevelType w:val="hybridMultilevel"/>
    <w:tmpl w:val="AD1EE0EE"/>
    <w:lvl w:ilvl="0" w:tplc="FFFFFFFF">
      <w:start w:val="2"/>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3" w15:restartNumberingAfterBreak="0">
    <w:nsid w:val="7C603CF3"/>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D2721F4"/>
    <w:multiLevelType w:val="hybridMultilevel"/>
    <w:tmpl w:val="AD1EE0EE"/>
    <w:lvl w:ilvl="0" w:tplc="304430EC">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BB0C4C"/>
    <w:multiLevelType w:val="hybridMultilevel"/>
    <w:tmpl w:val="65B2D084"/>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0"/>
  </w:num>
  <w:num w:numId="3" w16cid:durableId="845168209">
    <w:abstractNumId w:val="26"/>
  </w:num>
  <w:num w:numId="4" w16cid:durableId="495266702">
    <w:abstractNumId w:val="37"/>
  </w:num>
  <w:num w:numId="5" w16cid:durableId="1496074526">
    <w:abstractNumId w:val="64"/>
  </w:num>
  <w:num w:numId="6" w16cid:durableId="1894850701">
    <w:abstractNumId w:val="34"/>
  </w:num>
  <w:num w:numId="7" w16cid:durableId="1851287688">
    <w:abstractNumId w:val="75"/>
  </w:num>
  <w:num w:numId="8" w16cid:durableId="169563015">
    <w:abstractNumId w:val="60"/>
  </w:num>
  <w:num w:numId="9" w16cid:durableId="829565744">
    <w:abstractNumId w:val="23"/>
  </w:num>
  <w:num w:numId="10" w16cid:durableId="1649020827">
    <w:abstractNumId w:val="5"/>
  </w:num>
  <w:num w:numId="11" w16cid:durableId="812450053">
    <w:abstractNumId w:val="70"/>
  </w:num>
  <w:num w:numId="12" w16cid:durableId="208225967">
    <w:abstractNumId w:val="51"/>
  </w:num>
  <w:num w:numId="13" w16cid:durableId="1348169212">
    <w:abstractNumId w:val="45"/>
  </w:num>
  <w:num w:numId="14" w16cid:durableId="1337074581">
    <w:abstractNumId w:val="69"/>
  </w:num>
  <w:num w:numId="15" w16cid:durableId="1151486989">
    <w:abstractNumId w:val="24"/>
  </w:num>
  <w:num w:numId="16" w16cid:durableId="1372924585">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52"/>
  </w:num>
  <w:num w:numId="19" w16cid:durableId="1726903200">
    <w:abstractNumId w:val="16"/>
  </w:num>
  <w:num w:numId="20" w16cid:durableId="884410781">
    <w:abstractNumId w:val="8"/>
  </w:num>
  <w:num w:numId="21" w16cid:durableId="810370577">
    <w:abstractNumId w:val="48"/>
  </w:num>
  <w:num w:numId="22" w16cid:durableId="1178009640">
    <w:abstractNumId w:val="4"/>
  </w:num>
  <w:num w:numId="23" w16cid:durableId="1151754974">
    <w:abstractNumId w:val="76"/>
  </w:num>
  <w:num w:numId="24" w16cid:durableId="554588920">
    <w:abstractNumId w:val="65"/>
  </w:num>
  <w:num w:numId="25" w16cid:durableId="2056466201">
    <w:abstractNumId w:val="25"/>
  </w:num>
  <w:num w:numId="26" w16cid:durableId="81878645">
    <w:abstractNumId w:val="39"/>
  </w:num>
  <w:num w:numId="27" w16cid:durableId="754401759">
    <w:abstractNumId w:val="41"/>
  </w:num>
  <w:num w:numId="28" w16cid:durableId="697851989">
    <w:abstractNumId w:val="66"/>
  </w:num>
  <w:num w:numId="29" w16cid:durableId="368649401">
    <w:abstractNumId w:val="2"/>
  </w:num>
  <w:num w:numId="30" w16cid:durableId="1478910963">
    <w:abstractNumId w:val="67"/>
  </w:num>
  <w:num w:numId="31" w16cid:durableId="1939830332">
    <w:abstractNumId w:val="17"/>
  </w:num>
  <w:num w:numId="32" w16cid:durableId="516505364">
    <w:abstractNumId w:val="54"/>
  </w:num>
  <w:num w:numId="33" w16cid:durableId="1352143524">
    <w:abstractNumId w:val="29"/>
  </w:num>
  <w:num w:numId="34" w16cid:durableId="2034109230">
    <w:abstractNumId w:val="46"/>
  </w:num>
  <w:num w:numId="35" w16cid:durableId="752432378">
    <w:abstractNumId w:val="40"/>
  </w:num>
  <w:num w:numId="36" w16cid:durableId="1766726706">
    <w:abstractNumId w:val="15"/>
  </w:num>
  <w:num w:numId="37" w16cid:durableId="1123234674">
    <w:abstractNumId w:val="6"/>
  </w:num>
  <w:num w:numId="38" w16cid:durableId="1056511850">
    <w:abstractNumId w:val="62"/>
  </w:num>
  <w:num w:numId="39" w16cid:durableId="1317146710">
    <w:abstractNumId w:val="57"/>
  </w:num>
  <w:num w:numId="40" w16cid:durableId="1101756761">
    <w:abstractNumId w:val="49"/>
  </w:num>
  <w:num w:numId="41" w16cid:durableId="1244534831">
    <w:abstractNumId w:val="55"/>
  </w:num>
  <w:num w:numId="42" w16cid:durableId="120655483">
    <w:abstractNumId w:val="28"/>
  </w:num>
  <w:num w:numId="43" w16cid:durableId="894855469">
    <w:abstractNumId w:val="20"/>
  </w:num>
  <w:num w:numId="44" w16cid:durableId="667756309">
    <w:abstractNumId w:val="7"/>
  </w:num>
  <w:num w:numId="45" w16cid:durableId="142236087">
    <w:abstractNumId w:val="36"/>
  </w:num>
  <w:num w:numId="46" w16cid:durableId="2005356031">
    <w:abstractNumId w:val="12"/>
  </w:num>
  <w:num w:numId="47" w16cid:durableId="196281328">
    <w:abstractNumId w:val="58"/>
  </w:num>
  <w:num w:numId="48" w16cid:durableId="2066832860">
    <w:abstractNumId w:val="3"/>
  </w:num>
  <w:num w:numId="49" w16cid:durableId="870455721">
    <w:abstractNumId w:val="27"/>
  </w:num>
  <w:num w:numId="50" w16cid:durableId="633680411">
    <w:abstractNumId w:val="63"/>
  </w:num>
  <w:num w:numId="51" w16cid:durableId="1902322810">
    <w:abstractNumId w:val="14"/>
  </w:num>
  <w:num w:numId="52" w16cid:durableId="1314218672">
    <w:abstractNumId w:val="43"/>
  </w:num>
  <w:num w:numId="53" w16cid:durableId="1163159298">
    <w:abstractNumId w:val="31"/>
  </w:num>
  <w:num w:numId="54" w16cid:durableId="1869833583">
    <w:abstractNumId w:val="42"/>
  </w:num>
  <w:num w:numId="55" w16cid:durableId="325520670">
    <w:abstractNumId w:val="56"/>
  </w:num>
  <w:num w:numId="56" w16cid:durableId="125509029">
    <w:abstractNumId w:val="22"/>
  </w:num>
  <w:num w:numId="57" w16cid:durableId="33510507">
    <w:abstractNumId w:val="30"/>
  </w:num>
  <w:num w:numId="58" w16cid:durableId="196041799">
    <w:abstractNumId w:val="10"/>
  </w:num>
  <w:num w:numId="59" w16cid:durableId="1073358978">
    <w:abstractNumId w:val="44"/>
  </w:num>
  <w:num w:numId="60" w16cid:durableId="718167826">
    <w:abstractNumId w:val="74"/>
  </w:num>
  <w:num w:numId="61" w16cid:durableId="1655908699">
    <w:abstractNumId w:val="71"/>
  </w:num>
  <w:num w:numId="62" w16cid:durableId="1559585361">
    <w:abstractNumId w:val="11"/>
  </w:num>
  <w:num w:numId="63" w16cid:durableId="186674446">
    <w:abstractNumId w:val="35"/>
  </w:num>
  <w:num w:numId="64" w16cid:durableId="587616751">
    <w:abstractNumId w:val="1"/>
  </w:num>
  <w:num w:numId="65" w16cid:durableId="1723212827">
    <w:abstractNumId w:val="32"/>
  </w:num>
  <w:num w:numId="66" w16cid:durableId="1728381225">
    <w:abstractNumId w:val="38"/>
  </w:num>
  <w:num w:numId="67" w16cid:durableId="448815028">
    <w:abstractNumId w:val="13"/>
  </w:num>
  <w:num w:numId="68" w16cid:durableId="136067840">
    <w:abstractNumId w:val="19"/>
  </w:num>
  <w:num w:numId="69" w16cid:durableId="22173417">
    <w:abstractNumId w:val="47"/>
  </w:num>
  <w:num w:numId="70" w16cid:durableId="1707558137">
    <w:abstractNumId w:val="61"/>
  </w:num>
  <w:num w:numId="71" w16cid:durableId="1657565743">
    <w:abstractNumId w:val="77"/>
  </w:num>
  <w:num w:numId="72" w16cid:durableId="2125806121">
    <w:abstractNumId w:val="73"/>
  </w:num>
  <w:num w:numId="73" w16cid:durableId="711538210">
    <w:abstractNumId w:val="18"/>
  </w:num>
  <w:num w:numId="74" w16cid:durableId="1758166179">
    <w:abstractNumId w:val="33"/>
  </w:num>
  <w:num w:numId="75" w16cid:durableId="839002425">
    <w:abstractNumId w:val="21"/>
  </w:num>
  <w:num w:numId="76" w16cid:durableId="734666046">
    <w:abstractNumId w:val="68"/>
  </w:num>
  <w:num w:numId="77" w16cid:durableId="1382826430">
    <w:abstractNumId w:val="59"/>
  </w:num>
  <w:num w:numId="78" w16cid:durableId="1476097665">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2EFF"/>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6C0E"/>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939"/>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A7D42"/>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2A3F"/>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311"/>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4D4C"/>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0F71"/>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86D"/>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6BD9"/>
    <w:rsid w:val="00407BF2"/>
    <w:rsid w:val="00410BD2"/>
    <w:rsid w:val="00411718"/>
    <w:rsid w:val="00411A44"/>
    <w:rsid w:val="004120E4"/>
    <w:rsid w:val="004122BA"/>
    <w:rsid w:val="0041330A"/>
    <w:rsid w:val="00413584"/>
    <w:rsid w:val="004149C0"/>
    <w:rsid w:val="00414F25"/>
    <w:rsid w:val="0041596D"/>
    <w:rsid w:val="00415D28"/>
    <w:rsid w:val="004171E2"/>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27F"/>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3220"/>
    <w:rsid w:val="0048465B"/>
    <w:rsid w:val="00484A1E"/>
    <w:rsid w:val="00485C24"/>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6745"/>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6910"/>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83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5E69"/>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8F9"/>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19D6"/>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1E04"/>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47D1"/>
    <w:rsid w:val="007F6210"/>
    <w:rsid w:val="007F6D03"/>
    <w:rsid w:val="00800A74"/>
    <w:rsid w:val="00801448"/>
    <w:rsid w:val="0080147B"/>
    <w:rsid w:val="00801DF9"/>
    <w:rsid w:val="00801F64"/>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7D6"/>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0DC2"/>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629B"/>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238A"/>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1E1"/>
    <w:rsid w:val="00A01F61"/>
    <w:rsid w:val="00A022E3"/>
    <w:rsid w:val="00A027A7"/>
    <w:rsid w:val="00A03300"/>
    <w:rsid w:val="00A039C8"/>
    <w:rsid w:val="00A0464C"/>
    <w:rsid w:val="00A049D0"/>
    <w:rsid w:val="00A05433"/>
    <w:rsid w:val="00A05DDC"/>
    <w:rsid w:val="00A06B89"/>
    <w:rsid w:val="00A07549"/>
    <w:rsid w:val="00A078E8"/>
    <w:rsid w:val="00A0797E"/>
    <w:rsid w:val="00A07B59"/>
    <w:rsid w:val="00A114E9"/>
    <w:rsid w:val="00A118F8"/>
    <w:rsid w:val="00A11933"/>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60"/>
    <w:rsid w:val="00A36376"/>
    <w:rsid w:val="00A37346"/>
    <w:rsid w:val="00A37E5F"/>
    <w:rsid w:val="00A403CF"/>
    <w:rsid w:val="00A413C5"/>
    <w:rsid w:val="00A41405"/>
    <w:rsid w:val="00A41ED1"/>
    <w:rsid w:val="00A42078"/>
    <w:rsid w:val="00A427EB"/>
    <w:rsid w:val="00A435C9"/>
    <w:rsid w:val="00A43BF7"/>
    <w:rsid w:val="00A43ED8"/>
    <w:rsid w:val="00A44256"/>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2C"/>
    <w:rsid w:val="00A70E9E"/>
    <w:rsid w:val="00A712B0"/>
    <w:rsid w:val="00A71AD9"/>
    <w:rsid w:val="00A73761"/>
    <w:rsid w:val="00A74866"/>
    <w:rsid w:val="00A75037"/>
    <w:rsid w:val="00A8162E"/>
    <w:rsid w:val="00A83C33"/>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671"/>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4B2"/>
    <w:rsid w:val="00B7169A"/>
    <w:rsid w:val="00B71D6E"/>
    <w:rsid w:val="00B71FD4"/>
    <w:rsid w:val="00B720F6"/>
    <w:rsid w:val="00B73254"/>
    <w:rsid w:val="00B74043"/>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10F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728"/>
    <w:rsid w:val="00C22F9B"/>
    <w:rsid w:val="00C23075"/>
    <w:rsid w:val="00C23B11"/>
    <w:rsid w:val="00C23B25"/>
    <w:rsid w:val="00C241AD"/>
    <w:rsid w:val="00C24C9F"/>
    <w:rsid w:val="00C25DBD"/>
    <w:rsid w:val="00C267FD"/>
    <w:rsid w:val="00C271DC"/>
    <w:rsid w:val="00C276F3"/>
    <w:rsid w:val="00C27716"/>
    <w:rsid w:val="00C3054B"/>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3DB0"/>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03D"/>
    <w:rsid w:val="00C803C6"/>
    <w:rsid w:val="00C814F1"/>
    <w:rsid w:val="00C81BC1"/>
    <w:rsid w:val="00C82297"/>
    <w:rsid w:val="00C838F8"/>
    <w:rsid w:val="00C84B86"/>
    <w:rsid w:val="00C84DF1"/>
    <w:rsid w:val="00C85170"/>
    <w:rsid w:val="00C86273"/>
    <w:rsid w:val="00C903D6"/>
    <w:rsid w:val="00C904ED"/>
    <w:rsid w:val="00C9050E"/>
    <w:rsid w:val="00C90AC5"/>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2EB7"/>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13E"/>
    <w:rsid w:val="00D50DE6"/>
    <w:rsid w:val="00D5234C"/>
    <w:rsid w:val="00D550D9"/>
    <w:rsid w:val="00D55140"/>
    <w:rsid w:val="00D5517C"/>
    <w:rsid w:val="00D55450"/>
    <w:rsid w:val="00D56AD8"/>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B40"/>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961"/>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412E"/>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439D"/>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1C8A"/>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4730"/>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117" Type="http://schemas.openxmlformats.org/officeDocument/2006/relationships/hyperlink" Target="SFACluster_AppendixB.pdf" TargetMode="External"/><Relationship Id="rId21" Type="http://schemas.openxmlformats.org/officeDocument/2006/relationships/hyperlink" Target="https://ohauditor.sharepoint.com/:f:/r/sites/Intranet/Shared%20Documents/Audit_Resources/Federal/Other%20Federal%20Resources?csf=1&amp;web=1&amp;e=RtVw5R" TargetMode="External"/><Relationship Id="rId42" Type="http://schemas.openxmlformats.org/officeDocument/2006/relationships/hyperlink" Target="http://www.ohioauditor.gov/references/practiceaids.html" TargetMode="External"/><Relationship Id="rId47" Type="http://schemas.openxmlformats.org/officeDocument/2006/relationships/hyperlink" Target="https://www.hhs.gov/about/agencies/asa/psc/accounting/payment-management/index.html" TargetMode="External"/><Relationship Id="rId63" Type="http://schemas.openxmlformats.org/officeDocument/2006/relationships/hyperlink" Target="https://ifap.ed.gov/dpcletters/GEN1314.html" TargetMode="External"/><Relationship Id="rId68" Type="http://schemas.openxmlformats.org/officeDocument/2006/relationships/hyperlink" Target="https://fsapartners.ed.gov/knowledge-center/fsa-handbook" TargetMode="External"/><Relationship Id="rId84" Type="http://schemas.openxmlformats.org/officeDocument/2006/relationships/hyperlink" Target="https://fsapartners.ed.gov/knowledge-center/library/electronic-announcements/2023-12-21/requirement-institutions-have-certain-calculations-related-institutional-and-program-eligibility-substantiated-independent-auditor" TargetMode="External"/><Relationship Id="rId89" Type="http://schemas.openxmlformats.org/officeDocument/2006/relationships/header" Target="header11.xml"/><Relationship Id="rId112" Type="http://schemas.openxmlformats.org/officeDocument/2006/relationships/hyperlink" Target="https://fsapartners.ed.gov/sites/default/files/attachments/dpcletters/GEN1105.pdf" TargetMode="External"/><Relationship Id="rId16" Type="http://schemas.openxmlformats.org/officeDocument/2006/relationships/hyperlink" Target="https://www.gao.gov/assets/gao-14-704g.pdf" TargetMode="External"/><Relationship Id="rId107" Type="http://schemas.openxmlformats.org/officeDocument/2006/relationships/hyperlink" Target="https://fsapartners.ed.gov/knowledge-center/library/resource-type/NSLDS%20User%20Resources?nslds_type=NSLDS%20User%20Documentation" TargetMode="External"/><Relationship Id="rId11" Type="http://schemas.openxmlformats.org/officeDocument/2006/relationships/hyperlink" Target="mailto:aosfederal@ohioauditor.gov" TargetMode="External"/><Relationship Id="rId32" Type="http://schemas.openxmlformats.org/officeDocument/2006/relationships/hyperlink" Target="https://www.ecfr.gov/current/title-34/part-668/section-668.14" TargetMode="External"/><Relationship Id="rId37" Type="http://schemas.openxmlformats.org/officeDocument/2006/relationships/hyperlink" Target="https://fsapartners.ed.gov/knowledge-center/library/federal-registers/2023-11-01/final-regulations-financial-responsibility-administrative-capability-certification-procedures-ability-benefit-atb" TargetMode="External"/><Relationship Id="rId53" Type="http://schemas.openxmlformats.org/officeDocument/2006/relationships/header" Target="header7.xml"/><Relationship Id="rId58" Type="http://schemas.openxmlformats.org/officeDocument/2006/relationships/hyperlink" Target="https://fsapartners.ed.gov/knowledge-center/library/handbooks-manuals-or-guides/2023-05-31/2024-25-fafsa-specifications-guide-july-2024-update-2" TargetMode="External"/><Relationship Id="rId74" Type="http://schemas.openxmlformats.org/officeDocument/2006/relationships/hyperlink" Target="https://fsapartners.ed.gov/knowledge-center/library/electronic-announcements/2024-07-30/update-batch-corrections-institutions-electronic-data-exchange-flexibilities-and-additional-support-2024-25-fafsa-cycle" TargetMode="External"/><Relationship Id="rId79" Type="http://schemas.openxmlformats.org/officeDocument/2006/relationships/hyperlink" Target="https://fsapartners.ed.gov/knowledge-center/library/resource-type/FISAP%20Form%20and%20Instructions" TargetMode="External"/><Relationship Id="rId102" Type="http://schemas.openxmlformats.org/officeDocument/2006/relationships/header" Target="header13.xml"/><Relationship Id="rId123" Type="http://schemas.openxmlformats.org/officeDocument/2006/relationships/hyperlink" Target="https://fsapartners.ed.gov/knowledge-center/library/electronic-announcements/2023-02-09/updates-gramm-leach-bliley-act-cybersecurity-requirements" TargetMode="External"/><Relationship Id="rId128" Type="http://schemas.openxmlformats.org/officeDocument/2006/relationships/hyperlink" Target="Agency_Adoption_of_the_UG_and_Example_Citations.pdf" TargetMode="External"/><Relationship Id="rId5" Type="http://schemas.openxmlformats.org/officeDocument/2006/relationships/numbering" Target="numbering.xml"/><Relationship Id="rId90" Type="http://schemas.openxmlformats.org/officeDocument/2006/relationships/hyperlink" Target="SFACluster_AppendixA.pdf" TargetMode="External"/><Relationship Id="rId95" Type="http://schemas.openxmlformats.org/officeDocument/2006/relationships/hyperlink" Target="https://fsapartners.ed.gov/knowledge-center/library/electronic-announcements/2017-06-16/cash-management-electronic-announcement-7-tier-one-and-tier-two-contract-data-reporting-format" TargetMode="External"/><Relationship Id="rId19" Type="http://schemas.openxmlformats.org/officeDocument/2006/relationships/footer" Target="footer1.xml"/><Relationship Id="rId14" Type="http://schemas.openxmlformats.org/officeDocument/2006/relationships/hyperlink" Target="OMB_Part_6.pdf" TargetMode="External"/><Relationship Id="rId22" Type="http://schemas.openxmlformats.org/officeDocument/2006/relationships/hyperlink" Target="Agency_Adoption_of_the_UG_and_Example_Citations.pdf" TargetMode="External"/><Relationship Id="rId27" Type="http://schemas.openxmlformats.org/officeDocument/2006/relationships/footer" Target="footer3.xml"/><Relationship Id="rId30" Type="http://schemas.openxmlformats.org/officeDocument/2006/relationships/hyperlink" Target="https://www.ecfr.gov/current/title-34/section-600.9" TargetMode="External"/><Relationship Id="rId35" Type="http://schemas.openxmlformats.org/officeDocument/2006/relationships/hyperlink" Target="https://fsapartners.ed.gov/knowledge-center" TargetMode="External"/><Relationship Id="rId43" Type="http://schemas.openxmlformats.org/officeDocument/2006/relationships/hyperlink" Target="31_CFR_Part_205.pdf" TargetMode="External"/><Relationship Id="rId48" Type="http://schemas.openxmlformats.org/officeDocument/2006/relationships/hyperlink" Target="https://www.fiscal.treasury.gov/ASAP/" TargetMode="External"/><Relationship Id="rId56" Type="http://schemas.openxmlformats.org/officeDocument/2006/relationships/hyperlink" Target="https://fsapartners.ed.gov/knowledge-center/library/handbooks-manuals-or-guides/2023-05-31/2024-25-fafsa-specifications-guide-july-2024-update-2" TargetMode="External"/><Relationship Id="rId64" Type="http://schemas.openxmlformats.org/officeDocument/2006/relationships/hyperlink" Target="https://fsapartners.ed.gov/knowledge-center/library/dear-colleague-letters/2013-05-16/gen-13-14-subject-federal-pell-grant-duration-eligibility-and-lifetime-eligibility-used" TargetMode="External"/><Relationship Id="rId69" Type="http://schemas.openxmlformats.org/officeDocument/2006/relationships/hyperlink" Target="Agency_Adoption_of_the_UG_and_Example_Citations.pdf" TargetMode="External"/><Relationship Id="rId77" Type="http://schemas.openxmlformats.org/officeDocument/2006/relationships/hyperlink" Target="https://fsapartners.ed.gov/sites/default/files/2024-02/2425CODTechRefVol6.pdf" TargetMode="External"/><Relationship Id="rId100" Type="http://schemas.openxmlformats.org/officeDocument/2006/relationships/hyperlink" Target="https://studentaid.gov/data-center/school/cash-management-contracts" TargetMode="External"/><Relationship Id="rId105" Type="http://schemas.openxmlformats.org/officeDocument/2006/relationships/header" Target="header14.xml"/><Relationship Id="rId113" Type="http://schemas.openxmlformats.org/officeDocument/2006/relationships/hyperlink" Target="https://ifap.ed.gov/sites/default/files/attachments/fregisters/FR112715.pdf" TargetMode="External"/><Relationship Id="rId118" Type="http://schemas.openxmlformats.org/officeDocument/2006/relationships/hyperlink" Target="https://www.ecfr.gov/current/title-34/subtitle-B/chapter-VI/part-668" TargetMode="External"/><Relationship Id="rId126"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hyperlink" Target="48_CFR_Part_52.pdf" TargetMode="External"/><Relationship Id="rId72" Type="http://schemas.openxmlformats.org/officeDocument/2006/relationships/hyperlink" Target="https://www.govinfo.gov/content/pkg/FR-2021-06-24/pdf/FR-2021-06-24.pdf" TargetMode="External"/><Relationship Id="rId80" Type="http://schemas.openxmlformats.org/officeDocument/2006/relationships/hyperlink" Target="Agency_Adoption_of_the_UG_and_Example_Citations.pdf" TargetMode="External"/><Relationship Id="rId85" Type="http://schemas.openxmlformats.org/officeDocument/2006/relationships/hyperlink" Target="Agency_Adoption_of_the_UG_and_Example_Citations.pdf" TargetMode="External"/><Relationship Id="rId93" Type="http://schemas.openxmlformats.org/officeDocument/2006/relationships/header" Target="header12.xml"/><Relationship Id="rId98" Type="http://schemas.openxmlformats.org/officeDocument/2006/relationships/hyperlink" Target="https://studentaid.gov/data-center/school/cash-management-contracts" TargetMode="External"/><Relationship Id="rId121" Type="http://schemas.openxmlformats.org/officeDocument/2006/relationships/hyperlink" Target="https://fsapartners.ed.gov/knowledge-center/library/electronic-announcements/2023-02-09/updates-gramm-leach-bliley-act-cybersecurity-requirements" TargetMode="External"/><Relationship Id="rId3" Type="http://schemas.openxmlformats.org/officeDocument/2006/relationships/customXml" Target="../customXml/item3.xml"/><Relationship Id="rId12" Type="http://schemas.openxmlformats.org/officeDocument/2006/relationships/hyperlink" Target="OMB_Appendix_VII.pdf" TargetMode="External"/><Relationship Id="rId17" Type="http://schemas.openxmlformats.org/officeDocument/2006/relationships/hyperlink" Target="https://www.gao.gov/assets/gao-25-107721.pdf" TargetMode="External"/><Relationship Id="rId25" Type="http://schemas.openxmlformats.org/officeDocument/2006/relationships/footer" Target="footer2.xml"/><Relationship Id="rId33" Type="http://schemas.openxmlformats.org/officeDocument/2006/relationships/hyperlink" Target="https://fsapartners.ed.gov/knowledge-center/library/federal-registers/2023-11-01/final-regulations-financial-responsibility-administrative-capability-certification-procedures-ability-benefit-atb" TargetMode="External"/><Relationship Id="rId38" Type="http://schemas.openxmlformats.org/officeDocument/2006/relationships/hyperlink" Target="https://fsapartners.ed.gov/knowledge-center/library/federal-registers/2023-11-01/final-regulations-financial-responsibility-administrative-capability-certification-procedures-ability-benefit-atb" TargetMode="External"/><Relationship Id="rId46" Type="http://schemas.openxmlformats.org/officeDocument/2006/relationships/hyperlink" Target="https://fiscal.treasury.gov/cmia/" TargetMode="External"/><Relationship Id="rId59" Type="http://schemas.openxmlformats.org/officeDocument/2006/relationships/hyperlink" Target="https://fsapartners.ed.gov/knowledge-center/library/handbooks-manuals-or-guides/2023-05-31/2024-25-fafsa-specifications-guide-july-2024-update-2" TargetMode="External"/><Relationship Id="rId67" Type="http://schemas.openxmlformats.org/officeDocument/2006/relationships/hyperlink" Target="https://fsapartners.ed.gov/knowledge-center/fsa-handbook" TargetMode="External"/><Relationship Id="rId103" Type="http://schemas.openxmlformats.org/officeDocument/2006/relationships/hyperlink" Target="https://www.ed.gov/laws-and-policy/higher-education-laws-and-policy/program-integrity-information-questions-and-6" TargetMode="External"/><Relationship Id="rId108" Type="http://schemas.openxmlformats.org/officeDocument/2006/relationships/hyperlink" Target="https://fsapartners.ed.gov/knowledge-center/library/electronic-announcements/2017-04-20/general-subject-nslds-enrollment-reporting-submission-dates-effective-dates-and-certification-dates" TargetMode="External"/><Relationship Id="rId116" Type="http://schemas.openxmlformats.org/officeDocument/2006/relationships/header" Target="header16.xml"/><Relationship Id="rId124" Type="http://schemas.openxmlformats.org/officeDocument/2006/relationships/hyperlink" Target="https://fsapartners.ed.gov/title-iv-program-eligibility/cybersecurity" TargetMode="External"/><Relationship Id="rId129" Type="http://schemas.openxmlformats.org/officeDocument/2006/relationships/header" Target="header19.xml"/><Relationship Id="rId20" Type="http://schemas.openxmlformats.org/officeDocument/2006/relationships/hyperlink" Target="OMB_Appendix_II.pdf" TargetMode="External"/><Relationship Id="rId41" Type="http://schemas.openxmlformats.org/officeDocument/2006/relationships/header" Target="header6.xml"/><Relationship Id="rId54" Type="http://schemas.openxmlformats.org/officeDocument/2006/relationships/hyperlink" Target="SFACluster_AppendixA.pdf" TargetMode="External"/><Relationship Id="rId62" Type="http://schemas.openxmlformats.org/officeDocument/2006/relationships/hyperlink" Target="https://fsapartners.ed.gov/knowledge-center/library/dear-colleague-letters/2024-01-31/2024-2025-federal-pell-grant-maximum-and-minimum-award-amounts-updated-april-5-2024" TargetMode="External"/><Relationship Id="rId70" Type="http://schemas.openxmlformats.org/officeDocument/2006/relationships/header" Target="header8.xml"/><Relationship Id="rId75" Type="http://schemas.openxmlformats.org/officeDocument/2006/relationships/hyperlink" Target="https://fsapartners.ed.gov/knowledge-center/library/electronic-announcements/2024-07-30/update-batch-corrections-institutions-electronic-data-exchange-flexibilities-and-additional-support-2024-25-fafsa-cycle" TargetMode="External"/><Relationship Id="rId83" Type="http://schemas.openxmlformats.org/officeDocument/2006/relationships/hyperlink" Target="https://fsapartners.ed.gov/knowledge-center/library/electronic-announcements/2023-12-21/requirement-institutions-have-certain-calculations-related-institutional-and-program-eligibility-substantiated-independent-auditor" TargetMode="External"/><Relationship Id="rId88" Type="http://schemas.openxmlformats.org/officeDocument/2006/relationships/hyperlink" Target="Agency_Adoption_of_the_UG_and_Example_Citations.pdf" TargetMode="External"/><Relationship Id="rId91" Type="http://schemas.openxmlformats.org/officeDocument/2006/relationships/hyperlink" Target="SFACluster_AppendixA.pdf" TargetMode="External"/><Relationship Id="rId96" Type="http://schemas.openxmlformats.org/officeDocument/2006/relationships/hyperlink" Target="https://fsapartners.ed.gov/knowledge-center/library/dear-colleague-letters/2022-10-13/cash-management-tier-one-and-tier-two-arrangements" TargetMode="External"/><Relationship Id="rId111" Type="http://schemas.openxmlformats.org/officeDocument/2006/relationships/header" Target="header15.xm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so.org/_files/ugd/3059fc_61ea5985b03c4293960642fdce408eaa.pdf" TargetMode="External"/><Relationship Id="rId23" Type="http://schemas.openxmlformats.org/officeDocument/2006/relationships/header" Target="header1.xml"/><Relationship Id="rId28" Type="http://schemas.openxmlformats.org/officeDocument/2006/relationships/hyperlink" Target="OMB_Part_6.pdf" TargetMode="External"/><Relationship Id="rId36" Type="http://schemas.openxmlformats.org/officeDocument/2006/relationships/hyperlink" Target="https://fsapartners.ed.gov/knowledge-center/library/electronic-announcements/2024-07-03/temporary-injunction-program-length-regulations" TargetMode="External"/><Relationship Id="rId49" Type="http://schemas.openxmlformats.org/officeDocument/2006/relationships/hyperlink" Target="https://studentaid.gov/data-center/school/hcm" TargetMode="External"/><Relationship Id="rId57" Type="http://schemas.openxmlformats.org/officeDocument/2006/relationships/hyperlink" Target="https://fsapartners.ed.gov/knowledge-center/library/handbooks-manuals-or-guides/2023-05-31/2024-25-fafsa-specifications-guide-july-2024-update-2" TargetMode="External"/><Relationship Id="rId106" Type="http://schemas.openxmlformats.org/officeDocument/2006/relationships/hyperlink" Target="https://fsapartners.ed.gov/knowledge-center/library/resource-type/NSLDS%20User%20Resources?nslds_type=NSLDS%20User%20Documentation" TargetMode="External"/><Relationship Id="rId114" Type="http://schemas.openxmlformats.org/officeDocument/2006/relationships/hyperlink" Target="https://fsapartners.ed.gov/sites/default/files/attachments/dpcletters/GEN1105.pdf" TargetMode="External"/><Relationship Id="rId119" Type="http://schemas.openxmlformats.org/officeDocument/2006/relationships/hyperlink" Target="Agency_Adoption_of_the_UG_and_Example_Citations.pdf" TargetMode="External"/><Relationship Id="rId127" Type="http://schemas.openxmlformats.org/officeDocument/2006/relationships/hyperlink" Target="OMB_Appendix_I.pdf" TargetMode="External"/><Relationship Id="rId10" Type="http://schemas.openxmlformats.org/officeDocument/2006/relationships/endnotes" Target="endnotes.xml"/><Relationship Id="rId31" Type="http://schemas.openxmlformats.org/officeDocument/2006/relationships/hyperlink" Target="https://www.ecfr.gov/current/title-34/section-600.9" TargetMode="External"/><Relationship Id="rId44" Type="http://schemas.openxmlformats.org/officeDocument/2006/relationships/hyperlink" Target="48_CFR_Part_52.pdf" TargetMode="External"/><Relationship Id="rId52" Type="http://schemas.openxmlformats.org/officeDocument/2006/relationships/hyperlink" Target="Agency_Adoption_of_the_UG_and_Example_Citations.pdf" TargetMode="External"/><Relationship Id="rId60" Type="http://schemas.openxmlformats.org/officeDocument/2006/relationships/hyperlink" Target="https://fsapartners.ed.gov/knowledge-center/library/handbooks-manuals-or-guides/2023-05-31/2024-25-fafsa-specifications-guide-july-2024-update-2" TargetMode="External"/><Relationship Id="rId65" Type="http://schemas.openxmlformats.org/officeDocument/2006/relationships/hyperlink" Target="https://fsapartners.ed.gov/knowledge-center/library/electronic-announcements/2024-03-15/pact-act-impacts-iraq-and-afghanistan-service-grants-iasg-eligibility-and-processing-2023-24-award-year-updated-pell-grant-eligibility-dependents-certain-deceased-servicemembers-and-public" TargetMode="External"/><Relationship Id="rId73" Type="http://schemas.openxmlformats.org/officeDocument/2006/relationships/hyperlink" Target="https://fsapartners.ed.gov/knowledge-center/library/electronic-announcements/2024-07-30/update-batch-corrections-institutions-electronic-data-exchange-flexibilities-and-additional-support-2024-25-fafsa-cycle" TargetMode="External"/><Relationship Id="rId78" Type="http://schemas.openxmlformats.org/officeDocument/2006/relationships/hyperlink" Target="https://fsapartners.ed.gov/knowledge-center/library/resource-type/FISAP%20Form%20and%20Instructions" TargetMode="External"/><Relationship Id="rId81" Type="http://schemas.openxmlformats.org/officeDocument/2006/relationships/header" Target="header9.xml"/><Relationship Id="rId86" Type="http://schemas.openxmlformats.org/officeDocument/2006/relationships/header" Target="header10.xml"/><Relationship Id="rId94" Type="http://schemas.openxmlformats.org/officeDocument/2006/relationships/hyperlink" Target="https://fsapartners.ed.gov/knowledge-center/library/electronic-announcements/2016-07-01/cash-management-electronic-announcement-2-posting-contract-information-and-providing-contract-url-department-education" TargetMode="External"/><Relationship Id="rId99" Type="http://schemas.openxmlformats.org/officeDocument/2006/relationships/hyperlink" Target="https://studentaid.gov/data-center/school/cash-management-contracts" TargetMode="External"/><Relationship Id="rId101" Type="http://schemas.openxmlformats.org/officeDocument/2006/relationships/hyperlink" Target="Agency_Adoption_of_the_UG_and_Example_Citations.pdf" TargetMode="External"/><Relationship Id="rId122" Type="http://schemas.openxmlformats.org/officeDocument/2006/relationships/hyperlink" Target="https://fsapartners.ed.gov/knowledge-center/library/electronic-announcements/2023-02-09/updates-gramm-leach-bliley-act-cybersecurity-requirements" TargetMode="External"/><Relationship Id="rId13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OSFederal@ohioauditor.gov" TargetMode="External"/><Relationship Id="rId18" Type="http://schemas.openxmlformats.org/officeDocument/2006/relationships/hyperlink" Target="2_CFR_Part_200_2024Revisions.pdf" TargetMode="External"/><Relationship Id="rId39" Type="http://schemas.openxmlformats.org/officeDocument/2006/relationships/hyperlink" Target="https://fsapartners.ed.gov/knowledge-center/fsa-handbook" TargetMode="External"/><Relationship Id="rId109" Type="http://schemas.openxmlformats.org/officeDocument/2006/relationships/hyperlink" Target="https://nces.ed.gov/ipeds/cipcode/resources.aspx?y=56" TargetMode="External"/><Relationship Id="rId34" Type="http://schemas.openxmlformats.org/officeDocument/2006/relationships/hyperlink" Target="https://fsapartners.ed.gov/knowledge-center/library/federal-registers/2023-11-01/final-regulations-financial-responsibility-administrative-capability-certification-procedures-ability-benefit-atb" TargetMode="External"/><Relationship Id="rId50" Type="http://schemas.openxmlformats.org/officeDocument/2006/relationships/hyperlink" Target="https://studentaid.gov/data-center/school/hcm" TargetMode="External"/><Relationship Id="rId55" Type="http://schemas.openxmlformats.org/officeDocument/2006/relationships/hyperlink" Target="SFACluster_AppendixA.pdf" TargetMode="External"/><Relationship Id="rId76" Type="http://schemas.openxmlformats.org/officeDocument/2006/relationships/hyperlink" Target="https://fsapartners.ed.gov/knowledge-center/library/electronic-announcements/2024-07-30/update-batch-corrections-institutions-electronic-data-exchange-flexibilities-and-additional-support-2024-25-fafsa-cycle" TargetMode="External"/><Relationship Id="rId97" Type="http://schemas.openxmlformats.org/officeDocument/2006/relationships/hyperlink" Target="https://fsapartners.ed.gov/knowledge-center/library/electronic-announcements/2016-05-12/cash-management-questions-and-answers-qa" TargetMode="External"/><Relationship Id="rId104" Type="http://schemas.openxmlformats.org/officeDocument/2006/relationships/hyperlink" Target="Agency_Adoption_of_the_UG_and_Example_Citations.pdf" TargetMode="External"/><Relationship Id="rId120" Type="http://schemas.openxmlformats.org/officeDocument/2006/relationships/header" Target="header17.xml"/><Relationship Id="rId125"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yperlink" Target="https://grants.gov/" TargetMode="Externa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29" Type="http://schemas.openxmlformats.org/officeDocument/2006/relationships/header" Target="header4.xml"/><Relationship Id="rId24" Type="http://schemas.openxmlformats.org/officeDocument/2006/relationships/header" Target="header2.xml"/><Relationship Id="rId40" Type="http://schemas.openxmlformats.org/officeDocument/2006/relationships/header" Target="header5.xml"/><Relationship Id="rId45" Type="http://schemas.openxmlformats.org/officeDocument/2006/relationships/hyperlink" Target="48_CFR_Part_52.pdf" TargetMode="External"/><Relationship Id="rId66" Type="http://schemas.openxmlformats.org/officeDocument/2006/relationships/hyperlink" Target="https://fsapartners.ed.gov/knowledge-center/library/dear-colleague-letters/2023-03-29/eligibility-confined-or-incarcerated-individuals-receive-pell-grants" TargetMode="External"/><Relationship Id="rId87" Type="http://schemas.openxmlformats.org/officeDocument/2006/relationships/hyperlink" Target="https://fsapartners.ed.gov/knowledge-center/library/dear-colleague-letters/2023-09-19/2024-2025-award-year-fafsa-information-be-verified-and-acceptable-documentation" TargetMode="External"/><Relationship Id="rId110" Type="http://schemas.openxmlformats.org/officeDocument/2006/relationships/hyperlink" Target="Agency_Adoption_of_the_UG_and_Example_Citations.pdf" TargetMode="External"/><Relationship Id="rId115" Type="http://schemas.openxmlformats.org/officeDocument/2006/relationships/hyperlink" Target="Agency_Adoption_of_the_UG_and_Example_Citations.pdf" TargetMode="External"/><Relationship Id="rId131" Type="http://schemas.openxmlformats.org/officeDocument/2006/relationships/glossaryDocument" Target="glossary/document.xml"/><Relationship Id="rId61" Type="http://schemas.openxmlformats.org/officeDocument/2006/relationships/hyperlink" Target="https://fsapartners.ed.gov/knowledge-center/library/dear-colleague-letters/2024-01-31/2024-2025-federal-pell-grant-maximum-and-minimum-award-amounts-updated-april-5-2024" TargetMode="External"/><Relationship Id="rId82" Type="http://schemas.openxmlformats.org/officeDocument/2006/relationships/hyperlink" Target="https://www.ecfr.gov/current/title-34/subtitle-B/chapter-VI/part-600/subpart-A/section-600.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16D72"/>
    <w:rsid w:val="000D2ED7"/>
    <w:rsid w:val="001F0939"/>
    <w:rsid w:val="002E1B1A"/>
    <w:rsid w:val="00435AE4"/>
    <w:rsid w:val="00444C5F"/>
    <w:rsid w:val="00560B1D"/>
    <w:rsid w:val="0057650C"/>
    <w:rsid w:val="00755AD6"/>
    <w:rsid w:val="00776DDE"/>
    <w:rsid w:val="008A0DC2"/>
    <w:rsid w:val="008E629B"/>
    <w:rsid w:val="00974272"/>
    <w:rsid w:val="00A97B5A"/>
    <w:rsid w:val="00AC1185"/>
    <w:rsid w:val="00BB24E2"/>
    <w:rsid w:val="00C22728"/>
    <w:rsid w:val="00C632B1"/>
    <w:rsid w:val="00D56AD8"/>
    <w:rsid w:val="00E4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105</Pages>
  <Words>41851</Words>
  <Characters>250182</Characters>
  <Application>Microsoft Office Word</Application>
  <DocSecurity>0</DocSecurity>
  <Lines>2084</Lines>
  <Paragraphs>582</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291451</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42</cp:revision>
  <cp:lastPrinted>2015-07-01T17:39:00Z</cp:lastPrinted>
  <dcterms:created xsi:type="dcterms:W3CDTF">2025-09-30T13:32:00Z</dcterms:created>
  <dcterms:modified xsi:type="dcterms:W3CDTF">2025-11-26T17:38:00Z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