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2B6F230E" w:rsidR="007814B6" w:rsidRPr="00A0464C" w:rsidRDefault="009E3B44" w:rsidP="006672EA">
            <w:pPr>
              <w:jc w:val="both"/>
              <w:rPr>
                <w:rFonts w:ascii="Arial" w:hAnsi="Arial" w:cs="Arial"/>
                <w:sz w:val="24"/>
                <w:szCs w:val="24"/>
              </w:rPr>
            </w:pPr>
            <w:r>
              <w:rPr>
                <w:rFonts w:ascii="Arial" w:hAnsi="Arial" w:cs="Arial"/>
                <w:sz w:val="24"/>
                <w:szCs w:val="24"/>
              </w:rPr>
              <w:t>Coronavirus State and Local Fiscal Recovery Funds (SLFRF)</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3065413C" w:rsidR="007814B6" w:rsidRPr="00A0464C" w:rsidRDefault="009E3B44" w:rsidP="006672EA">
            <w:pPr>
              <w:jc w:val="both"/>
              <w:rPr>
                <w:rFonts w:ascii="Arial" w:hAnsi="Arial" w:cs="Arial"/>
                <w:sz w:val="24"/>
                <w:szCs w:val="24"/>
              </w:rPr>
            </w:pPr>
            <w:r>
              <w:rPr>
                <w:rFonts w:ascii="Arial" w:hAnsi="Arial" w:cs="Arial"/>
                <w:sz w:val="24"/>
                <w:szCs w:val="24"/>
              </w:rPr>
              <w:t>21.027</w:t>
            </w:r>
          </w:p>
        </w:tc>
      </w:tr>
    </w:tbl>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7630915"/>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5EE0B978" w14:textId="77777777" w:rsidR="001D666E" w:rsidRPr="00D41E0C" w:rsidRDefault="001D666E" w:rsidP="001D666E">
      <w:pPr>
        <w:spacing w:after="240"/>
        <w:jc w:val="both"/>
        <w:rPr>
          <w:rFonts w:ascii="Arial" w:hAnsi="Arial" w:cs="Arial"/>
          <w:bCs/>
          <w:i/>
          <w:iCs/>
          <w:color w:val="002060"/>
        </w:rPr>
      </w:pPr>
      <w:r>
        <w:rPr>
          <w:rFonts w:ascii="Arial" w:hAnsi="Arial" w:cs="Arial"/>
          <w:bCs/>
          <w:i/>
          <w:iCs/>
          <w:color w:val="002060"/>
        </w:rPr>
        <w:t xml:space="preserve">Certain SLFRF recipients are eligible to receive an Alternative Compliance Examination (ACE) Engagement in lieu of a single audit. See ACE eligibility checklist and other resources on the </w:t>
      </w:r>
      <w:hyperlink r:id="rId13" w:history="1">
        <w:r w:rsidRPr="00D41E0C">
          <w:rPr>
            <w:rStyle w:val="Hyperlink"/>
            <w:rFonts w:cs="Arial"/>
            <w:bCs/>
            <w:i/>
            <w:iCs/>
          </w:rPr>
          <w:t>Single Audit Practice Aids &amp; Audit Report Shells</w:t>
        </w:r>
      </w:hyperlink>
      <w:r>
        <w:rPr>
          <w:rFonts w:ascii="Arial" w:hAnsi="Arial" w:cs="Arial"/>
          <w:bCs/>
          <w:i/>
          <w:iCs/>
          <w:color w:val="002060"/>
        </w:rPr>
        <w:t xml:space="preserve"> page of the internet. AOS auditors can find ACE resources on the intranet.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DA563A"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DA563A" w:rsidP="006516C2">
      <w:pPr>
        <w:pStyle w:val="BodyText"/>
        <w:widowControl w:val="0"/>
        <w:numPr>
          <w:ilvl w:val="0"/>
          <w:numId w:val="47"/>
        </w:numPr>
        <w:autoSpaceDE w:val="0"/>
        <w:autoSpaceDN w:val="0"/>
        <w:spacing w:after="0"/>
        <w:rPr>
          <w:rFonts w:ascii="Arial" w:hAnsi="Arial" w:cs="Arial"/>
          <w:szCs w:val="20"/>
        </w:rPr>
      </w:pPr>
      <w:hyperlink r:id="rId15" w:history="1">
        <w:r w:rsidR="004717CE" w:rsidRPr="00F00D94">
          <w:rPr>
            <w:rStyle w:val="Hyperlink"/>
            <w:rFonts w:cs="Arial"/>
            <w:szCs w:val="20"/>
          </w:rPr>
          <w:t>2013 COSO</w:t>
        </w:r>
      </w:hyperlink>
    </w:p>
    <w:p w14:paraId="7786A02D" w14:textId="5FE57B1B" w:rsidR="004717CE" w:rsidRPr="004717CE" w:rsidRDefault="00DA563A"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F00D94">
          <w:rPr>
            <w:rStyle w:val="Hyperlink"/>
            <w:rFonts w:cs="Arial"/>
            <w:szCs w:val="20"/>
          </w:rPr>
          <w:t>GAO’s 2014 Green Book</w:t>
        </w:r>
      </w:hyperlink>
    </w:p>
    <w:p w14:paraId="47FC5089" w14:textId="01B0B386" w:rsidR="00DF7D32" w:rsidRPr="00F00D94" w:rsidRDefault="00DA563A" w:rsidP="001D666E">
      <w:pPr>
        <w:pStyle w:val="BodyText"/>
        <w:widowControl w:val="0"/>
        <w:numPr>
          <w:ilvl w:val="0"/>
          <w:numId w:val="47"/>
        </w:numPr>
        <w:autoSpaceDE w:val="0"/>
        <w:autoSpaceDN w:val="0"/>
        <w:rPr>
          <w:rStyle w:val="Hyperlink"/>
          <w:rFonts w:cs="Arial"/>
          <w:color w:val="auto"/>
          <w:szCs w:val="20"/>
          <w:u w:val="none"/>
        </w:rPr>
      </w:pPr>
      <w:hyperlink r:id="rId17"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p w14:paraId="1939305E" w14:textId="77777777" w:rsidR="001D666E" w:rsidRPr="00DC0236" w:rsidRDefault="001D666E" w:rsidP="001D666E">
      <w:pPr>
        <w:pStyle w:val="Heading1"/>
        <w:rPr>
          <w:sz w:val="24"/>
        </w:rPr>
      </w:pPr>
      <w:bookmarkStart w:id="2" w:name="_Toc176845584"/>
      <w:bookmarkStart w:id="3" w:name="_Toc177630916"/>
      <w:bookmarkEnd w:id="0"/>
      <w:r w:rsidRPr="00DC0236">
        <w:rPr>
          <w:sz w:val="24"/>
        </w:rPr>
        <w:t>2024 Uniform Guidance Updates</w:t>
      </w:r>
      <w:bookmarkEnd w:id="2"/>
      <w:bookmarkEnd w:id="3"/>
    </w:p>
    <w:p w14:paraId="4201368D" w14:textId="77777777" w:rsidR="001D666E" w:rsidRPr="00BC18B0" w:rsidRDefault="001D666E" w:rsidP="001D666E">
      <w:pPr>
        <w:spacing w:after="240"/>
        <w:jc w:val="both"/>
        <w:rPr>
          <w:rFonts w:ascii="Arial" w:hAnsi="Arial" w:cs="Arial"/>
          <w:bCs/>
          <w:i/>
          <w:iCs/>
          <w:color w:val="002060"/>
        </w:rPr>
      </w:pPr>
      <w:r w:rsidRPr="00BC18B0">
        <w:rPr>
          <w:rFonts w:ascii="Arial" w:hAnsi="Arial" w:cs="Arial"/>
          <w:bCs/>
          <w:i/>
          <w:iCs/>
          <w:color w:val="002060"/>
        </w:rPr>
        <w:t>This FACCR was written for programs</w:t>
      </w:r>
      <w:r>
        <w:rPr>
          <w:rFonts w:ascii="Arial" w:hAnsi="Arial" w:cs="Arial"/>
          <w:bCs/>
          <w:i/>
          <w:iCs/>
          <w:color w:val="002060"/>
        </w:rPr>
        <w:t>/clusters</w:t>
      </w:r>
      <w:r w:rsidRPr="00BC18B0">
        <w:rPr>
          <w:rFonts w:ascii="Arial" w:hAnsi="Arial" w:cs="Arial"/>
          <w:bCs/>
          <w:i/>
          <w:iCs/>
          <w:color w:val="002060"/>
        </w:rPr>
        <w:t xml:space="preserve"> administered under the Uniform Guidance </w:t>
      </w:r>
      <w:r w:rsidRPr="00DA71AB">
        <w:rPr>
          <w:rFonts w:ascii="Arial" w:hAnsi="Arial" w:cs="Arial"/>
          <w:b/>
          <w:i/>
          <w:iCs/>
          <w:color w:val="002060"/>
        </w:rPr>
        <w:t>prior to</w:t>
      </w:r>
      <w:r w:rsidRPr="00BC18B0">
        <w:rPr>
          <w:rFonts w:ascii="Arial" w:hAnsi="Arial" w:cs="Arial"/>
          <w:bCs/>
          <w:i/>
          <w:iCs/>
          <w:color w:val="002060"/>
        </w:rPr>
        <w:t xml:space="preserve"> the 2024 revisions from O</w:t>
      </w:r>
      <w:r>
        <w:rPr>
          <w:rFonts w:ascii="Arial" w:hAnsi="Arial" w:cs="Arial"/>
          <w:bCs/>
          <w:i/>
          <w:iCs/>
          <w:color w:val="002060"/>
        </w:rPr>
        <w:t>MB</w:t>
      </w:r>
      <w:r w:rsidRPr="00BC18B0">
        <w:rPr>
          <w:rFonts w:ascii="Arial" w:hAnsi="Arial" w:cs="Arial"/>
          <w:bCs/>
          <w:i/>
          <w:iCs/>
          <w:color w:val="002060"/>
        </w:rPr>
        <w:t xml:space="preserve">. </w:t>
      </w:r>
      <w:r>
        <w:rPr>
          <w:rFonts w:ascii="Arial" w:hAnsi="Arial" w:cs="Arial"/>
          <w:bCs/>
          <w:i/>
          <w:iCs/>
          <w:color w:val="002060"/>
        </w:rPr>
        <w:t>Auditors must read the guidance and complete the table below to determine whether revised Uniform Guidance requirements need to be considered when testing the major program/cluster.</w:t>
      </w:r>
    </w:p>
    <w:p w14:paraId="4396A619" w14:textId="77777777" w:rsidR="001D666E" w:rsidRPr="00DC0236" w:rsidRDefault="001D666E" w:rsidP="001D666E">
      <w:pPr>
        <w:spacing w:after="240"/>
        <w:jc w:val="both"/>
        <w:rPr>
          <w:rFonts w:ascii="Arial" w:hAnsi="Arial" w:cs="Arial"/>
          <w:bCs/>
        </w:rPr>
      </w:pPr>
      <w:r w:rsidRPr="00DC0236">
        <w:rPr>
          <w:rFonts w:ascii="Arial" w:hAnsi="Arial" w:cs="Arial"/>
          <w:bCs/>
        </w:rPr>
        <w:t>OMB recently updated its Guidance for Federal Financial Assistance contained in 2 CFR, including 2 CFR part 200. See 89 FR 30046 (Apr. 22, 2024). Although the government-wide effective date for the 2024 revisions is not until October 1, 2024, Federal agencies may elect to implement the revisions as early as June 21, 2024 to new awards and through amendments to existing awards. Because Federal agencies are not required to implement the revisions prior to October 1, 2024, there is likely to be some variation on when Federal agencies begin to make the 2024 revisions apply to Federal awards. For example, a non-Federal entity with a fiscal year beginning on January 1, 2024 may receive an award on June 21, 2024 made subject to the 2024 revisions by the Federal agency. Consequently, the auditor should perform reasonable procedures to ensure that compliance requirements identified as subject to the audit are current and determine whether there are any additional or modified provisions of Federal awards based on the 2024 revisions. Auditors must not, however, apply compliance requirements from the 2024 revisions in circumstances in which the Federal agency has not yet applied the 2024 revisions to the Federal award subject to audit.</w:t>
      </w:r>
    </w:p>
    <w:p w14:paraId="056EF5FC" w14:textId="77777777" w:rsidR="001D666E" w:rsidRPr="00DC0236" w:rsidRDefault="001D666E" w:rsidP="001D666E">
      <w:pPr>
        <w:spacing w:after="240"/>
        <w:jc w:val="both"/>
        <w:rPr>
          <w:rFonts w:ascii="Arial" w:hAnsi="Arial" w:cs="Arial"/>
          <w:bCs/>
          <w:i/>
          <w:iCs/>
        </w:rPr>
      </w:pPr>
      <w:r w:rsidRPr="00DC0236">
        <w:rPr>
          <w:rFonts w:ascii="Arial" w:hAnsi="Arial" w:cs="Arial"/>
          <w:bCs/>
          <w:i/>
          <w:iCs/>
        </w:rPr>
        <w:t>(Source: 2024 OMB Compliance Supplement, Part 1)</w:t>
      </w:r>
    </w:p>
    <w:p w14:paraId="0CDF836A" w14:textId="77777777" w:rsidR="001D666E" w:rsidRDefault="001D666E" w:rsidP="001D666E">
      <w:pPr>
        <w:spacing w:after="240"/>
        <w:jc w:val="both"/>
        <w:rPr>
          <w:rFonts w:ascii="Arial" w:hAnsi="Arial" w:cs="Arial"/>
          <w:bCs/>
          <w:i/>
          <w:iCs/>
          <w:color w:val="002060"/>
        </w:rPr>
      </w:pPr>
      <w:r w:rsidRPr="00DC0236">
        <w:rPr>
          <w:rFonts w:ascii="Arial" w:hAnsi="Arial" w:cs="Arial"/>
          <w:bCs/>
          <w:i/>
          <w:iCs/>
          <w:color w:val="002060"/>
        </w:rPr>
        <w:t xml:space="preserve">Auditors </w:t>
      </w:r>
      <w:r>
        <w:rPr>
          <w:rFonts w:ascii="Arial" w:hAnsi="Arial" w:cs="Arial"/>
          <w:bCs/>
          <w:i/>
          <w:iCs/>
          <w:color w:val="002060"/>
        </w:rPr>
        <w:t>must</w:t>
      </w:r>
      <w:r w:rsidRPr="00DC0236">
        <w:rPr>
          <w:rFonts w:ascii="Arial" w:hAnsi="Arial" w:cs="Arial"/>
          <w:bCs/>
          <w:i/>
          <w:iCs/>
          <w:color w:val="002060"/>
        </w:rPr>
        <w:t xml:space="preserve"> read the grant agreement(s)</w:t>
      </w:r>
      <w:r>
        <w:rPr>
          <w:rFonts w:ascii="Arial" w:hAnsi="Arial" w:cs="Arial"/>
          <w:bCs/>
          <w:i/>
          <w:iCs/>
          <w:color w:val="002060"/>
        </w:rPr>
        <w:t xml:space="preserve"> and</w:t>
      </w:r>
      <w:r w:rsidRPr="00DC0236">
        <w:rPr>
          <w:rFonts w:ascii="Arial" w:hAnsi="Arial" w:cs="Arial"/>
          <w:bCs/>
          <w:i/>
          <w:iCs/>
          <w:color w:val="002060"/>
        </w:rPr>
        <w:t xml:space="preserve"> inquire with management to determine whether the program, or a portion thereof, is subject to the revised Uniform Guidance Requirements. </w:t>
      </w:r>
    </w:p>
    <w:tbl>
      <w:tblPr>
        <w:tblStyle w:val="TableGrid"/>
        <w:tblW w:w="0" w:type="auto"/>
        <w:tblLook w:val="04A0" w:firstRow="1" w:lastRow="0" w:firstColumn="1" w:lastColumn="0" w:noHBand="0" w:noVBand="1"/>
      </w:tblPr>
      <w:tblGrid>
        <w:gridCol w:w="5755"/>
        <w:gridCol w:w="3117"/>
      </w:tblGrid>
      <w:tr w:rsidR="001D666E" w14:paraId="112F16F8" w14:textId="77777777" w:rsidTr="00DE50F5">
        <w:tc>
          <w:tcPr>
            <w:tcW w:w="8872" w:type="dxa"/>
            <w:gridSpan w:val="2"/>
          </w:tcPr>
          <w:p w14:paraId="75C13C31" w14:textId="77777777" w:rsidR="001D666E" w:rsidRPr="00DA71AB" w:rsidRDefault="001D666E" w:rsidP="00DE50F5">
            <w:pPr>
              <w:jc w:val="center"/>
              <w:rPr>
                <w:rFonts w:ascii="Arial" w:hAnsi="Arial" w:cs="Arial"/>
                <w:b/>
                <w:i/>
                <w:iCs/>
                <w:color w:val="002060"/>
                <w:sz w:val="20"/>
                <w:szCs w:val="20"/>
              </w:rPr>
            </w:pPr>
            <w:r w:rsidRPr="00DA71AB">
              <w:rPr>
                <w:rFonts w:ascii="Arial" w:hAnsi="Arial" w:cs="Arial"/>
                <w:b/>
                <w:i/>
                <w:iCs/>
                <w:color w:val="002060"/>
                <w:sz w:val="20"/>
                <w:szCs w:val="20"/>
              </w:rPr>
              <w:t>Respond to the Following Questions Regarding the Major Program/Cluster Tested in this FACCR:</w:t>
            </w:r>
          </w:p>
        </w:tc>
      </w:tr>
      <w:tr w:rsidR="001D666E" w14:paraId="69749E3A" w14:textId="77777777" w:rsidTr="00DE50F5">
        <w:tc>
          <w:tcPr>
            <w:tcW w:w="5755" w:type="dxa"/>
          </w:tcPr>
          <w:p w14:paraId="5690E29D" w14:textId="77777777" w:rsidR="001D666E" w:rsidRPr="00DA71AB" w:rsidRDefault="001D666E" w:rsidP="00DE50F5">
            <w:pPr>
              <w:jc w:val="both"/>
              <w:rPr>
                <w:rFonts w:ascii="Arial" w:hAnsi="Arial" w:cs="Arial"/>
                <w:bCs/>
                <w:i/>
                <w:iCs/>
                <w:color w:val="002060"/>
                <w:sz w:val="20"/>
                <w:szCs w:val="20"/>
              </w:rPr>
            </w:pPr>
            <w:r>
              <w:rPr>
                <w:rFonts w:ascii="Arial" w:hAnsi="Arial" w:cs="Arial"/>
                <w:bCs/>
                <w:i/>
                <w:iCs/>
                <w:color w:val="002060"/>
                <w:sz w:val="20"/>
                <w:szCs w:val="20"/>
              </w:rPr>
              <w:t xml:space="preserve">(1) </w:t>
            </w:r>
            <w:r w:rsidRPr="00DA71AB">
              <w:rPr>
                <w:rFonts w:ascii="Arial" w:hAnsi="Arial" w:cs="Arial"/>
                <w:bCs/>
                <w:i/>
                <w:iCs/>
                <w:color w:val="002060"/>
                <w:sz w:val="20"/>
                <w:szCs w:val="20"/>
              </w:rPr>
              <w:t>Is the program/cluster (or a portion thereof) subject to the revised Uniform Guidance?</w:t>
            </w:r>
          </w:p>
        </w:tc>
        <w:tc>
          <w:tcPr>
            <w:tcW w:w="3117" w:type="dxa"/>
          </w:tcPr>
          <w:p w14:paraId="0F52758F" w14:textId="77777777" w:rsidR="001D666E" w:rsidRPr="00DA71AB" w:rsidRDefault="001D666E" w:rsidP="00DE50F5">
            <w:pPr>
              <w:jc w:val="center"/>
              <w:rPr>
                <w:rFonts w:ascii="Arial" w:hAnsi="Arial" w:cs="Arial"/>
                <w:bCs/>
                <w:i/>
                <w:iCs/>
                <w:color w:val="002060"/>
                <w:sz w:val="20"/>
                <w:szCs w:val="20"/>
              </w:rPr>
            </w:pPr>
            <w:r w:rsidRPr="00DA71AB">
              <w:rPr>
                <w:rFonts w:ascii="Arial" w:hAnsi="Arial" w:cs="Arial"/>
                <w:bCs/>
                <w:i/>
                <w:iCs/>
                <w:color w:val="002060"/>
                <w:sz w:val="20"/>
                <w:szCs w:val="20"/>
                <w:highlight w:val="yellow"/>
              </w:rPr>
              <w:t>[</w:t>
            </w:r>
            <w:r w:rsidRPr="00DA71AB">
              <w:rPr>
                <w:rFonts w:ascii="Arial" w:hAnsi="Arial" w:cs="Arial"/>
                <w:b/>
                <w:i/>
                <w:iCs/>
                <w:color w:val="002060"/>
                <w:sz w:val="20"/>
                <w:szCs w:val="20"/>
                <w:highlight w:val="yellow"/>
              </w:rPr>
              <w:t>Yes/No</w:t>
            </w:r>
            <w:r w:rsidRPr="00DA71AB">
              <w:rPr>
                <w:rFonts w:ascii="Arial" w:hAnsi="Arial" w:cs="Arial"/>
                <w:bCs/>
                <w:i/>
                <w:iCs/>
                <w:color w:val="002060"/>
                <w:sz w:val="20"/>
                <w:szCs w:val="20"/>
                <w:highlight w:val="yellow"/>
              </w:rPr>
              <w:t>]</w:t>
            </w:r>
          </w:p>
        </w:tc>
      </w:tr>
      <w:tr w:rsidR="001D666E" w14:paraId="477F0460" w14:textId="77777777" w:rsidTr="00DE50F5">
        <w:tc>
          <w:tcPr>
            <w:tcW w:w="5755" w:type="dxa"/>
          </w:tcPr>
          <w:p w14:paraId="39E70883" w14:textId="77777777" w:rsidR="001D666E" w:rsidRPr="00DA71AB" w:rsidRDefault="001D666E" w:rsidP="00DE50F5">
            <w:pPr>
              <w:jc w:val="both"/>
              <w:rPr>
                <w:rFonts w:ascii="Arial" w:hAnsi="Arial" w:cs="Arial"/>
                <w:bCs/>
                <w:i/>
                <w:iCs/>
                <w:color w:val="002060"/>
                <w:sz w:val="20"/>
                <w:szCs w:val="20"/>
              </w:rPr>
            </w:pPr>
            <w:r>
              <w:rPr>
                <w:rFonts w:ascii="Arial" w:hAnsi="Arial" w:cs="Arial"/>
                <w:bCs/>
                <w:i/>
                <w:iCs/>
                <w:color w:val="002060"/>
                <w:sz w:val="20"/>
                <w:szCs w:val="20"/>
              </w:rPr>
              <w:t>(2) If the response to question 1 is yes, d</w:t>
            </w:r>
            <w:r w:rsidRPr="00DA71AB">
              <w:rPr>
                <w:rFonts w:ascii="Arial" w:hAnsi="Arial" w:cs="Arial"/>
                <w:bCs/>
                <w:i/>
                <w:iCs/>
                <w:color w:val="002060"/>
                <w:sz w:val="20"/>
                <w:szCs w:val="20"/>
              </w:rPr>
              <w:t>ocument the dollar amount of program/cluster expenditures subject to the revised Uniform Guidance.</w:t>
            </w:r>
          </w:p>
        </w:tc>
        <w:tc>
          <w:tcPr>
            <w:tcW w:w="3117" w:type="dxa"/>
          </w:tcPr>
          <w:p w14:paraId="6F3E6393" w14:textId="77777777" w:rsidR="001D666E" w:rsidRPr="00DA71AB" w:rsidRDefault="001D666E" w:rsidP="00DE50F5">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1D666E" w14:paraId="0E466C65" w14:textId="77777777" w:rsidTr="00DE50F5">
        <w:tc>
          <w:tcPr>
            <w:tcW w:w="5755" w:type="dxa"/>
          </w:tcPr>
          <w:p w14:paraId="6ED7A805" w14:textId="77777777" w:rsidR="001D666E" w:rsidRPr="00DA71AB" w:rsidRDefault="001D666E" w:rsidP="00DE50F5">
            <w:pPr>
              <w:jc w:val="both"/>
              <w:rPr>
                <w:rFonts w:ascii="Arial" w:hAnsi="Arial" w:cs="Arial"/>
                <w:bCs/>
                <w:i/>
                <w:iCs/>
                <w:color w:val="002060"/>
                <w:sz w:val="20"/>
                <w:szCs w:val="20"/>
              </w:rPr>
            </w:pPr>
            <w:r>
              <w:rPr>
                <w:rFonts w:ascii="Arial" w:hAnsi="Arial" w:cs="Arial"/>
                <w:bCs/>
                <w:i/>
                <w:iCs/>
                <w:color w:val="002060"/>
                <w:sz w:val="20"/>
                <w:szCs w:val="20"/>
              </w:rPr>
              <w:t xml:space="preserve">(3) </w:t>
            </w:r>
            <w:r w:rsidRPr="00DA71AB">
              <w:rPr>
                <w:rFonts w:ascii="Arial" w:hAnsi="Arial" w:cs="Arial"/>
                <w:bCs/>
                <w:i/>
                <w:iCs/>
                <w:color w:val="002060"/>
                <w:sz w:val="20"/>
                <w:szCs w:val="20"/>
              </w:rPr>
              <w:t>Document total program/cluster expenditures per the SEFA.</w:t>
            </w:r>
          </w:p>
        </w:tc>
        <w:tc>
          <w:tcPr>
            <w:tcW w:w="3117" w:type="dxa"/>
          </w:tcPr>
          <w:p w14:paraId="6255BD27" w14:textId="77777777" w:rsidR="001D666E" w:rsidRPr="00DA71AB" w:rsidRDefault="001D666E" w:rsidP="00DE50F5">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$xxx</w:t>
            </w:r>
          </w:p>
        </w:tc>
      </w:tr>
      <w:tr w:rsidR="001D666E" w14:paraId="2C7541AF" w14:textId="77777777" w:rsidTr="00DE50F5">
        <w:tc>
          <w:tcPr>
            <w:tcW w:w="5755" w:type="dxa"/>
          </w:tcPr>
          <w:p w14:paraId="3EB90F65" w14:textId="77777777" w:rsidR="001D666E" w:rsidRPr="00DA71AB" w:rsidRDefault="001D666E" w:rsidP="00DE50F5">
            <w:pPr>
              <w:jc w:val="both"/>
              <w:rPr>
                <w:rFonts w:ascii="Arial" w:hAnsi="Arial" w:cs="Arial"/>
                <w:bCs/>
                <w:i/>
                <w:iCs/>
                <w:color w:val="002060"/>
                <w:sz w:val="20"/>
                <w:szCs w:val="20"/>
              </w:rPr>
            </w:pPr>
            <w:r>
              <w:rPr>
                <w:rFonts w:ascii="Arial" w:hAnsi="Arial" w:cs="Arial"/>
                <w:bCs/>
                <w:i/>
                <w:iCs/>
                <w:color w:val="002060"/>
                <w:sz w:val="20"/>
                <w:szCs w:val="20"/>
              </w:rPr>
              <w:t xml:space="preserve">(4) </w:t>
            </w:r>
            <w:r w:rsidRPr="00DA71AB">
              <w:rPr>
                <w:rFonts w:ascii="Arial" w:hAnsi="Arial" w:cs="Arial"/>
                <w:bCs/>
                <w:i/>
                <w:iCs/>
                <w:color w:val="002060"/>
                <w:sz w:val="20"/>
                <w:szCs w:val="20"/>
              </w:rPr>
              <w:t>Percentage of total program/cluster expenditures subject to the revised Uniform Guidance.</w:t>
            </w:r>
          </w:p>
        </w:tc>
        <w:tc>
          <w:tcPr>
            <w:tcW w:w="3117" w:type="dxa"/>
          </w:tcPr>
          <w:p w14:paraId="5C907214" w14:textId="77777777" w:rsidR="001D666E" w:rsidRPr="00DA71AB" w:rsidRDefault="001D666E" w:rsidP="00DE50F5">
            <w:pPr>
              <w:jc w:val="center"/>
              <w:rPr>
                <w:rFonts w:ascii="Arial" w:hAnsi="Arial" w:cs="Arial"/>
                <w:b/>
                <w:i/>
                <w:iCs/>
                <w:color w:val="002060"/>
                <w:sz w:val="20"/>
                <w:szCs w:val="20"/>
              </w:rPr>
            </w:pPr>
            <w:r w:rsidRPr="00DA71AB">
              <w:rPr>
                <w:rFonts w:ascii="Arial" w:hAnsi="Arial" w:cs="Arial"/>
                <w:b/>
                <w:i/>
                <w:iCs/>
                <w:color w:val="002060"/>
                <w:sz w:val="20"/>
                <w:szCs w:val="20"/>
                <w:highlight w:val="yellow"/>
              </w:rPr>
              <w:t>xx%</w:t>
            </w:r>
          </w:p>
        </w:tc>
      </w:tr>
    </w:tbl>
    <w:p w14:paraId="296596F0" w14:textId="77777777" w:rsidR="001D666E" w:rsidRDefault="001D666E" w:rsidP="001D666E">
      <w:pPr>
        <w:spacing w:before="240" w:after="240"/>
        <w:jc w:val="both"/>
        <w:rPr>
          <w:rFonts w:ascii="Arial" w:hAnsi="Arial" w:cs="Arial"/>
          <w:b/>
          <w:i/>
          <w:iCs/>
          <w:color w:val="002060"/>
          <w:highlight w:val="yellow"/>
        </w:rPr>
      </w:pPr>
      <w:r w:rsidRPr="00DC0236">
        <w:rPr>
          <w:rFonts w:ascii="Arial" w:hAnsi="Arial" w:cs="Arial"/>
          <w:bCs/>
          <w:i/>
          <w:iCs/>
          <w:color w:val="002060"/>
        </w:rPr>
        <w:t>Sources Reviewed:</w:t>
      </w:r>
      <w:r w:rsidRPr="00DC0236">
        <w:rPr>
          <w:rFonts w:ascii="Arial" w:hAnsi="Arial" w:cs="Arial"/>
          <w:b/>
          <w:bCs/>
        </w:rPr>
        <w:t xml:space="preserve"> </w:t>
      </w:r>
      <w:r w:rsidRPr="00AA5B05">
        <w:rPr>
          <w:rFonts w:ascii="Arial" w:hAnsi="Arial" w:cs="Arial"/>
          <w:b/>
          <w:bCs/>
          <w:highlight w:val="yellow"/>
        </w:rPr>
        <w:t xml:space="preserve">Auditors must </w:t>
      </w:r>
      <w:r>
        <w:rPr>
          <w:rFonts w:ascii="Arial" w:hAnsi="Arial" w:cs="Arial"/>
          <w:b/>
          <w:bCs/>
          <w:highlight w:val="yellow"/>
        </w:rPr>
        <w:t>document</w:t>
      </w:r>
      <w:r w:rsidRPr="00AA5B05">
        <w:rPr>
          <w:rFonts w:ascii="Arial" w:hAnsi="Arial" w:cs="Arial"/>
          <w:b/>
          <w:bCs/>
          <w:highlight w:val="yellow"/>
        </w:rPr>
        <w:t xml:space="preserve"> sources reviewed to make the determinatio</w:t>
      </w:r>
      <w:r>
        <w:rPr>
          <w:rFonts w:ascii="Arial" w:hAnsi="Arial" w:cs="Arial"/>
          <w:b/>
          <w:bCs/>
          <w:highlight w:val="yellow"/>
        </w:rPr>
        <w:t>ns above.</w:t>
      </w:r>
    </w:p>
    <w:p w14:paraId="395C5027" w14:textId="77777777" w:rsidR="001D666E" w:rsidRDefault="001D666E" w:rsidP="001D666E">
      <w:pPr>
        <w:jc w:val="both"/>
        <w:rPr>
          <w:rFonts w:ascii="Arial" w:hAnsi="Arial" w:cs="Arial"/>
          <w:bCs/>
          <w:i/>
          <w:iCs/>
          <w:color w:val="002060"/>
        </w:rPr>
      </w:pPr>
      <w:r w:rsidRPr="00DC0236">
        <w:rPr>
          <w:rFonts w:ascii="Arial" w:hAnsi="Arial" w:cs="Arial"/>
          <w:bCs/>
          <w:i/>
          <w:iCs/>
          <w:color w:val="002060"/>
        </w:rPr>
        <w:t>If the program is subject to the revised Uniform Guidance</w:t>
      </w:r>
      <w:r>
        <w:rPr>
          <w:rFonts w:ascii="Arial" w:hAnsi="Arial" w:cs="Arial"/>
          <w:bCs/>
          <w:i/>
          <w:iCs/>
          <w:color w:val="002060"/>
        </w:rPr>
        <w:t xml:space="preserve"> (i.e. the response to question 1 above is “Yes”):</w:t>
      </w:r>
    </w:p>
    <w:p w14:paraId="257BAF47" w14:textId="77777777" w:rsidR="001D666E" w:rsidRPr="00BC18B0" w:rsidRDefault="001D666E" w:rsidP="001D666E">
      <w:pPr>
        <w:pStyle w:val="ListParagraph"/>
        <w:numPr>
          <w:ilvl w:val="0"/>
          <w:numId w:val="62"/>
        </w:numPr>
        <w:jc w:val="both"/>
        <w:rPr>
          <w:rFonts w:ascii="Arial" w:hAnsi="Arial" w:cs="Arial"/>
          <w:bCs/>
          <w:i/>
          <w:iCs/>
          <w:color w:val="002060"/>
        </w:rPr>
      </w:pPr>
      <w:r w:rsidRPr="00BC18B0">
        <w:rPr>
          <w:rFonts w:ascii="Arial" w:hAnsi="Arial" w:cs="Arial"/>
          <w:bCs/>
          <w:i/>
          <w:iCs/>
          <w:color w:val="002060"/>
        </w:rPr>
        <w:t>AOS auditors must contact CFAE via the FACCR Specialty in Spiceworks.</w:t>
      </w:r>
    </w:p>
    <w:p w14:paraId="14FFF8BC" w14:textId="77777777" w:rsidR="001D666E" w:rsidRDefault="001D666E" w:rsidP="001D666E">
      <w:pPr>
        <w:pStyle w:val="ListParagraph"/>
        <w:numPr>
          <w:ilvl w:val="0"/>
          <w:numId w:val="62"/>
        </w:numPr>
        <w:spacing w:after="240"/>
        <w:jc w:val="both"/>
        <w:rPr>
          <w:rFonts w:ascii="Arial" w:hAnsi="Arial" w:cs="Arial"/>
          <w:bCs/>
          <w:i/>
          <w:iCs/>
          <w:color w:val="002060"/>
        </w:rPr>
      </w:pPr>
      <w:r>
        <w:rPr>
          <w:rFonts w:ascii="Arial" w:hAnsi="Arial" w:cs="Arial"/>
          <w:bCs/>
          <w:i/>
          <w:iCs/>
          <w:color w:val="002060"/>
        </w:rPr>
        <w:t>IPAs m</w:t>
      </w:r>
      <w:r w:rsidRPr="00BC18B0">
        <w:rPr>
          <w:rFonts w:ascii="Arial" w:hAnsi="Arial" w:cs="Arial"/>
          <w:bCs/>
          <w:i/>
          <w:iCs/>
          <w:color w:val="002060"/>
        </w:rPr>
        <w:t xml:space="preserve">ust ensure compliance requirements subject to audit are appropriately tailored to incorporate revised Uniform Guidance requirements. </w:t>
      </w: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8"/>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4" w:name="_AGENCY_ADOPTION_OF"/>
      <w:bookmarkStart w:id="5" w:name="_Toc177630917"/>
      <w:bookmarkEnd w:id="4"/>
      <w:r w:rsidRPr="00A0464C">
        <w:rPr>
          <w:rFonts w:cs="Arial"/>
          <w:sz w:val="24"/>
        </w:rPr>
        <w:lastRenderedPageBreak/>
        <w:t>A</w:t>
      </w:r>
      <w:r w:rsidR="00A0464C">
        <w:rPr>
          <w:rFonts w:cs="Arial"/>
          <w:sz w:val="24"/>
        </w:rPr>
        <w:t>gency Adoption of the UG and Example Citations</w:t>
      </w:r>
      <w:bookmarkEnd w:id="5"/>
    </w:p>
    <w:p w14:paraId="35D2AAD9" w14:textId="5B059A15" w:rsidR="00EF77DC" w:rsidRDefault="00DA563A" w:rsidP="006672EA">
      <w:pPr>
        <w:spacing w:after="240"/>
        <w:jc w:val="both"/>
        <w:rPr>
          <w:rFonts w:ascii="Arial" w:hAnsi="Arial" w:cs="Arial"/>
        </w:rPr>
      </w:pPr>
      <w:hyperlink r:id="rId19"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20"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1"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2"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6" w:name="_2CFR_§400.1_"/>
      <w:bookmarkEnd w:id="6"/>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7" w:name="_Toc177630918"/>
      <w:r w:rsidRPr="00F00D94">
        <w:rPr>
          <w:rFonts w:cs="Arial"/>
        </w:rPr>
        <w:lastRenderedPageBreak/>
        <w:t>Table of Contents</w:t>
      </w:r>
      <w:bookmarkEnd w:id="7"/>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0A42DA10" w14:textId="7BC7C980" w:rsidR="00EA49D7"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7630915" w:history="1">
            <w:r w:rsidR="00EA49D7" w:rsidRPr="006F29FB">
              <w:rPr>
                <w:rStyle w:val="Hyperlink"/>
                <w:rFonts w:cs="Arial"/>
                <w:noProof/>
              </w:rPr>
              <w:t>Important Information</w:t>
            </w:r>
            <w:r w:rsidR="00EA49D7">
              <w:rPr>
                <w:noProof/>
                <w:webHidden/>
              </w:rPr>
              <w:tab/>
            </w:r>
            <w:r w:rsidR="00EA49D7">
              <w:rPr>
                <w:noProof/>
                <w:webHidden/>
              </w:rPr>
              <w:fldChar w:fldCharType="begin"/>
            </w:r>
            <w:r w:rsidR="00EA49D7">
              <w:rPr>
                <w:noProof/>
                <w:webHidden/>
              </w:rPr>
              <w:instrText xml:space="preserve"> PAGEREF _Toc177630915 \h </w:instrText>
            </w:r>
            <w:r w:rsidR="00EA49D7">
              <w:rPr>
                <w:noProof/>
                <w:webHidden/>
              </w:rPr>
            </w:r>
            <w:r w:rsidR="00EA49D7">
              <w:rPr>
                <w:noProof/>
                <w:webHidden/>
              </w:rPr>
              <w:fldChar w:fldCharType="separate"/>
            </w:r>
            <w:r w:rsidR="00EA49D7">
              <w:rPr>
                <w:noProof/>
                <w:webHidden/>
              </w:rPr>
              <w:t>1</w:t>
            </w:r>
            <w:r w:rsidR="00EA49D7">
              <w:rPr>
                <w:noProof/>
                <w:webHidden/>
              </w:rPr>
              <w:fldChar w:fldCharType="end"/>
            </w:r>
          </w:hyperlink>
        </w:p>
        <w:p w14:paraId="41B4564E" w14:textId="4A2963AE"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16" w:history="1">
            <w:r w:rsidRPr="006F29FB">
              <w:rPr>
                <w:rStyle w:val="Hyperlink"/>
                <w:noProof/>
              </w:rPr>
              <w:t>2024 Uniform Guidance Updates</w:t>
            </w:r>
            <w:r>
              <w:rPr>
                <w:noProof/>
                <w:webHidden/>
              </w:rPr>
              <w:tab/>
            </w:r>
            <w:r>
              <w:rPr>
                <w:noProof/>
                <w:webHidden/>
              </w:rPr>
              <w:fldChar w:fldCharType="begin"/>
            </w:r>
            <w:r>
              <w:rPr>
                <w:noProof/>
                <w:webHidden/>
              </w:rPr>
              <w:instrText xml:space="preserve"> PAGEREF _Toc177630916 \h </w:instrText>
            </w:r>
            <w:r>
              <w:rPr>
                <w:noProof/>
                <w:webHidden/>
              </w:rPr>
            </w:r>
            <w:r>
              <w:rPr>
                <w:noProof/>
                <w:webHidden/>
              </w:rPr>
              <w:fldChar w:fldCharType="separate"/>
            </w:r>
            <w:r>
              <w:rPr>
                <w:noProof/>
                <w:webHidden/>
              </w:rPr>
              <w:t>2</w:t>
            </w:r>
            <w:r>
              <w:rPr>
                <w:noProof/>
                <w:webHidden/>
              </w:rPr>
              <w:fldChar w:fldCharType="end"/>
            </w:r>
          </w:hyperlink>
        </w:p>
        <w:p w14:paraId="3E5FB48B" w14:textId="14049CC0"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17" w:history="1">
            <w:r w:rsidRPr="006F29FB">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_Toc177630917 \h </w:instrText>
            </w:r>
            <w:r>
              <w:rPr>
                <w:noProof/>
                <w:webHidden/>
              </w:rPr>
            </w:r>
            <w:r>
              <w:rPr>
                <w:noProof/>
                <w:webHidden/>
              </w:rPr>
              <w:fldChar w:fldCharType="separate"/>
            </w:r>
            <w:r>
              <w:rPr>
                <w:noProof/>
                <w:webHidden/>
              </w:rPr>
              <w:t>3</w:t>
            </w:r>
            <w:r>
              <w:rPr>
                <w:noProof/>
                <w:webHidden/>
              </w:rPr>
              <w:fldChar w:fldCharType="end"/>
            </w:r>
          </w:hyperlink>
        </w:p>
        <w:p w14:paraId="789E19E6" w14:textId="03A8F7A7"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18" w:history="1">
            <w:r w:rsidRPr="006F29FB">
              <w:rPr>
                <w:rStyle w:val="Hyperlink"/>
                <w:rFonts w:cs="Arial"/>
                <w:noProof/>
              </w:rPr>
              <w:t>Table of Contents</w:t>
            </w:r>
            <w:r>
              <w:rPr>
                <w:noProof/>
                <w:webHidden/>
              </w:rPr>
              <w:tab/>
            </w:r>
            <w:r>
              <w:rPr>
                <w:noProof/>
                <w:webHidden/>
              </w:rPr>
              <w:fldChar w:fldCharType="begin"/>
            </w:r>
            <w:r>
              <w:rPr>
                <w:noProof/>
                <w:webHidden/>
              </w:rPr>
              <w:instrText xml:space="preserve"> PAGEREF _Toc177630918 \h </w:instrText>
            </w:r>
            <w:r>
              <w:rPr>
                <w:noProof/>
                <w:webHidden/>
              </w:rPr>
            </w:r>
            <w:r>
              <w:rPr>
                <w:noProof/>
                <w:webHidden/>
              </w:rPr>
              <w:fldChar w:fldCharType="separate"/>
            </w:r>
            <w:r>
              <w:rPr>
                <w:noProof/>
                <w:webHidden/>
              </w:rPr>
              <w:t>4</w:t>
            </w:r>
            <w:r>
              <w:rPr>
                <w:noProof/>
                <w:webHidden/>
              </w:rPr>
              <w:fldChar w:fldCharType="end"/>
            </w:r>
          </w:hyperlink>
        </w:p>
        <w:p w14:paraId="645491DA" w14:textId="6AC3920E"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19" w:history="1">
            <w:r w:rsidRPr="006F29FB">
              <w:rPr>
                <w:rStyle w:val="Hyperlink"/>
                <w:rFonts w:cs="Arial"/>
                <w:noProof/>
              </w:rPr>
              <w:t>Compliance Requirement Matrix</w:t>
            </w:r>
            <w:r>
              <w:rPr>
                <w:noProof/>
                <w:webHidden/>
              </w:rPr>
              <w:tab/>
            </w:r>
            <w:r>
              <w:rPr>
                <w:noProof/>
                <w:webHidden/>
              </w:rPr>
              <w:fldChar w:fldCharType="begin"/>
            </w:r>
            <w:r>
              <w:rPr>
                <w:noProof/>
                <w:webHidden/>
              </w:rPr>
              <w:instrText xml:space="preserve"> PAGEREF _Toc177630919 \h </w:instrText>
            </w:r>
            <w:r>
              <w:rPr>
                <w:noProof/>
                <w:webHidden/>
              </w:rPr>
            </w:r>
            <w:r>
              <w:rPr>
                <w:noProof/>
                <w:webHidden/>
              </w:rPr>
              <w:fldChar w:fldCharType="separate"/>
            </w:r>
            <w:r>
              <w:rPr>
                <w:noProof/>
                <w:webHidden/>
              </w:rPr>
              <w:t>6</w:t>
            </w:r>
            <w:r>
              <w:rPr>
                <w:noProof/>
                <w:webHidden/>
              </w:rPr>
              <w:fldChar w:fldCharType="end"/>
            </w:r>
          </w:hyperlink>
        </w:p>
        <w:p w14:paraId="1B6C376F" w14:textId="137D4371"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20" w:history="1">
            <w:r w:rsidRPr="006F29FB">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_Toc177630920 \h </w:instrText>
            </w:r>
            <w:r>
              <w:rPr>
                <w:noProof/>
                <w:webHidden/>
              </w:rPr>
            </w:r>
            <w:r>
              <w:rPr>
                <w:noProof/>
                <w:webHidden/>
              </w:rPr>
              <w:fldChar w:fldCharType="separate"/>
            </w:r>
            <w:r>
              <w:rPr>
                <w:noProof/>
                <w:webHidden/>
              </w:rPr>
              <w:t>10</w:t>
            </w:r>
            <w:r>
              <w:rPr>
                <w:noProof/>
                <w:webHidden/>
              </w:rPr>
              <w:fldChar w:fldCharType="end"/>
            </w:r>
          </w:hyperlink>
        </w:p>
        <w:p w14:paraId="21974BA2" w14:textId="51D3732A"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1" w:history="1">
            <w:r w:rsidRPr="006F29FB">
              <w:rPr>
                <w:rStyle w:val="Hyperlink"/>
                <w:rFonts w:cs="Arial"/>
                <w:noProof/>
              </w:rPr>
              <w:t>I. Program Objectives</w:t>
            </w:r>
            <w:r>
              <w:rPr>
                <w:noProof/>
                <w:webHidden/>
              </w:rPr>
              <w:tab/>
            </w:r>
            <w:r>
              <w:rPr>
                <w:noProof/>
                <w:webHidden/>
              </w:rPr>
              <w:fldChar w:fldCharType="begin"/>
            </w:r>
            <w:r>
              <w:rPr>
                <w:noProof/>
                <w:webHidden/>
              </w:rPr>
              <w:instrText xml:space="preserve"> PAGEREF _Toc177630921 \h </w:instrText>
            </w:r>
            <w:r>
              <w:rPr>
                <w:noProof/>
                <w:webHidden/>
              </w:rPr>
            </w:r>
            <w:r>
              <w:rPr>
                <w:noProof/>
                <w:webHidden/>
              </w:rPr>
              <w:fldChar w:fldCharType="separate"/>
            </w:r>
            <w:r>
              <w:rPr>
                <w:noProof/>
                <w:webHidden/>
              </w:rPr>
              <w:t>10</w:t>
            </w:r>
            <w:r>
              <w:rPr>
                <w:noProof/>
                <w:webHidden/>
              </w:rPr>
              <w:fldChar w:fldCharType="end"/>
            </w:r>
          </w:hyperlink>
        </w:p>
        <w:p w14:paraId="443D4311" w14:textId="06309DF4"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2" w:history="1">
            <w:r w:rsidRPr="006F29FB">
              <w:rPr>
                <w:rStyle w:val="Hyperlink"/>
                <w:rFonts w:cs="Arial"/>
                <w:noProof/>
              </w:rPr>
              <w:t>II. Program Procedures</w:t>
            </w:r>
            <w:r>
              <w:rPr>
                <w:noProof/>
                <w:webHidden/>
              </w:rPr>
              <w:tab/>
            </w:r>
            <w:r>
              <w:rPr>
                <w:noProof/>
                <w:webHidden/>
              </w:rPr>
              <w:fldChar w:fldCharType="begin"/>
            </w:r>
            <w:r>
              <w:rPr>
                <w:noProof/>
                <w:webHidden/>
              </w:rPr>
              <w:instrText xml:space="preserve"> PAGEREF _Toc177630922 \h </w:instrText>
            </w:r>
            <w:r>
              <w:rPr>
                <w:noProof/>
                <w:webHidden/>
              </w:rPr>
            </w:r>
            <w:r>
              <w:rPr>
                <w:noProof/>
                <w:webHidden/>
              </w:rPr>
              <w:fldChar w:fldCharType="separate"/>
            </w:r>
            <w:r>
              <w:rPr>
                <w:noProof/>
                <w:webHidden/>
              </w:rPr>
              <w:t>10</w:t>
            </w:r>
            <w:r>
              <w:rPr>
                <w:noProof/>
                <w:webHidden/>
              </w:rPr>
              <w:fldChar w:fldCharType="end"/>
            </w:r>
          </w:hyperlink>
        </w:p>
        <w:p w14:paraId="7D42CC5F" w14:textId="4A582A76"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3" w:history="1">
            <w:r w:rsidRPr="006F29FB">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_Toc177630923 \h </w:instrText>
            </w:r>
            <w:r>
              <w:rPr>
                <w:noProof/>
                <w:webHidden/>
              </w:rPr>
            </w:r>
            <w:r>
              <w:rPr>
                <w:noProof/>
                <w:webHidden/>
              </w:rPr>
              <w:fldChar w:fldCharType="separate"/>
            </w:r>
            <w:r>
              <w:rPr>
                <w:noProof/>
                <w:webHidden/>
              </w:rPr>
              <w:t>11</w:t>
            </w:r>
            <w:r>
              <w:rPr>
                <w:noProof/>
                <w:webHidden/>
              </w:rPr>
              <w:fldChar w:fldCharType="end"/>
            </w:r>
          </w:hyperlink>
        </w:p>
        <w:p w14:paraId="06A7599E" w14:textId="7E72D01A"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4" w:history="1">
            <w:r w:rsidRPr="006F29FB">
              <w:rPr>
                <w:rStyle w:val="Hyperlink"/>
                <w:rFonts w:cs="Arial"/>
                <w:noProof/>
              </w:rPr>
              <w:t>IV. Other Information</w:t>
            </w:r>
            <w:r>
              <w:rPr>
                <w:noProof/>
                <w:webHidden/>
              </w:rPr>
              <w:tab/>
            </w:r>
            <w:r>
              <w:rPr>
                <w:noProof/>
                <w:webHidden/>
              </w:rPr>
              <w:fldChar w:fldCharType="begin"/>
            </w:r>
            <w:r>
              <w:rPr>
                <w:noProof/>
                <w:webHidden/>
              </w:rPr>
              <w:instrText xml:space="preserve"> PAGEREF _Toc177630924 \h </w:instrText>
            </w:r>
            <w:r>
              <w:rPr>
                <w:noProof/>
                <w:webHidden/>
              </w:rPr>
            </w:r>
            <w:r>
              <w:rPr>
                <w:noProof/>
                <w:webHidden/>
              </w:rPr>
              <w:fldChar w:fldCharType="separate"/>
            </w:r>
            <w:r>
              <w:rPr>
                <w:noProof/>
                <w:webHidden/>
              </w:rPr>
              <w:t>12</w:t>
            </w:r>
            <w:r>
              <w:rPr>
                <w:noProof/>
                <w:webHidden/>
              </w:rPr>
              <w:fldChar w:fldCharType="end"/>
            </w:r>
          </w:hyperlink>
        </w:p>
        <w:p w14:paraId="5D25B4AD" w14:textId="19A70F96"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25" w:history="1">
            <w:r w:rsidRPr="006F29FB">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_Toc177630925 \h </w:instrText>
            </w:r>
            <w:r>
              <w:rPr>
                <w:noProof/>
                <w:webHidden/>
              </w:rPr>
            </w:r>
            <w:r>
              <w:rPr>
                <w:noProof/>
                <w:webHidden/>
              </w:rPr>
              <w:fldChar w:fldCharType="separate"/>
            </w:r>
            <w:r>
              <w:rPr>
                <w:noProof/>
                <w:webHidden/>
              </w:rPr>
              <w:t>14</w:t>
            </w:r>
            <w:r>
              <w:rPr>
                <w:noProof/>
                <w:webHidden/>
              </w:rPr>
              <w:fldChar w:fldCharType="end"/>
            </w:r>
          </w:hyperlink>
        </w:p>
        <w:p w14:paraId="0A91261F" w14:textId="70AAB612"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6" w:history="1">
            <w:r w:rsidRPr="006F29FB">
              <w:rPr>
                <w:rStyle w:val="Hyperlink"/>
                <w:rFonts w:cs="Arial"/>
                <w:noProof/>
              </w:rPr>
              <w:t>Program Overview</w:t>
            </w:r>
            <w:r>
              <w:rPr>
                <w:noProof/>
                <w:webHidden/>
              </w:rPr>
              <w:tab/>
            </w:r>
            <w:r>
              <w:rPr>
                <w:noProof/>
                <w:webHidden/>
              </w:rPr>
              <w:fldChar w:fldCharType="begin"/>
            </w:r>
            <w:r>
              <w:rPr>
                <w:noProof/>
                <w:webHidden/>
              </w:rPr>
              <w:instrText xml:space="preserve"> PAGEREF _Toc177630926 \h </w:instrText>
            </w:r>
            <w:r>
              <w:rPr>
                <w:noProof/>
                <w:webHidden/>
              </w:rPr>
            </w:r>
            <w:r>
              <w:rPr>
                <w:noProof/>
                <w:webHidden/>
              </w:rPr>
              <w:fldChar w:fldCharType="separate"/>
            </w:r>
            <w:r>
              <w:rPr>
                <w:noProof/>
                <w:webHidden/>
              </w:rPr>
              <w:t>14</w:t>
            </w:r>
            <w:r>
              <w:rPr>
                <w:noProof/>
                <w:webHidden/>
              </w:rPr>
              <w:fldChar w:fldCharType="end"/>
            </w:r>
          </w:hyperlink>
        </w:p>
        <w:p w14:paraId="7D701B7F" w14:textId="6DA06B14"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7" w:history="1">
            <w:r w:rsidRPr="006F29FB">
              <w:rPr>
                <w:rStyle w:val="Hyperlink"/>
                <w:rFonts w:cs="Arial"/>
                <w:noProof/>
              </w:rPr>
              <w:t>Testing Considerations</w:t>
            </w:r>
            <w:r>
              <w:rPr>
                <w:noProof/>
                <w:webHidden/>
              </w:rPr>
              <w:tab/>
            </w:r>
            <w:r>
              <w:rPr>
                <w:noProof/>
                <w:webHidden/>
              </w:rPr>
              <w:fldChar w:fldCharType="begin"/>
            </w:r>
            <w:r>
              <w:rPr>
                <w:noProof/>
                <w:webHidden/>
              </w:rPr>
              <w:instrText xml:space="preserve"> PAGEREF _Toc177630927 \h </w:instrText>
            </w:r>
            <w:r>
              <w:rPr>
                <w:noProof/>
                <w:webHidden/>
              </w:rPr>
            </w:r>
            <w:r>
              <w:rPr>
                <w:noProof/>
                <w:webHidden/>
              </w:rPr>
              <w:fldChar w:fldCharType="separate"/>
            </w:r>
            <w:r>
              <w:rPr>
                <w:noProof/>
                <w:webHidden/>
              </w:rPr>
              <w:t>14</w:t>
            </w:r>
            <w:r>
              <w:rPr>
                <w:noProof/>
                <w:webHidden/>
              </w:rPr>
              <w:fldChar w:fldCharType="end"/>
            </w:r>
          </w:hyperlink>
        </w:p>
        <w:p w14:paraId="50DBC5BB" w14:textId="0CE52C6B"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28" w:history="1">
            <w:r w:rsidRPr="006F29FB">
              <w:rPr>
                <w:rStyle w:val="Hyperlink"/>
                <w:rFonts w:cs="Arial"/>
                <w:noProof/>
              </w:rPr>
              <w:t>Reporting</w:t>
            </w:r>
            <w:r>
              <w:rPr>
                <w:noProof/>
                <w:webHidden/>
              </w:rPr>
              <w:tab/>
            </w:r>
            <w:r>
              <w:rPr>
                <w:noProof/>
                <w:webHidden/>
              </w:rPr>
              <w:fldChar w:fldCharType="begin"/>
            </w:r>
            <w:r>
              <w:rPr>
                <w:noProof/>
                <w:webHidden/>
              </w:rPr>
              <w:instrText xml:space="preserve"> PAGEREF _Toc177630928 \h </w:instrText>
            </w:r>
            <w:r>
              <w:rPr>
                <w:noProof/>
                <w:webHidden/>
              </w:rPr>
            </w:r>
            <w:r>
              <w:rPr>
                <w:noProof/>
                <w:webHidden/>
              </w:rPr>
              <w:fldChar w:fldCharType="separate"/>
            </w:r>
            <w:r>
              <w:rPr>
                <w:noProof/>
                <w:webHidden/>
              </w:rPr>
              <w:t>14</w:t>
            </w:r>
            <w:r>
              <w:rPr>
                <w:noProof/>
                <w:webHidden/>
              </w:rPr>
              <w:fldChar w:fldCharType="end"/>
            </w:r>
          </w:hyperlink>
        </w:p>
        <w:p w14:paraId="1A3D74AC" w14:textId="32357413" w:rsidR="00EA49D7" w:rsidRDefault="00EA49D7">
          <w:pPr>
            <w:pStyle w:val="TOC1"/>
            <w:rPr>
              <w:rFonts w:asciiTheme="minorHAnsi" w:eastAsiaTheme="minorEastAsia" w:hAnsiTheme="minorHAnsi" w:cstheme="minorBidi"/>
              <w:noProof/>
              <w:kern w:val="2"/>
              <w:sz w:val="24"/>
              <w:szCs w:val="24"/>
              <w14:ligatures w14:val="standardContextual"/>
            </w:rPr>
          </w:pPr>
          <w:hyperlink w:anchor="_Toc177630929" w:history="1">
            <w:r w:rsidRPr="006F29FB">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_Toc177630929 \h </w:instrText>
            </w:r>
            <w:r>
              <w:rPr>
                <w:noProof/>
                <w:webHidden/>
              </w:rPr>
            </w:r>
            <w:r>
              <w:rPr>
                <w:noProof/>
                <w:webHidden/>
              </w:rPr>
              <w:fldChar w:fldCharType="separate"/>
            </w:r>
            <w:r>
              <w:rPr>
                <w:noProof/>
                <w:webHidden/>
              </w:rPr>
              <w:t>15</w:t>
            </w:r>
            <w:r>
              <w:rPr>
                <w:noProof/>
                <w:webHidden/>
              </w:rPr>
              <w:fldChar w:fldCharType="end"/>
            </w:r>
          </w:hyperlink>
        </w:p>
        <w:p w14:paraId="42B1A6E0" w14:textId="68CE068E" w:rsidR="00EA49D7" w:rsidRDefault="00EA49D7">
          <w:pPr>
            <w:pStyle w:val="TOC2"/>
            <w:rPr>
              <w:rFonts w:asciiTheme="minorHAnsi" w:eastAsiaTheme="minorEastAsia" w:hAnsiTheme="minorHAnsi" w:cstheme="minorBidi"/>
              <w:bCs w:val="0"/>
              <w:kern w:val="2"/>
              <w:sz w:val="24"/>
              <w14:ligatures w14:val="standardContextual"/>
            </w:rPr>
          </w:pPr>
          <w:hyperlink w:anchor="_Toc177630930" w:history="1">
            <w:r w:rsidRPr="006F29FB">
              <w:rPr>
                <w:rStyle w:val="Hyperlink"/>
              </w:rPr>
              <w:t>A.  ACTIVITIES ALLOWED OR UNALLOWED</w:t>
            </w:r>
            <w:r>
              <w:rPr>
                <w:webHidden/>
              </w:rPr>
              <w:tab/>
            </w:r>
            <w:r>
              <w:rPr>
                <w:webHidden/>
              </w:rPr>
              <w:fldChar w:fldCharType="begin"/>
            </w:r>
            <w:r>
              <w:rPr>
                <w:webHidden/>
              </w:rPr>
              <w:instrText xml:space="preserve"> PAGEREF _Toc177630930 \h </w:instrText>
            </w:r>
            <w:r>
              <w:rPr>
                <w:webHidden/>
              </w:rPr>
            </w:r>
            <w:r>
              <w:rPr>
                <w:webHidden/>
              </w:rPr>
              <w:fldChar w:fldCharType="separate"/>
            </w:r>
            <w:r>
              <w:rPr>
                <w:webHidden/>
              </w:rPr>
              <w:t>15</w:t>
            </w:r>
            <w:r>
              <w:rPr>
                <w:webHidden/>
              </w:rPr>
              <w:fldChar w:fldCharType="end"/>
            </w:r>
          </w:hyperlink>
        </w:p>
        <w:p w14:paraId="345BC8A6" w14:textId="5F516001"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1"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_Toc177630931 \h </w:instrText>
            </w:r>
            <w:r>
              <w:rPr>
                <w:noProof/>
                <w:webHidden/>
              </w:rPr>
            </w:r>
            <w:r>
              <w:rPr>
                <w:noProof/>
                <w:webHidden/>
              </w:rPr>
              <w:fldChar w:fldCharType="separate"/>
            </w:r>
            <w:r>
              <w:rPr>
                <w:noProof/>
                <w:webHidden/>
              </w:rPr>
              <w:t>15</w:t>
            </w:r>
            <w:r>
              <w:rPr>
                <w:noProof/>
                <w:webHidden/>
              </w:rPr>
              <w:fldChar w:fldCharType="end"/>
            </w:r>
          </w:hyperlink>
        </w:p>
        <w:p w14:paraId="402D6A03" w14:textId="75CA1A36"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2"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_Toc177630932 \h </w:instrText>
            </w:r>
            <w:r>
              <w:rPr>
                <w:noProof/>
                <w:webHidden/>
              </w:rPr>
            </w:r>
            <w:r>
              <w:rPr>
                <w:noProof/>
                <w:webHidden/>
              </w:rPr>
              <w:fldChar w:fldCharType="separate"/>
            </w:r>
            <w:r>
              <w:rPr>
                <w:noProof/>
                <w:webHidden/>
              </w:rPr>
              <w:t>17</w:t>
            </w:r>
            <w:r>
              <w:rPr>
                <w:noProof/>
                <w:webHidden/>
              </w:rPr>
              <w:fldChar w:fldCharType="end"/>
            </w:r>
          </w:hyperlink>
        </w:p>
        <w:p w14:paraId="2948C989" w14:textId="7A2A43F5"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3" w:history="1">
            <w:r w:rsidRPr="006F29FB">
              <w:rPr>
                <w:rStyle w:val="Hyperlink"/>
                <w:noProof/>
              </w:rPr>
              <w:t>Audit Objectives and Control Testing</w:t>
            </w:r>
            <w:r>
              <w:rPr>
                <w:noProof/>
                <w:webHidden/>
              </w:rPr>
              <w:tab/>
            </w:r>
            <w:r>
              <w:rPr>
                <w:noProof/>
                <w:webHidden/>
              </w:rPr>
              <w:fldChar w:fldCharType="begin"/>
            </w:r>
            <w:r>
              <w:rPr>
                <w:noProof/>
                <w:webHidden/>
              </w:rPr>
              <w:instrText xml:space="preserve"> PAGEREF _Toc177630933 \h </w:instrText>
            </w:r>
            <w:r>
              <w:rPr>
                <w:noProof/>
                <w:webHidden/>
              </w:rPr>
            </w:r>
            <w:r>
              <w:rPr>
                <w:noProof/>
                <w:webHidden/>
              </w:rPr>
              <w:fldChar w:fldCharType="separate"/>
            </w:r>
            <w:r>
              <w:rPr>
                <w:noProof/>
                <w:webHidden/>
              </w:rPr>
              <w:t>17</w:t>
            </w:r>
            <w:r>
              <w:rPr>
                <w:noProof/>
                <w:webHidden/>
              </w:rPr>
              <w:fldChar w:fldCharType="end"/>
            </w:r>
          </w:hyperlink>
        </w:p>
        <w:p w14:paraId="68685B71" w14:textId="7AC0250C"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4"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_Toc177630934 \h </w:instrText>
            </w:r>
            <w:r>
              <w:rPr>
                <w:noProof/>
                <w:webHidden/>
              </w:rPr>
            </w:r>
            <w:r>
              <w:rPr>
                <w:noProof/>
                <w:webHidden/>
              </w:rPr>
              <w:fldChar w:fldCharType="separate"/>
            </w:r>
            <w:r>
              <w:rPr>
                <w:noProof/>
                <w:webHidden/>
              </w:rPr>
              <w:t>18</w:t>
            </w:r>
            <w:r>
              <w:rPr>
                <w:noProof/>
                <w:webHidden/>
              </w:rPr>
              <w:fldChar w:fldCharType="end"/>
            </w:r>
          </w:hyperlink>
        </w:p>
        <w:p w14:paraId="0688F39E" w14:textId="7D106FFA"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5"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_Toc177630935 \h </w:instrText>
            </w:r>
            <w:r>
              <w:rPr>
                <w:noProof/>
                <w:webHidden/>
              </w:rPr>
            </w:r>
            <w:r>
              <w:rPr>
                <w:noProof/>
                <w:webHidden/>
              </w:rPr>
              <w:fldChar w:fldCharType="separate"/>
            </w:r>
            <w:r>
              <w:rPr>
                <w:noProof/>
                <w:webHidden/>
              </w:rPr>
              <w:t>19</w:t>
            </w:r>
            <w:r>
              <w:rPr>
                <w:noProof/>
                <w:webHidden/>
              </w:rPr>
              <w:fldChar w:fldCharType="end"/>
            </w:r>
          </w:hyperlink>
        </w:p>
        <w:p w14:paraId="4EF6A7A6" w14:textId="715C6238" w:rsidR="00EA49D7" w:rsidRDefault="00EA49D7">
          <w:pPr>
            <w:pStyle w:val="TOC2"/>
            <w:rPr>
              <w:rFonts w:asciiTheme="minorHAnsi" w:eastAsiaTheme="minorEastAsia" w:hAnsiTheme="minorHAnsi" w:cstheme="minorBidi"/>
              <w:bCs w:val="0"/>
              <w:kern w:val="2"/>
              <w:sz w:val="24"/>
              <w14:ligatures w14:val="standardContextual"/>
            </w:rPr>
          </w:pPr>
          <w:hyperlink w:anchor="_Toc177630936" w:history="1">
            <w:r w:rsidRPr="006F29FB">
              <w:rPr>
                <w:rStyle w:val="Hyperlink"/>
              </w:rPr>
              <w:t>B.  ALLOWABLE COSTS/COST PRINCIPLES</w:t>
            </w:r>
            <w:r>
              <w:rPr>
                <w:webHidden/>
              </w:rPr>
              <w:tab/>
            </w:r>
            <w:r>
              <w:rPr>
                <w:webHidden/>
              </w:rPr>
              <w:fldChar w:fldCharType="begin"/>
            </w:r>
            <w:r>
              <w:rPr>
                <w:webHidden/>
              </w:rPr>
              <w:instrText xml:space="preserve"> PAGEREF _Toc177630936 \h </w:instrText>
            </w:r>
            <w:r>
              <w:rPr>
                <w:webHidden/>
              </w:rPr>
            </w:r>
            <w:r>
              <w:rPr>
                <w:webHidden/>
              </w:rPr>
              <w:fldChar w:fldCharType="separate"/>
            </w:r>
            <w:r>
              <w:rPr>
                <w:webHidden/>
              </w:rPr>
              <w:t>21</w:t>
            </w:r>
            <w:r>
              <w:rPr>
                <w:webHidden/>
              </w:rPr>
              <w:fldChar w:fldCharType="end"/>
            </w:r>
          </w:hyperlink>
        </w:p>
        <w:p w14:paraId="678A6E6F" w14:textId="643AE2C6"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7" w:history="1">
            <w:r w:rsidRPr="006F29FB">
              <w:rPr>
                <w:rStyle w:val="Hyperlink"/>
                <w:rFonts w:cs="Arial"/>
                <w:noProof/>
              </w:rPr>
              <w:t>Applicability of Cost Principles</w:t>
            </w:r>
            <w:r>
              <w:rPr>
                <w:noProof/>
                <w:webHidden/>
              </w:rPr>
              <w:tab/>
            </w:r>
            <w:r>
              <w:rPr>
                <w:noProof/>
                <w:webHidden/>
              </w:rPr>
              <w:fldChar w:fldCharType="begin"/>
            </w:r>
            <w:r>
              <w:rPr>
                <w:noProof/>
                <w:webHidden/>
              </w:rPr>
              <w:instrText xml:space="preserve"> PAGEREF _Toc177630937 \h </w:instrText>
            </w:r>
            <w:r>
              <w:rPr>
                <w:noProof/>
                <w:webHidden/>
              </w:rPr>
            </w:r>
            <w:r>
              <w:rPr>
                <w:noProof/>
                <w:webHidden/>
              </w:rPr>
              <w:fldChar w:fldCharType="separate"/>
            </w:r>
            <w:r>
              <w:rPr>
                <w:noProof/>
                <w:webHidden/>
              </w:rPr>
              <w:t>22</w:t>
            </w:r>
            <w:r>
              <w:rPr>
                <w:noProof/>
                <w:webHidden/>
              </w:rPr>
              <w:fldChar w:fldCharType="end"/>
            </w:r>
          </w:hyperlink>
        </w:p>
        <w:p w14:paraId="44BB7E14" w14:textId="6B3C14B7"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8"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_Toc177630938 \h </w:instrText>
            </w:r>
            <w:r>
              <w:rPr>
                <w:noProof/>
                <w:webHidden/>
              </w:rPr>
            </w:r>
            <w:r>
              <w:rPr>
                <w:noProof/>
                <w:webHidden/>
              </w:rPr>
              <w:fldChar w:fldCharType="separate"/>
            </w:r>
            <w:r>
              <w:rPr>
                <w:noProof/>
                <w:webHidden/>
              </w:rPr>
              <w:t>25</w:t>
            </w:r>
            <w:r>
              <w:rPr>
                <w:noProof/>
                <w:webHidden/>
              </w:rPr>
              <w:fldChar w:fldCharType="end"/>
            </w:r>
          </w:hyperlink>
        </w:p>
        <w:p w14:paraId="67E0925D" w14:textId="7AE7FDD0"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39" w:history="1">
            <w:r w:rsidRPr="006F29FB">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_Toc177630939 \h </w:instrText>
            </w:r>
            <w:r>
              <w:rPr>
                <w:noProof/>
                <w:webHidden/>
              </w:rPr>
            </w:r>
            <w:r>
              <w:rPr>
                <w:noProof/>
                <w:webHidden/>
              </w:rPr>
              <w:fldChar w:fldCharType="separate"/>
            </w:r>
            <w:r>
              <w:rPr>
                <w:noProof/>
                <w:webHidden/>
              </w:rPr>
              <w:t>25</w:t>
            </w:r>
            <w:r>
              <w:rPr>
                <w:noProof/>
                <w:webHidden/>
              </w:rPr>
              <w:fldChar w:fldCharType="end"/>
            </w:r>
          </w:hyperlink>
        </w:p>
        <w:p w14:paraId="2D5BF678" w14:textId="3340E302"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0"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_Toc177630940 \h </w:instrText>
            </w:r>
            <w:r>
              <w:rPr>
                <w:noProof/>
                <w:webHidden/>
              </w:rPr>
            </w:r>
            <w:r>
              <w:rPr>
                <w:noProof/>
                <w:webHidden/>
              </w:rPr>
              <w:fldChar w:fldCharType="separate"/>
            </w:r>
            <w:r>
              <w:rPr>
                <w:noProof/>
                <w:webHidden/>
              </w:rPr>
              <w:t>25</w:t>
            </w:r>
            <w:r>
              <w:rPr>
                <w:noProof/>
                <w:webHidden/>
              </w:rPr>
              <w:fldChar w:fldCharType="end"/>
            </w:r>
          </w:hyperlink>
        </w:p>
        <w:p w14:paraId="3C0B16A9" w14:textId="1E7A8192"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1"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_Toc177630941 \h </w:instrText>
            </w:r>
            <w:r>
              <w:rPr>
                <w:noProof/>
                <w:webHidden/>
              </w:rPr>
            </w:r>
            <w:r>
              <w:rPr>
                <w:noProof/>
                <w:webHidden/>
              </w:rPr>
              <w:fldChar w:fldCharType="separate"/>
            </w:r>
            <w:r>
              <w:rPr>
                <w:noProof/>
                <w:webHidden/>
              </w:rPr>
              <w:t>33</w:t>
            </w:r>
            <w:r>
              <w:rPr>
                <w:noProof/>
                <w:webHidden/>
              </w:rPr>
              <w:fldChar w:fldCharType="end"/>
            </w:r>
          </w:hyperlink>
        </w:p>
        <w:p w14:paraId="10712CA9" w14:textId="19EDF8B4" w:rsidR="00EA49D7" w:rsidRDefault="00EA49D7">
          <w:pPr>
            <w:pStyle w:val="TOC2"/>
            <w:rPr>
              <w:rFonts w:asciiTheme="minorHAnsi" w:eastAsiaTheme="minorEastAsia" w:hAnsiTheme="minorHAnsi" w:cstheme="minorBidi"/>
              <w:bCs w:val="0"/>
              <w:kern w:val="2"/>
              <w:sz w:val="24"/>
              <w14:ligatures w14:val="standardContextual"/>
            </w:rPr>
          </w:pPr>
          <w:hyperlink w:anchor="_Toc177630942" w:history="1">
            <w:r w:rsidRPr="006F29FB">
              <w:rPr>
                <w:rStyle w:val="Hyperlink"/>
              </w:rPr>
              <w:t>G.  MATCHING, LEVEL OF EFFORT, EARMARKING</w:t>
            </w:r>
            <w:r>
              <w:rPr>
                <w:webHidden/>
              </w:rPr>
              <w:tab/>
            </w:r>
            <w:r>
              <w:rPr>
                <w:webHidden/>
              </w:rPr>
              <w:fldChar w:fldCharType="begin"/>
            </w:r>
            <w:r>
              <w:rPr>
                <w:webHidden/>
              </w:rPr>
              <w:instrText xml:space="preserve"> PAGEREF _Toc177630942 \h </w:instrText>
            </w:r>
            <w:r>
              <w:rPr>
                <w:webHidden/>
              </w:rPr>
            </w:r>
            <w:r>
              <w:rPr>
                <w:webHidden/>
              </w:rPr>
              <w:fldChar w:fldCharType="separate"/>
            </w:r>
            <w:r>
              <w:rPr>
                <w:webHidden/>
              </w:rPr>
              <w:t>35</w:t>
            </w:r>
            <w:r>
              <w:rPr>
                <w:webHidden/>
              </w:rPr>
              <w:fldChar w:fldCharType="end"/>
            </w:r>
          </w:hyperlink>
        </w:p>
        <w:p w14:paraId="60CB0C03" w14:textId="44BDC3FF"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3"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_Toc177630943 \h </w:instrText>
            </w:r>
            <w:r>
              <w:rPr>
                <w:noProof/>
                <w:webHidden/>
              </w:rPr>
            </w:r>
            <w:r>
              <w:rPr>
                <w:noProof/>
                <w:webHidden/>
              </w:rPr>
              <w:fldChar w:fldCharType="separate"/>
            </w:r>
            <w:r>
              <w:rPr>
                <w:noProof/>
                <w:webHidden/>
              </w:rPr>
              <w:t>35</w:t>
            </w:r>
            <w:r>
              <w:rPr>
                <w:noProof/>
                <w:webHidden/>
              </w:rPr>
              <w:fldChar w:fldCharType="end"/>
            </w:r>
          </w:hyperlink>
        </w:p>
        <w:p w14:paraId="6898A6E7" w14:textId="6A7F9C8F"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4"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_Toc177630944 \h </w:instrText>
            </w:r>
            <w:r>
              <w:rPr>
                <w:noProof/>
                <w:webHidden/>
              </w:rPr>
            </w:r>
            <w:r>
              <w:rPr>
                <w:noProof/>
                <w:webHidden/>
              </w:rPr>
              <w:fldChar w:fldCharType="separate"/>
            </w:r>
            <w:r>
              <w:rPr>
                <w:noProof/>
                <w:webHidden/>
              </w:rPr>
              <w:t>37</w:t>
            </w:r>
            <w:r>
              <w:rPr>
                <w:noProof/>
                <w:webHidden/>
              </w:rPr>
              <w:fldChar w:fldCharType="end"/>
            </w:r>
          </w:hyperlink>
        </w:p>
        <w:p w14:paraId="4347E7A0" w14:textId="5A5B8DF7"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5" w:history="1">
            <w:r w:rsidRPr="006F29F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_Toc177630945 \h </w:instrText>
            </w:r>
            <w:r>
              <w:rPr>
                <w:noProof/>
                <w:webHidden/>
              </w:rPr>
            </w:r>
            <w:r>
              <w:rPr>
                <w:noProof/>
                <w:webHidden/>
              </w:rPr>
              <w:fldChar w:fldCharType="separate"/>
            </w:r>
            <w:r>
              <w:rPr>
                <w:noProof/>
                <w:webHidden/>
              </w:rPr>
              <w:t>37</w:t>
            </w:r>
            <w:r>
              <w:rPr>
                <w:noProof/>
                <w:webHidden/>
              </w:rPr>
              <w:fldChar w:fldCharType="end"/>
            </w:r>
          </w:hyperlink>
        </w:p>
        <w:p w14:paraId="388DBAB2" w14:textId="13A475E3"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6"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_Toc177630946 \h </w:instrText>
            </w:r>
            <w:r>
              <w:rPr>
                <w:noProof/>
                <w:webHidden/>
              </w:rPr>
            </w:r>
            <w:r>
              <w:rPr>
                <w:noProof/>
                <w:webHidden/>
              </w:rPr>
              <w:fldChar w:fldCharType="separate"/>
            </w:r>
            <w:r>
              <w:rPr>
                <w:noProof/>
                <w:webHidden/>
              </w:rPr>
              <w:t>38</w:t>
            </w:r>
            <w:r>
              <w:rPr>
                <w:noProof/>
                <w:webHidden/>
              </w:rPr>
              <w:fldChar w:fldCharType="end"/>
            </w:r>
          </w:hyperlink>
        </w:p>
        <w:p w14:paraId="304002C6" w14:textId="2E2111F0"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7"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_Toc177630947 \h </w:instrText>
            </w:r>
            <w:r>
              <w:rPr>
                <w:noProof/>
                <w:webHidden/>
              </w:rPr>
            </w:r>
            <w:r>
              <w:rPr>
                <w:noProof/>
                <w:webHidden/>
              </w:rPr>
              <w:fldChar w:fldCharType="separate"/>
            </w:r>
            <w:r>
              <w:rPr>
                <w:noProof/>
                <w:webHidden/>
              </w:rPr>
              <w:t>40</w:t>
            </w:r>
            <w:r>
              <w:rPr>
                <w:noProof/>
                <w:webHidden/>
              </w:rPr>
              <w:fldChar w:fldCharType="end"/>
            </w:r>
          </w:hyperlink>
        </w:p>
        <w:p w14:paraId="22B7440B" w14:textId="7A772473" w:rsidR="00EA49D7" w:rsidRDefault="00EA49D7">
          <w:pPr>
            <w:pStyle w:val="TOC2"/>
            <w:rPr>
              <w:rFonts w:asciiTheme="minorHAnsi" w:eastAsiaTheme="minorEastAsia" w:hAnsiTheme="minorHAnsi" w:cstheme="minorBidi"/>
              <w:bCs w:val="0"/>
              <w:kern w:val="2"/>
              <w:sz w:val="24"/>
              <w14:ligatures w14:val="standardContextual"/>
            </w:rPr>
          </w:pPr>
          <w:hyperlink w:anchor="_Toc177630948" w:history="1">
            <w:r w:rsidRPr="006F29FB">
              <w:rPr>
                <w:rStyle w:val="Hyperlink"/>
              </w:rPr>
              <w:t>H.  PERIOD OF PERFORMANCE</w:t>
            </w:r>
            <w:r>
              <w:rPr>
                <w:webHidden/>
              </w:rPr>
              <w:tab/>
            </w:r>
            <w:r>
              <w:rPr>
                <w:webHidden/>
              </w:rPr>
              <w:fldChar w:fldCharType="begin"/>
            </w:r>
            <w:r>
              <w:rPr>
                <w:webHidden/>
              </w:rPr>
              <w:instrText xml:space="preserve"> PAGEREF _Toc177630948 \h </w:instrText>
            </w:r>
            <w:r>
              <w:rPr>
                <w:webHidden/>
              </w:rPr>
            </w:r>
            <w:r>
              <w:rPr>
                <w:webHidden/>
              </w:rPr>
              <w:fldChar w:fldCharType="separate"/>
            </w:r>
            <w:r>
              <w:rPr>
                <w:webHidden/>
              </w:rPr>
              <w:t>42</w:t>
            </w:r>
            <w:r>
              <w:rPr>
                <w:webHidden/>
              </w:rPr>
              <w:fldChar w:fldCharType="end"/>
            </w:r>
          </w:hyperlink>
        </w:p>
        <w:p w14:paraId="6BBA12DD" w14:textId="369F801D"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49"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_Toc177630949 \h </w:instrText>
            </w:r>
            <w:r>
              <w:rPr>
                <w:noProof/>
                <w:webHidden/>
              </w:rPr>
            </w:r>
            <w:r>
              <w:rPr>
                <w:noProof/>
                <w:webHidden/>
              </w:rPr>
              <w:fldChar w:fldCharType="separate"/>
            </w:r>
            <w:r>
              <w:rPr>
                <w:noProof/>
                <w:webHidden/>
              </w:rPr>
              <w:t>42</w:t>
            </w:r>
            <w:r>
              <w:rPr>
                <w:noProof/>
                <w:webHidden/>
              </w:rPr>
              <w:fldChar w:fldCharType="end"/>
            </w:r>
          </w:hyperlink>
        </w:p>
        <w:p w14:paraId="5C72A351" w14:textId="79102B1F"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0"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_Toc177630950 \h </w:instrText>
            </w:r>
            <w:r>
              <w:rPr>
                <w:noProof/>
                <w:webHidden/>
              </w:rPr>
            </w:r>
            <w:r>
              <w:rPr>
                <w:noProof/>
                <w:webHidden/>
              </w:rPr>
              <w:fldChar w:fldCharType="separate"/>
            </w:r>
            <w:r>
              <w:rPr>
                <w:noProof/>
                <w:webHidden/>
              </w:rPr>
              <w:t>43</w:t>
            </w:r>
            <w:r>
              <w:rPr>
                <w:noProof/>
                <w:webHidden/>
              </w:rPr>
              <w:fldChar w:fldCharType="end"/>
            </w:r>
          </w:hyperlink>
        </w:p>
        <w:p w14:paraId="34F03E28" w14:textId="54E780B4"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1" w:history="1">
            <w:r w:rsidRPr="006F29F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_Toc177630951 \h </w:instrText>
            </w:r>
            <w:r>
              <w:rPr>
                <w:noProof/>
                <w:webHidden/>
              </w:rPr>
            </w:r>
            <w:r>
              <w:rPr>
                <w:noProof/>
                <w:webHidden/>
              </w:rPr>
              <w:fldChar w:fldCharType="separate"/>
            </w:r>
            <w:r>
              <w:rPr>
                <w:noProof/>
                <w:webHidden/>
              </w:rPr>
              <w:t>43</w:t>
            </w:r>
            <w:r>
              <w:rPr>
                <w:noProof/>
                <w:webHidden/>
              </w:rPr>
              <w:fldChar w:fldCharType="end"/>
            </w:r>
          </w:hyperlink>
        </w:p>
        <w:p w14:paraId="7F8D554D" w14:textId="3A03149F"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2"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_Toc177630952 \h </w:instrText>
            </w:r>
            <w:r>
              <w:rPr>
                <w:noProof/>
                <w:webHidden/>
              </w:rPr>
            </w:r>
            <w:r>
              <w:rPr>
                <w:noProof/>
                <w:webHidden/>
              </w:rPr>
              <w:fldChar w:fldCharType="separate"/>
            </w:r>
            <w:r>
              <w:rPr>
                <w:noProof/>
                <w:webHidden/>
              </w:rPr>
              <w:t>44</w:t>
            </w:r>
            <w:r>
              <w:rPr>
                <w:noProof/>
                <w:webHidden/>
              </w:rPr>
              <w:fldChar w:fldCharType="end"/>
            </w:r>
          </w:hyperlink>
        </w:p>
        <w:p w14:paraId="6C0E63D4" w14:textId="02DDF0D9"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3"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_Toc177630953 \h </w:instrText>
            </w:r>
            <w:r>
              <w:rPr>
                <w:noProof/>
                <w:webHidden/>
              </w:rPr>
            </w:r>
            <w:r>
              <w:rPr>
                <w:noProof/>
                <w:webHidden/>
              </w:rPr>
              <w:fldChar w:fldCharType="separate"/>
            </w:r>
            <w:r>
              <w:rPr>
                <w:noProof/>
                <w:webHidden/>
              </w:rPr>
              <w:t>44</w:t>
            </w:r>
            <w:r>
              <w:rPr>
                <w:noProof/>
                <w:webHidden/>
              </w:rPr>
              <w:fldChar w:fldCharType="end"/>
            </w:r>
          </w:hyperlink>
        </w:p>
        <w:p w14:paraId="7F18BBC4" w14:textId="5D255029" w:rsidR="00EA49D7" w:rsidRDefault="00EA49D7">
          <w:pPr>
            <w:pStyle w:val="TOC2"/>
            <w:rPr>
              <w:rFonts w:asciiTheme="minorHAnsi" w:eastAsiaTheme="minorEastAsia" w:hAnsiTheme="minorHAnsi" w:cstheme="minorBidi"/>
              <w:bCs w:val="0"/>
              <w:kern w:val="2"/>
              <w:sz w:val="24"/>
              <w14:ligatures w14:val="standardContextual"/>
            </w:rPr>
          </w:pPr>
          <w:hyperlink w:anchor="_Toc177630954" w:history="1">
            <w:r w:rsidRPr="006F29FB">
              <w:rPr>
                <w:rStyle w:val="Hyperlink"/>
              </w:rPr>
              <w:t>I.  PROCUREMENT AND SUSPENSION AND DEBARMENT</w:t>
            </w:r>
            <w:r>
              <w:rPr>
                <w:webHidden/>
              </w:rPr>
              <w:tab/>
            </w:r>
            <w:r>
              <w:rPr>
                <w:webHidden/>
              </w:rPr>
              <w:fldChar w:fldCharType="begin"/>
            </w:r>
            <w:r>
              <w:rPr>
                <w:webHidden/>
              </w:rPr>
              <w:instrText xml:space="preserve"> PAGEREF _Toc177630954 \h </w:instrText>
            </w:r>
            <w:r>
              <w:rPr>
                <w:webHidden/>
              </w:rPr>
            </w:r>
            <w:r>
              <w:rPr>
                <w:webHidden/>
              </w:rPr>
              <w:fldChar w:fldCharType="separate"/>
            </w:r>
            <w:r>
              <w:rPr>
                <w:webHidden/>
              </w:rPr>
              <w:t>46</w:t>
            </w:r>
            <w:r>
              <w:rPr>
                <w:webHidden/>
              </w:rPr>
              <w:fldChar w:fldCharType="end"/>
            </w:r>
          </w:hyperlink>
        </w:p>
        <w:p w14:paraId="72E842DD" w14:textId="7B2F5913"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5" w:history="1">
            <w:r w:rsidRPr="006F29FB">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_Toc177630955 \h </w:instrText>
            </w:r>
            <w:r>
              <w:rPr>
                <w:noProof/>
                <w:webHidden/>
              </w:rPr>
            </w:r>
            <w:r>
              <w:rPr>
                <w:noProof/>
                <w:webHidden/>
              </w:rPr>
              <w:fldChar w:fldCharType="separate"/>
            </w:r>
            <w:r>
              <w:rPr>
                <w:noProof/>
                <w:webHidden/>
              </w:rPr>
              <w:t>46</w:t>
            </w:r>
            <w:r>
              <w:rPr>
                <w:noProof/>
                <w:webHidden/>
              </w:rPr>
              <w:fldChar w:fldCharType="end"/>
            </w:r>
          </w:hyperlink>
        </w:p>
        <w:p w14:paraId="535A1171" w14:textId="6FB42A2B"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6" w:history="1">
            <w:r w:rsidRPr="006F29FB">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_Toc177630956 \h </w:instrText>
            </w:r>
            <w:r>
              <w:rPr>
                <w:noProof/>
                <w:webHidden/>
              </w:rPr>
            </w:r>
            <w:r>
              <w:rPr>
                <w:noProof/>
                <w:webHidden/>
              </w:rPr>
              <w:fldChar w:fldCharType="separate"/>
            </w:r>
            <w:r>
              <w:rPr>
                <w:noProof/>
                <w:webHidden/>
              </w:rPr>
              <w:t>48</w:t>
            </w:r>
            <w:r>
              <w:rPr>
                <w:noProof/>
                <w:webHidden/>
              </w:rPr>
              <w:fldChar w:fldCharType="end"/>
            </w:r>
          </w:hyperlink>
        </w:p>
        <w:p w14:paraId="415C1150" w14:textId="68733844"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7"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_Toc177630957 \h </w:instrText>
            </w:r>
            <w:r>
              <w:rPr>
                <w:noProof/>
                <w:webHidden/>
              </w:rPr>
            </w:r>
            <w:r>
              <w:rPr>
                <w:noProof/>
                <w:webHidden/>
              </w:rPr>
              <w:fldChar w:fldCharType="separate"/>
            </w:r>
            <w:r>
              <w:rPr>
                <w:noProof/>
                <w:webHidden/>
              </w:rPr>
              <w:t>49</w:t>
            </w:r>
            <w:r>
              <w:rPr>
                <w:noProof/>
                <w:webHidden/>
              </w:rPr>
              <w:fldChar w:fldCharType="end"/>
            </w:r>
          </w:hyperlink>
        </w:p>
        <w:p w14:paraId="04110E2C" w14:textId="5DCF10BA"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8" w:history="1">
            <w:r w:rsidRPr="006F29F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_Toc177630958 \h </w:instrText>
            </w:r>
            <w:r>
              <w:rPr>
                <w:noProof/>
                <w:webHidden/>
              </w:rPr>
            </w:r>
            <w:r>
              <w:rPr>
                <w:noProof/>
                <w:webHidden/>
              </w:rPr>
              <w:fldChar w:fldCharType="separate"/>
            </w:r>
            <w:r>
              <w:rPr>
                <w:noProof/>
                <w:webHidden/>
              </w:rPr>
              <w:t>49</w:t>
            </w:r>
            <w:r>
              <w:rPr>
                <w:noProof/>
                <w:webHidden/>
              </w:rPr>
              <w:fldChar w:fldCharType="end"/>
            </w:r>
          </w:hyperlink>
        </w:p>
        <w:p w14:paraId="1D5954E0" w14:textId="45711CCC"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59"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_Toc177630959 \h </w:instrText>
            </w:r>
            <w:r>
              <w:rPr>
                <w:noProof/>
                <w:webHidden/>
              </w:rPr>
            </w:r>
            <w:r>
              <w:rPr>
                <w:noProof/>
                <w:webHidden/>
              </w:rPr>
              <w:fldChar w:fldCharType="separate"/>
            </w:r>
            <w:r>
              <w:rPr>
                <w:noProof/>
                <w:webHidden/>
              </w:rPr>
              <w:t>51</w:t>
            </w:r>
            <w:r>
              <w:rPr>
                <w:noProof/>
                <w:webHidden/>
              </w:rPr>
              <w:fldChar w:fldCharType="end"/>
            </w:r>
          </w:hyperlink>
        </w:p>
        <w:p w14:paraId="0719D345" w14:textId="3280FBDB"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0"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_Toc177630960 \h </w:instrText>
            </w:r>
            <w:r>
              <w:rPr>
                <w:noProof/>
                <w:webHidden/>
              </w:rPr>
            </w:r>
            <w:r>
              <w:rPr>
                <w:noProof/>
                <w:webHidden/>
              </w:rPr>
              <w:fldChar w:fldCharType="separate"/>
            </w:r>
            <w:r>
              <w:rPr>
                <w:noProof/>
                <w:webHidden/>
              </w:rPr>
              <w:t>53</w:t>
            </w:r>
            <w:r>
              <w:rPr>
                <w:noProof/>
                <w:webHidden/>
              </w:rPr>
              <w:fldChar w:fldCharType="end"/>
            </w:r>
          </w:hyperlink>
        </w:p>
        <w:p w14:paraId="04CAB2E5" w14:textId="0CCDDAD8" w:rsidR="00EA49D7" w:rsidRDefault="00EA49D7">
          <w:pPr>
            <w:pStyle w:val="TOC2"/>
            <w:rPr>
              <w:rFonts w:asciiTheme="minorHAnsi" w:eastAsiaTheme="minorEastAsia" w:hAnsiTheme="minorHAnsi" w:cstheme="minorBidi"/>
              <w:bCs w:val="0"/>
              <w:kern w:val="2"/>
              <w:sz w:val="24"/>
              <w14:ligatures w14:val="standardContextual"/>
            </w:rPr>
          </w:pPr>
          <w:hyperlink w:anchor="_Toc177630961" w:history="1">
            <w:r w:rsidRPr="006F29FB">
              <w:rPr>
                <w:rStyle w:val="Hyperlink"/>
              </w:rPr>
              <w:t>L.  REPORTING</w:t>
            </w:r>
            <w:r>
              <w:rPr>
                <w:webHidden/>
              </w:rPr>
              <w:tab/>
            </w:r>
            <w:r>
              <w:rPr>
                <w:webHidden/>
              </w:rPr>
              <w:fldChar w:fldCharType="begin"/>
            </w:r>
            <w:r>
              <w:rPr>
                <w:webHidden/>
              </w:rPr>
              <w:instrText xml:space="preserve"> PAGEREF _Toc177630961 \h </w:instrText>
            </w:r>
            <w:r>
              <w:rPr>
                <w:webHidden/>
              </w:rPr>
            </w:r>
            <w:r>
              <w:rPr>
                <w:webHidden/>
              </w:rPr>
              <w:fldChar w:fldCharType="separate"/>
            </w:r>
            <w:r>
              <w:rPr>
                <w:webHidden/>
              </w:rPr>
              <w:t>54</w:t>
            </w:r>
            <w:r>
              <w:rPr>
                <w:webHidden/>
              </w:rPr>
              <w:fldChar w:fldCharType="end"/>
            </w:r>
          </w:hyperlink>
        </w:p>
        <w:p w14:paraId="6F3DB0D6" w14:textId="7982684A"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2"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_Toc177630962 \h </w:instrText>
            </w:r>
            <w:r>
              <w:rPr>
                <w:noProof/>
                <w:webHidden/>
              </w:rPr>
            </w:r>
            <w:r>
              <w:rPr>
                <w:noProof/>
                <w:webHidden/>
              </w:rPr>
              <w:fldChar w:fldCharType="separate"/>
            </w:r>
            <w:r>
              <w:rPr>
                <w:noProof/>
                <w:webHidden/>
              </w:rPr>
              <w:t>54</w:t>
            </w:r>
            <w:r>
              <w:rPr>
                <w:noProof/>
                <w:webHidden/>
              </w:rPr>
              <w:fldChar w:fldCharType="end"/>
            </w:r>
          </w:hyperlink>
        </w:p>
        <w:p w14:paraId="2CB6040B" w14:textId="015707DF"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3" w:history="1">
            <w:r w:rsidRPr="006F29FB">
              <w:rPr>
                <w:rStyle w:val="Hyperlink"/>
                <w:rFonts w:cs="Arial"/>
                <w:noProof/>
              </w:rPr>
              <w:t>Additional Program</w:t>
            </w:r>
            <w:r w:rsidRPr="006F29FB">
              <w:rPr>
                <w:rStyle w:val="Hyperlink"/>
                <w:rFonts w:cs="Arial"/>
                <w:noProof/>
              </w:rPr>
              <w:t xml:space="preserve"> </w:t>
            </w:r>
            <w:r w:rsidRPr="006F29FB">
              <w:rPr>
                <w:rStyle w:val="Hyperlink"/>
                <w:rFonts w:cs="Arial"/>
                <w:noProof/>
              </w:rPr>
              <w:t>Specific Information</w:t>
            </w:r>
            <w:r>
              <w:rPr>
                <w:noProof/>
                <w:webHidden/>
              </w:rPr>
              <w:tab/>
            </w:r>
            <w:r>
              <w:rPr>
                <w:noProof/>
                <w:webHidden/>
              </w:rPr>
              <w:fldChar w:fldCharType="begin"/>
            </w:r>
            <w:r>
              <w:rPr>
                <w:noProof/>
                <w:webHidden/>
              </w:rPr>
              <w:instrText xml:space="preserve"> PAGEREF _Toc177630963 \h </w:instrText>
            </w:r>
            <w:r>
              <w:rPr>
                <w:noProof/>
                <w:webHidden/>
              </w:rPr>
            </w:r>
            <w:r>
              <w:rPr>
                <w:noProof/>
                <w:webHidden/>
              </w:rPr>
              <w:fldChar w:fldCharType="separate"/>
            </w:r>
            <w:r>
              <w:rPr>
                <w:noProof/>
                <w:webHidden/>
              </w:rPr>
              <w:t>57</w:t>
            </w:r>
            <w:r>
              <w:rPr>
                <w:noProof/>
                <w:webHidden/>
              </w:rPr>
              <w:fldChar w:fldCharType="end"/>
            </w:r>
          </w:hyperlink>
        </w:p>
        <w:p w14:paraId="5DC5EF0A" w14:textId="1355906E"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4" w:history="1">
            <w:r w:rsidRPr="006F29F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_Toc177630964 \h </w:instrText>
            </w:r>
            <w:r>
              <w:rPr>
                <w:noProof/>
                <w:webHidden/>
              </w:rPr>
            </w:r>
            <w:r>
              <w:rPr>
                <w:noProof/>
                <w:webHidden/>
              </w:rPr>
              <w:fldChar w:fldCharType="separate"/>
            </w:r>
            <w:r>
              <w:rPr>
                <w:noProof/>
                <w:webHidden/>
              </w:rPr>
              <w:t>58</w:t>
            </w:r>
            <w:r>
              <w:rPr>
                <w:noProof/>
                <w:webHidden/>
              </w:rPr>
              <w:fldChar w:fldCharType="end"/>
            </w:r>
          </w:hyperlink>
        </w:p>
        <w:p w14:paraId="0D7032B2" w14:textId="761B5070"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5"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_Toc177630965 \h </w:instrText>
            </w:r>
            <w:r>
              <w:rPr>
                <w:noProof/>
                <w:webHidden/>
              </w:rPr>
            </w:r>
            <w:r>
              <w:rPr>
                <w:noProof/>
                <w:webHidden/>
              </w:rPr>
              <w:fldChar w:fldCharType="separate"/>
            </w:r>
            <w:r>
              <w:rPr>
                <w:noProof/>
                <w:webHidden/>
              </w:rPr>
              <w:t>59</w:t>
            </w:r>
            <w:r>
              <w:rPr>
                <w:noProof/>
                <w:webHidden/>
              </w:rPr>
              <w:fldChar w:fldCharType="end"/>
            </w:r>
          </w:hyperlink>
        </w:p>
        <w:p w14:paraId="245584E6" w14:textId="363D5DF7"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6"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_Toc177630966 \h </w:instrText>
            </w:r>
            <w:r>
              <w:rPr>
                <w:noProof/>
                <w:webHidden/>
              </w:rPr>
            </w:r>
            <w:r>
              <w:rPr>
                <w:noProof/>
                <w:webHidden/>
              </w:rPr>
              <w:fldChar w:fldCharType="separate"/>
            </w:r>
            <w:r>
              <w:rPr>
                <w:noProof/>
                <w:webHidden/>
              </w:rPr>
              <w:t>60</w:t>
            </w:r>
            <w:r>
              <w:rPr>
                <w:noProof/>
                <w:webHidden/>
              </w:rPr>
              <w:fldChar w:fldCharType="end"/>
            </w:r>
          </w:hyperlink>
        </w:p>
        <w:p w14:paraId="7FD821CD" w14:textId="59ED98C4" w:rsidR="00EA49D7" w:rsidRDefault="00EA49D7">
          <w:pPr>
            <w:pStyle w:val="TOC2"/>
            <w:rPr>
              <w:rFonts w:asciiTheme="minorHAnsi" w:eastAsiaTheme="minorEastAsia" w:hAnsiTheme="minorHAnsi" w:cstheme="minorBidi"/>
              <w:bCs w:val="0"/>
              <w:kern w:val="2"/>
              <w:sz w:val="24"/>
              <w14:ligatures w14:val="standardContextual"/>
            </w:rPr>
          </w:pPr>
          <w:hyperlink w:anchor="_Toc177630967" w:history="1">
            <w:r w:rsidRPr="006F29FB">
              <w:rPr>
                <w:rStyle w:val="Hyperlink"/>
              </w:rPr>
              <w:t>M.  SUBRECIPIENT MONITORING</w:t>
            </w:r>
            <w:r>
              <w:rPr>
                <w:webHidden/>
              </w:rPr>
              <w:tab/>
            </w:r>
            <w:r>
              <w:rPr>
                <w:webHidden/>
              </w:rPr>
              <w:fldChar w:fldCharType="begin"/>
            </w:r>
            <w:r>
              <w:rPr>
                <w:webHidden/>
              </w:rPr>
              <w:instrText xml:space="preserve"> PAGEREF _Toc177630967 \h </w:instrText>
            </w:r>
            <w:r>
              <w:rPr>
                <w:webHidden/>
              </w:rPr>
            </w:r>
            <w:r>
              <w:rPr>
                <w:webHidden/>
              </w:rPr>
              <w:fldChar w:fldCharType="separate"/>
            </w:r>
            <w:r>
              <w:rPr>
                <w:webHidden/>
              </w:rPr>
              <w:t>62</w:t>
            </w:r>
            <w:r>
              <w:rPr>
                <w:webHidden/>
              </w:rPr>
              <w:fldChar w:fldCharType="end"/>
            </w:r>
          </w:hyperlink>
        </w:p>
        <w:p w14:paraId="2195A2CC" w14:textId="7D6DBDC0"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8" w:history="1">
            <w:r w:rsidRPr="006F29FB">
              <w:rPr>
                <w:rStyle w:val="Hyperlink"/>
                <w:rFonts w:cs="Arial"/>
                <w:noProof/>
              </w:rPr>
              <w:t>OMB Compliance Requirements</w:t>
            </w:r>
            <w:r>
              <w:rPr>
                <w:noProof/>
                <w:webHidden/>
              </w:rPr>
              <w:tab/>
            </w:r>
            <w:r>
              <w:rPr>
                <w:noProof/>
                <w:webHidden/>
              </w:rPr>
              <w:fldChar w:fldCharType="begin"/>
            </w:r>
            <w:r>
              <w:rPr>
                <w:noProof/>
                <w:webHidden/>
              </w:rPr>
              <w:instrText xml:space="preserve"> PAGEREF _Toc177630968 \h </w:instrText>
            </w:r>
            <w:r>
              <w:rPr>
                <w:noProof/>
                <w:webHidden/>
              </w:rPr>
            </w:r>
            <w:r>
              <w:rPr>
                <w:noProof/>
                <w:webHidden/>
              </w:rPr>
              <w:fldChar w:fldCharType="separate"/>
            </w:r>
            <w:r>
              <w:rPr>
                <w:noProof/>
                <w:webHidden/>
              </w:rPr>
              <w:t>62</w:t>
            </w:r>
            <w:r>
              <w:rPr>
                <w:noProof/>
                <w:webHidden/>
              </w:rPr>
              <w:fldChar w:fldCharType="end"/>
            </w:r>
          </w:hyperlink>
        </w:p>
        <w:p w14:paraId="04932030" w14:textId="29059284"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69" w:history="1">
            <w:r w:rsidRPr="006F29FB">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_Toc177630969 \h </w:instrText>
            </w:r>
            <w:r>
              <w:rPr>
                <w:noProof/>
                <w:webHidden/>
              </w:rPr>
            </w:r>
            <w:r>
              <w:rPr>
                <w:noProof/>
                <w:webHidden/>
              </w:rPr>
              <w:fldChar w:fldCharType="separate"/>
            </w:r>
            <w:r>
              <w:rPr>
                <w:noProof/>
                <w:webHidden/>
              </w:rPr>
              <w:t>64</w:t>
            </w:r>
            <w:r>
              <w:rPr>
                <w:noProof/>
                <w:webHidden/>
              </w:rPr>
              <w:fldChar w:fldCharType="end"/>
            </w:r>
          </w:hyperlink>
        </w:p>
        <w:p w14:paraId="1B468E22" w14:textId="4AF3EDAE"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70" w:history="1">
            <w:r w:rsidRPr="006F29FB">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_Toc177630970 \h </w:instrText>
            </w:r>
            <w:r>
              <w:rPr>
                <w:noProof/>
                <w:webHidden/>
              </w:rPr>
            </w:r>
            <w:r>
              <w:rPr>
                <w:noProof/>
                <w:webHidden/>
              </w:rPr>
              <w:fldChar w:fldCharType="separate"/>
            </w:r>
            <w:r>
              <w:rPr>
                <w:noProof/>
                <w:webHidden/>
              </w:rPr>
              <w:t>64</w:t>
            </w:r>
            <w:r>
              <w:rPr>
                <w:noProof/>
                <w:webHidden/>
              </w:rPr>
              <w:fldChar w:fldCharType="end"/>
            </w:r>
          </w:hyperlink>
        </w:p>
        <w:p w14:paraId="7CC766C5" w14:textId="2956AE28"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71" w:history="1">
            <w:r w:rsidRPr="006F29FB">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_Toc177630971 \h </w:instrText>
            </w:r>
            <w:r>
              <w:rPr>
                <w:noProof/>
                <w:webHidden/>
              </w:rPr>
            </w:r>
            <w:r>
              <w:rPr>
                <w:noProof/>
                <w:webHidden/>
              </w:rPr>
              <w:fldChar w:fldCharType="separate"/>
            </w:r>
            <w:r>
              <w:rPr>
                <w:noProof/>
                <w:webHidden/>
              </w:rPr>
              <w:t>65</w:t>
            </w:r>
            <w:r>
              <w:rPr>
                <w:noProof/>
                <w:webHidden/>
              </w:rPr>
              <w:fldChar w:fldCharType="end"/>
            </w:r>
          </w:hyperlink>
        </w:p>
        <w:p w14:paraId="08BE8B28" w14:textId="3A576BCC" w:rsidR="00EA49D7" w:rsidRDefault="00EA49D7">
          <w:pPr>
            <w:pStyle w:val="TOC3"/>
            <w:rPr>
              <w:rFonts w:asciiTheme="minorHAnsi" w:eastAsiaTheme="minorEastAsia" w:hAnsiTheme="minorHAnsi" w:cstheme="minorBidi"/>
              <w:b w:val="0"/>
              <w:noProof/>
              <w:kern w:val="2"/>
              <w:sz w:val="24"/>
              <w:szCs w:val="24"/>
              <w14:ligatures w14:val="standardContextual"/>
            </w:rPr>
          </w:pPr>
          <w:hyperlink w:anchor="_Toc177630972" w:history="1">
            <w:r w:rsidRPr="006F29FB">
              <w:rPr>
                <w:rStyle w:val="Hyperlink"/>
                <w:rFonts w:cs="Arial"/>
                <w:noProof/>
              </w:rPr>
              <w:t>Audit Implications Summary</w:t>
            </w:r>
            <w:r>
              <w:rPr>
                <w:noProof/>
                <w:webHidden/>
              </w:rPr>
              <w:tab/>
            </w:r>
            <w:r>
              <w:rPr>
                <w:noProof/>
                <w:webHidden/>
              </w:rPr>
              <w:fldChar w:fldCharType="begin"/>
            </w:r>
            <w:r>
              <w:rPr>
                <w:noProof/>
                <w:webHidden/>
              </w:rPr>
              <w:instrText xml:space="preserve"> PAGEREF _Toc177630972 \h </w:instrText>
            </w:r>
            <w:r>
              <w:rPr>
                <w:noProof/>
                <w:webHidden/>
              </w:rPr>
            </w:r>
            <w:r>
              <w:rPr>
                <w:noProof/>
                <w:webHidden/>
              </w:rPr>
              <w:fldChar w:fldCharType="separate"/>
            </w:r>
            <w:r>
              <w:rPr>
                <w:noProof/>
                <w:webHidden/>
              </w:rPr>
              <w:t>65</w:t>
            </w:r>
            <w:r>
              <w:rPr>
                <w:noProof/>
                <w:webHidden/>
              </w:rPr>
              <w:fldChar w:fldCharType="end"/>
            </w:r>
          </w:hyperlink>
        </w:p>
        <w:p w14:paraId="10ED2D1D" w14:textId="6E6961A8" w:rsidR="00EA49D7" w:rsidRDefault="00EA49D7">
          <w:pPr>
            <w:pStyle w:val="TOC2"/>
            <w:rPr>
              <w:rFonts w:asciiTheme="minorHAnsi" w:eastAsiaTheme="minorEastAsia" w:hAnsiTheme="minorHAnsi" w:cstheme="minorBidi"/>
              <w:bCs w:val="0"/>
              <w:kern w:val="2"/>
              <w:sz w:val="24"/>
              <w14:ligatures w14:val="standardContextual"/>
            </w:rPr>
          </w:pPr>
          <w:hyperlink w:anchor="_Toc177630973" w:history="1">
            <w:r w:rsidRPr="006F29FB">
              <w:rPr>
                <w:rStyle w:val="Hyperlink"/>
              </w:rPr>
              <w:t>Program Testing Conclusion</w:t>
            </w:r>
            <w:r>
              <w:rPr>
                <w:webHidden/>
              </w:rPr>
              <w:tab/>
            </w:r>
            <w:r>
              <w:rPr>
                <w:webHidden/>
              </w:rPr>
              <w:fldChar w:fldCharType="begin"/>
            </w:r>
            <w:r>
              <w:rPr>
                <w:webHidden/>
              </w:rPr>
              <w:instrText xml:space="preserve"> PAGEREF _Toc177630973 \h </w:instrText>
            </w:r>
            <w:r>
              <w:rPr>
                <w:webHidden/>
              </w:rPr>
            </w:r>
            <w:r>
              <w:rPr>
                <w:webHidden/>
              </w:rPr>
              <w:fldChar w:fldCharType="separate"/>
            </w:r>
            <w:r>
              <w:rPr>
                <w:webHidden/>
              </w:rPr>
              <w:t>67</w:t>
            </w:r>
            <w:r>
              <w:rPr>
                <w:webHidden/>
              </w:rPr>
              <w:fldChar w:fldCharType="end"/>
            </w:r>
          </w:hyperlink>
        </w:p>
        <w:p w14:paraId="03C2BB18" w14:textId="436550E3"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3"/>
          <w:headerReference w:type="default" r:id="rId24"/>
          <w:footerReference w:type="even" r:id="rId25"/>
          <w:headerReference w:type="first" r:id="rId26"/>
          <w:footerReference w:type="first" r:id="rId27"/>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8" w:name="_Toc438816432"/>
      <w:bookmarkStart w:id="9" w:name="_Toc177630919"/>
      <w:r w:rsidRPr="00A0464C">
        <w:rPr>
          <w:rFonts w:cs="Arial"/>
          <w:sz w:val="24"/>
        </w:rPr>
        <w:lastRenderedPageBreak/>
        <w:t>Compliance Requirement Matrix</w:t>
      </w:r>
      <w:bookmarkEnd w:id="8"/>
      <w:bookmarkEnd w:id="9"/>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5DE9BD08" w:rsidR="00A3491E" w:rsidRPr="00F00D94" w:rsidRDefault="00987C58" w:rsidP="006672EA">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22E20DF4" w:rsidR="00A3491E" w:rsidRPr="00F00D94" w:rsidRDefault="00987C58" w:rsidP="006672EA">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987C5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8E75580" w:rsidR="007C67FD" w:rsidRPr="00F00D94" w:rsidRDefault="00987C5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5AB4E6D" w14:textId="093CC14E"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05F8CA0" w14:textId="7AD079C4" w:rsidR="007C67FD" w:rsidRPr="00F00D94" w:rsidRDefault="007C67FD" w:rsidP="007C67FD">
            <w:pPr>
              <w:jc w:val="center"/>
              <w:rPr>
                <w:rFonts w:ascii="Arial" w:hAnsi="Arial" w:cs="Arial"/>
                <w:i/>
                <w:iCs/>
              </w:rPr>
            </w:pPr>
          </w:p>
        </w:tc>
      </w:tr>
      <w:tr w:rsidR="007C67FD" w:rsidRPr="00F00D94" w14:paraId="005EC2F3" w14:textId="77777777" w:rsidTr="00987C5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987C5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07D444C4" w:rsidR="007C67FD" w:rsidRPr="00F00D94" w:rsidRDefault="00987C5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702E20" w14:textId="2ADC4965"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62EA0F0" w14:textId="5FF85E76" w:rsidR="007C67FD" w:rsidRPr="00F00D94" w:rsidRDefault="007C67FD" w:rsidP="007C67FD">
            <w:pPr>
              <w:jc w:val="center"/>
              <w:rPr>
                <w:rFonts w:ascii="Arial" w:hAnsi="Arial" w:cs="Arial"/>
                <w:i/>
                <w:iCs/>
              </w:rPr>
            </w:pPr>
          </w:p>
        </w:tc>
      </w:tr>
      <w:tr w:rsidR="007C67FD" w:rsidRPr="00F00D94" w14:paraId="75696477" w14:textId="77777777" w:rsidTr="00987C5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4B481602" w:rsidR="007C67FD" w:rsidRPr="00F00D94" w:rsidRDefault="00987C5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564CCC9A"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5B5213D3" w:rsidR="007C67FD" w:rsidRPr="00F00D94" w:rsidRDefault="007C67FD" w:rsidP="007C67FD">
            <w:pPr>
              <w:jc w:val="center"/>
              <w:rPr>
                <w:rFonts w:ascii="Arial" w:hAnsi="Arial" w:cs="Arial"/>
                <w:i/>
                <w:iCs/>
              </w:rPr>
            </w:pP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5A9F0ED7" w:rsidR="007C67FD" w:rsidRPr="00F00D94" w:rsidRDefault="00987C5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0FAE5775" w:rsidR="007C67FD" w:rsidRPr="00F00D94" w:rsidRDefault="00987C5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6222AD9C" w:rsidR="007C67FD" w:rsidRPr="00F00D94" w:rsidRDefault="00987C5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987C58">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3585DC5A" w:rsidR="007C67FD" w:rsidRPr="00F00D94" w:rsidRDefault="00987C5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76CF645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0D4A0E0B"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3914D40A" w:rsidR="007C67FD" w:rsidRPr="00F00D94" w:rsidRDefault="00987C5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1752E15F" w:rsidR="007C67FD" w:rsidRPr="00F00D94" w:rsidRDefault="00987C58"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B68C39A" w14:textId="77777777" w:rsidTr="00987C58">
        <w:trPr>
          <w:trHeight w:val="278"/>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7C67FD" w:rsidRPr="00F00D94" w:rsidRDefault="007C67FD" w:rsidP="007C67FD">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1C8AB68D" w14:textId="2AEA0F98" w:rsidR="007C67FD" w:rsidRPr="00F00D94" w:rsidRDefault="007C67FD" w:rsidP="007C67FD">
            <w:pPr>
              <w:jc w:val="both"/>
              <w:rPr>
                <w:rFonts w:ascii="Arial" w:hAnsi="Arial" w:cs="Arial"/>
                <w:b/>
                <w:bCs/>
              </w:rPr>
            </w:pPr>
            <w:r w:rsidRPr="00F00D94">
              <w:rPr>
                <w:rFonts w:ascii="Arial" w:hAnsi="Arial" w:cs="Arial"/>
                <w:b/>
                <w:bCs/>
              </w:rPr>
              <w:t>Special Tests &amp; Provisions</w:t>
            </w:r>
          </w:p>
        </w:tc>
        <w:tc>
          <w:tcPr>
            <w:tcW w:w="410" w:type="pct"/>
            <w:tcBorders>
              <w:top w:val="nil"/>
              <w:left w:val="nil"/>
              <w:bottom w:val="single" w:sz="4" w:space="0" w:color="auto"/>
              <w:right w:val="single" w:sz="4" w:space="0" w:color="auto"/>
            </w:tcBorders>
          </w:tcPr>
          <w:p w14:paraId="24CFD221" w14:textId="4E242645" w:rsidR="007C67FD" w:rsidRPr="00F00D94" w:rsidRDefault="00987C58"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61593D4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0E5A25FA" w14:textId="7064F183"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9F93578"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AEE39D3"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E733E94"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C5462C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103A25AC"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C796CE8" w14:textId="6B9230BD" w:rsidR="007C67FD" w:rsidRPr="00F00D94" w:rsidRDefault="007C67FD" w:rsidP="007C67FD">
            <w:pPr>
              <w:jc w:val="center"/>
              <w:rPr>
                <w:rFonts w:ascii="Arial" w:hAnsi="Arial" w:cs="Arial"/>
                <w:i/>
                <w:iCs/>
              </w:rPr>
            </w:pPr>
          </w:p>
        </w:tc>
      </w:tr>
    </w:tbl>
    <w:p w14:paraId="68478A29" w14:textId="77777777" w:rsidR="007C0A04" w:rsidRDefault="007C0A04" w:rsidP="00D76F2F">
      <w:pPr>
        <w:spacing w:after="240"/>
        <w:jc w:val="both"/>
        <w:rPr>
          <w:rFonts w:ascii="Arial" w:hAnsi="Arial" w:cs="Arial"/>
          <w:b/>
        </w:rPr>
      </w:pP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8"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lastRenderedPageBreak/>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10" w:name="_Hlk131149678"/>
      <w:bookmarkStart w:id="11"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10"/>
      <w:bookmarkEnd w:id="11"/>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2"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2"/>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 xml:space="preserve">a materiality level for the </w:t>
      </w:r>
      <w:proofErr w:type="gramStart"/>
      <w:r w:rsidR="0010435B" w:rsidRPr="005E45F3">
        <w:rPr>
          <w:rFonts w:ascii="Arial" w:hAnsi="Arial" w:cs="Arial"/>
          <w:i/>
          <w:iCs/>
          <w:color w:val="002060"/>
        </w:rPr>
        <w:t>program as a whole</w:t>
      </w:r>
      <w:r w:rsidRPr="005E45F3">
        <w:rPr>
          <w:rFonts w:ascii="Arial" w:hAnsi="Arial" w:cs="Arial"/>
          <w:i/>
          <w:iCs/>
          <w:color w:val="002060"/>
        </w:rPr>
        <w:t>, and</w:t>
      </w:r>
      <w:proofErr w:type="gramEnd"/>
      <w:r w:rsidRPr="005E45F3">
        <w:rPr>
          <w:rFonts w:ascii="Arial" w:hAnsi="Arial" w:cs="Arial"/>
          <w:i/>
          <w:iCs/>
          <w:color w:val="002060"/>
        </w:rPr>
        <w:t xml:space="preserve">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w:t>
      </w:r>
      <w:proofErr w:type="gramStart"/>
      <w:r w:rsidRPr="00D31F86">
        <w:rPr>
          <w:rFonts w:ascii="Arial" w:hAnsi="Arial" w:cs="Arial"/>
          <w:i/>
          <w:color w:val="002060"/>
        </w:rPr>
        <w:t>program as a whole</w:t>
      </w:r>
      <w:proofErr w:type="gramEnd"/>
      <w:r w:rsidRPr="00D31F86">
        <w:rPr>
          <w:rFonts w:ascii="Arial" w:hAnsi="Arial" w:cs="Arial"/>
          <w:i/>
          <w:color w:val="002060"/>
        </w:rPr>
        <w:t xml:space="preserv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9"/>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3"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4" w:name="_Hlk131149657"/>
      <w:bookmarkEnd w:id="13"/>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5" w:name="_Hlk131590790"/>
      <w:r w:rsidR="000104D2" w:rsidRPr="00365EB4">
        <w:rPr>
          <w:rFonts w:ascii="Arial" w:hAnsi="Arial" w:cs="Arial"/>
          <w:i/>
          <w:iCs/>
          <w:color w:val="002060"/>
          <w:szCs w:val="20"/>
        </w:rPr>
        <w:t>AICPA Single Audit Guide</w:t>
      </w:r>
      <w:bookmarkEnd w:id="15"/>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DA563A" w:rsidP="000104D2">
      <w:pPr>
        <w:pStyle w:val="BodyText"/>
        <w:ind w:right="115"/>
        <w:jc w:val="both"/>
        <w:rPr>
          <w:rFonts w:ascii="Arial" w:hAnsi="Arial" w:cs="Arial"/>
          <w:szCs w:val="20"/>
        </w:rPr>
      </w:pPr>
      <w:hyperlink r:id="rId30"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4"/>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6" w:name="_Toc442267683"/>
      <w:bookmarkStart w:id="17" w:name="_Toc177630920"/>
      <w:r w:rsidRPr="00A0464C">
        <w:rPr>
          <w:rFonts w:cs="Arial"/>
          <w:sz w:val="24"/>
        </w:rPr>
        <w:lastRenderedPageBreak/>
        <w:t>Part I</w:t>
      </w:r>
      <w:bookmarkEnd w:id="16"/>
      <w:r w:rsidR="003644ED" w:rsidRPr="00A0464C">
        <w:rPr>
          <w:rFonts w:cs="Arial"/>
          <w:sz w:val="24"/>
        </w:rPr>
        <w:t xml:space="preserve"> – OMB Compliance Supplement Information</w:t>
      </w:r>
      <w:bookmarkEnd w:id="17"/>
    </w:p>
    <w:p w14:paraId="240AA8D7" w14:textId="77777777" w:rsidR="009656BB" w:rsidRPr="00A0464C" w:rsidRDefault="009656BB" w:rsidP="006672EA">
      <w:pPr>
        <w:pStyle w:val="Heading3"/>
        <w:jc w:val="both"/>
        <w:rPr>
          <w:rFonts w:cs="Arial"/>
          <w:sz w:val="24"/>
          <w:szCs w:val="24"/>
        </w:rPr>
      </w:pPr>
      <w:bookmarkStart w:id="18" w:name="_Toc177630921"/>
      <w:r w:rsidRPr="00A0464C">
        <w:rPr>
          <w:rFonts w:cs="Arial"/>
          <w:sz w:val="24"/>
          <w:szCs w:val="24"/>
        </w:rPr>
        <w:t>I. Program Objectives</w:t>
      </w:r>
      <w:bookmarkEnd w:id="18"/>
    </w:p>
    <w:p w14:paraId="30590EDA" w14:textId="512A6DF2" w:rsidR="009E3B44" w:rsidRPr="009E3B44" w:rsidRDefault="009E3B44" w:rsidP="009E3B44">
      <w:pPr>
        <w:spacing w:after="240"/>
        <w:jc w:val="both"/>
        <w:rPr>
          <w:rFonts w:ascii="Arial" w:hAnsi="Arial" w:cs="Arial"/>
          <w:bCs/>
        </w:rPr>
      </w:pPr>
      <w:r w:rsidRPr="009E3B44">
        <w:rPr>
          <w:rFonts w:ascii="Arial" w:hAnsi="Arial" w:cs="Arial"/>
          <w:bCs/>
        </w:rPr>
        <w:t>Note: This program is considered a “higher risk” program for 2024, pursuant to 2 CFR section 200.519(c)(2). Refer to the “Programs with Higher Risk Designation” section of Part 8, Appendix IV, Internal Reference Tables, for a discussion of the impact of the “higher risk” designation on the major program determination process.</w:t>
      </w:r>
    </w:p>
    <w:p w14:paraId="6013C26B" w14:textId="2FA5AD22" w:rsidR="009E3B44" w:rsidRPr="009E3B44" w:rsidRDefault="009E3B44" w:rsidP="009E3B44">
      <w:pPr>
        <w:spacing w:after="240"/>
        <w:jc w:val="both"/>
        <w:rPr>
          <w:rFonts w:ascii="Arial" w:hAnsi="Arial" w:cs="Arial"/>
          <w:bCs/>
        </w:rPr>
      </w:pPr>
      <w:r w:rsidRPr="009E3B44">
        <w:rPr>
          <w:rFonts w:ascii="Arial" w:hAnsi="Arial" w:cs="Arial"/>
          <w:bCs/>
        </w:rPr>
        <w:t>Note: Per Part IV, “Other Information,” certain Coronavirus State and Local Fiscal Recovery Funds (SLFRF) recipients are provided with an option to have an alternative compliance examination engagement in lieu of a Single Audit or a Program-Specific Audit.</w:t>
      </w:r>
    </w:p>
    <w:p w14:paraId="05733B50" w14:textId="4C58D341" w:rsidR="009E3B44" w:rsidRPr="009E3B44" w:rsidRDefault="009E3B44" w:rsidP="009E3B44">
      <w:pPr>
        <w:spacing w:after="240"/>
        <w:jc w:val="both"/>
        <w:rPr>
          <w:rFonts w:ascii="Arial" w:hAnsi="Arial" w:cs="Arial"/>
          <w:bCs/>
        </w:rPr>
      </w:pPr>
      <w:r w:rsidRPr="009E3B44">
        <w:rPr>
          <w:rFonts w:ascii="Arial" w:hAnsi="Arial" w:cs="Arial"/>
          <w:bCs/>
        </w:rPr>
        <w:t>The purpose of the SLFRF program is to provide direct payments to states (defined to include all 50 states and the District of Columbia), US territories (defined to include Puerto Rico, US Virgin Islands, Guam, Northern Mariana Islands, and American Samoa), Tribal governments, metropolitan cities, counties, and (through states) non-entitlement units of local government (NEUs) (collectively the “eligible entities”) to:</w:t>
      </w:r>
    </w:p>
    <w:p w14:paraId="30B72DA0" w14:textId="77777777" w:rsidR="009E3B44" w:rsidRPr="009E3B44" w:rsidRDefault="009E3B44" w:rsidP="009E3B44">
      <w:pPr>
        <w:spacing w:after="240"/>
        <w:ind w:left="720" w:hanging="720"/>
        <w:jc w:val="both"/>
        <w:rPr>
          <w:rFonts w:ascii="Arial" w:hAnsi="Arial" w:cs="Arial"/>
          <w:bCs/>
        </w:rPr>
      </w:pPr>
      <w:r w:rsidRPr="009E3B44">
        <w:rPr>
          <w:rFonts w:ascii="Arial" w:hAnsi="Arial" w:cs="Arial"/>
          <w:bCs/>
        </w:rPr>
        <w:t>1.</w:t>
      </w:r>
      <w:r w:rsidRPr="009E3B44">
        <w:rPr>
          <w:rFonts w:ascii="Arial" w:hAnsi="Arial" w:cs="Arial"/>
          <w:bCs/>
        </w:rPr>
        <w:tab/>
        <w:t xml:space="preserve">Respond to the public health emergency with respect to Coronavirus Disease 2019 (COVID-19) or its negative economic impacts, including by </w:t>
      </w:r>
      <w:proofErr w:type="gramStart"/>
      <w:r w:rsidRPr="009E3B44">
        <w:rPr>
          <w:rFonts w:ascii="Arial" w:hAnsi="Arial" w:cs="Arial"/>
          <w:bCs/>
        </w:rPr>
        <w:t>providing assistance to</w:t>
      </w:r>
      <w:proofErr w:type="gramEnd"/>
      <w:r w:rsidRPr="009E3B44">
        <w:rPr>
          <w:rFonts w:ascii="Arial" w:hAnsi="Arial" w:cs="Arial"/>
          <w:bCs/>
        </w:rPr>
        <w:t xml:space="preserve"> households, small businesses, nonprofits, and impacted industries, such as tourism, travel, and hospitality;</w:t>
      </w:r>
    </w:p>
    <w:p w14:paraId="7E5E2A7D" w14:textId="77777777" w:rsidR="009E3B44" w:rsidRPr="009E3B44" w:rsidRDefault="009E3B44" w:rsidP="009E3B44">
      <w:pPr>
        <w:spacing w:after="240"/>
        <w:ind w:left="720" w:hanging="720"/>
        <w:jc w:val="both"/>
        <w:rPr>
          <w:rFonts w:ascii="Arial" w:hAnsi="Arial" w:cs="Arial"/>
          <w:bCs/>
        </w:rPr>
      </w:pPr>
      <w:r w:rsidRPr="009E3B44">
        <w:rPr>
          <w:rFonts w:ascii="Arial" w:hAnsi="Arial" w:cs="Arial"/>
          <w:bCs/>
        </w:rPr>
        <w:t>2.</w:t>
      </w:r>
      <w:r w:rsidRPr="009E3B44">
        <w:rPr>
          <w:rFonts w:ascii="Arial" w:hAnsi="Arial" w:cs="Arial"/>
          <w:bCs/>
        </w:rPr>
        <w:tab/>
        <w:t>Respond to workers performing essential work during the COVID-19 public health emergency by providing premium pay to eligible workers of the recipient that perform essential work or by providing grants to eligible employers that have eligible workers who are performing essential work;</w:t>
      </w:r>
    </w:p>
    <w:p w14:paraId="3D2D8F7E" w14:textId="2B281978" w:rsidR="009E3B44" w:rsidRPr="009E3B44" w:rsidRDefault="009E3B44" w:rsidP="009E3B44">
      <w:pPr>
        <w:spacing w:after="240"/>
        <w:ind w:left="720" w:hanging="720"/>
        <w:jc w:val="both"/>
        <w:rPr>
          <w:rFonts w:ascii="Arial" w:hAnsi="Arial" w:cs="Arial"/>
          <w:bCs/>
        </w:rPr>
      </w:pPr>
      <w:r w:rsidRPr="009E3B44">
        <w:rPr>
          <w:rFonts w:ascii="Arial" w:hAnsi="Arial" w:cs="Arial"/>
          <w:bCs/>
        </w:rPr>
        <w:t>3.</w:t>
      </w:r>
      <w:r w:rsidRPr="009E3B44">
        <w:rPr>
          <w:rFonts w:ascii="Arial" w:hAnsi="Arial" w:cs="Arial"/>
          <w:bCs/>
        </w:rPr>
        <w:tab/>
        <w:t>Provide government services, to the extent of the reduction in revenue of the eligible entities due to the COVID-19 public health emergency relative to revenues collected in the most recent full fiscal year of the eligible entities prior to the emergency;</w:t>
      </w:r>
    </w:p>
    <w:p w14:paraId="053BEBF0" w14:textId="746ED217" w:rsidR="009E3B44" w:rsidRPr="009E3B44" w:rsidRDefault="009E3B44" w:rsidP="009E3B44">
      <w:pPr>
        <w:spacing w:after="240"/>
        <w:jc w:val="both"/>
        <w:rPr>
          <w:rFonts w:ascii="Arial" w:hAnsi="Arial" w:cs="Arial"/>
          <w:bCs/>
        </w:rPr>
      </w:pPr>
      <w:r w:rsidRPr="009E3B44">
        <w:rPr>
          <w:rFonts w:ascii="Arial" w:hAnsi="Arial" w:cs="Arial"/>
          <w:bCs/>
        </w:rPr>
        <w:t>4.</w:t>
      </w:r>
      <w:r w:rsidRPr="009E3B44">
        <w:rPr>
          <w:rFonts w:ascii="Arial" w:hAnsi="Arial" w:cs="Arial"/>
          <w:bCs/>
        </w:rPr>
        <w:tab/>
        <w:t>Make necessary investments in water, sewer, or broadband infrastructure;</w:t>
      </w:r>
    </w:p>
    <w:p w14:paraId="740BE67A" w14:textId="1CB4F1E6" w:rsidR="009E3B44" w:rsidRPr="009E3B44" w:rsidRDefault="009E3B44" w:rsidP="009E3B44">
      <w:pPr>
        <w:spacing w:after="240"/>
        <w:ind w:left="720" w:hanging="720"/>
        <w:jc w:val="both"/>
        <w:rPr>
          <w:rFonts w:ascii="Arial" w:hAnsi="Arial" w:cs="Arial"/>
          <w:bCs/>
        </w:rPr>
      </w:pPr>
      <w:r w:rsidRPr="009E3B44">
        <w:rPr>
          <w:rFonts w:ascii="Arial" w:hAnsi="Arial" w:cs="Arial"/>
          <w:bCs/>
        </w:rPr>
        <w:t>5.</w:t>
      </w:r>
      <w:r w:rsidRPr="009E3B44">
        <w:rPr>
          <w:rFonts w:ascii="Arial" w:hAnsi="Arial" w:cs="Arial"/>
          <w:bCs/>
        </w:rPr>
        <w:tab/>
        <w:t>Provide emergency relief from natural disasters or the negative economic impacts of natural disasters including temporary housing, food assistance, financial assistance for</w:t>
      </w:r>
      <w:r>
        <w:rPr>
          <w:rFonts w:ascii="Arial" w:hAnsi="Arial" w:cs="Arial"/>
          <w:bCs/>
        </w:rPr>
        <w:t xml:space="preserve"> </w:t>
      </w:r>
      <w:r w:rsidRPr="009E3B44">
        <w:rPr>
          <w:rFonts w:ascii="Arial" w:hAnsi="Arial" w:cs="Arial"/>
          <w:bCs/>
        </w:rPr>
        <w:t>lost wages, and other immediate needs. Please see pages 4 - 8 of the Overview of the 2023 Interim Final Rule (</w:t>
      </w:r>
      <w:hyperlink r:id="rId31" w:history="1">
        <w:r w:rsidRPr="009E3B44">
          <w:rPr>
            <w:rStyle w:val="Hyperlink"/>
            <w:rFonts w:cs="Arial"/>
            <w:bCs/>
          </w:rPr>
          <w:t>SLFRF Overview of the 2023 IFR</w:t>
        </w:r>
      </w:hyperlink>
      <w:r w:rsidRPr="009E3B44">
        <w:rPr>
          <w:rFonts w:ascii="Arial" w:hAnsi="Arial" w:cs="Arial"/>
          <w:bCs/>
        </w:rPr>
        <w:t>) for a list of such eligible uses;</w:t>
      </w:r>
    </w:p>
    <w:p w14:paraId="4B3A8DB6" w14:textId="520B6826" w:rsidR="009E3B44" w:rsidRPr="009E3B44" w:rsidRDefault="009E3B44" w:rsidP="009E3B44">
      <w:pPr>
        <w:spacing w:after="240"/>
        <w:ind w:left="720" w:hanging="720"/>
        <w:jc w:val="both"/>
        <w:rPr>
          <w:rFonts w:ascii="Arial" w:hAnsi="Arial" w:cs="Arial"/>
          <w:bCs/>
        </w:rPr>
      </w:pPr>
      <w:r w:rsidRPr="009E3B44">
        <w:rPr>
          <w:rFonts w:ascii="Arial" w:hAnsi="Arial" w:cs="Arial"/>
          <w:bCs/>
        </w:rPr>
        <w:t xml:space="preserve">6. </w:t>
      </w:r>
      <w:r w:rsidRPr="009E3B44">
        <w:rPr>
          <w:rFonts w:ascii="Arial" w:hAnsi="Arial" w:cs="Arial"/>
          <w:bCs/>
        </w:rPr>
        <w:tab/>
        <w:t>Use funds for Surface Transportation projects under certain programs administered by the</w:t>
      </w:r>
      <w:r>
        <w:rPr>
          <w:rFonts w:ascii="Arial" w:hAnsi="Arial" w:cs="Arial"/>
          <w:bCs/>
        </w:rPr>
        <w:t xml:space="preserve"> </w:t>
      </w:r>
      <w:r w:rsidRPr="009E3B44">
        <w:rPr>
          <w:rFonts w:ascii="Arial" w:hAnsi="Arial" w:cs="Arial"/>
          <w:bCs/>
        </w:rPr>
        <w:t xml:space="preserve">U.S. Department of Transportation. Please see pages 9 - 15 of the </w:t>
      </w:r>
      <w:hyperlink r:id="rId32" w:history="1">
        <w:r w:rsidRPr="009E3B44">
          <w:rPr>
            <w:rStyle w:val="Hyperlink"/>
            <w:rFonts w:cs="Arial"/>
            <w:bCs/>
          </w:rPr>
          <w:t>SLFRF Overview of the 2023 IFR</w:t>
        </w:r>
      </w:hyperlink>
      <w:r w:rsidRPr="009E3B44">
        <w:rPr>
          <w:rFonts w:ascii="Arial" w:hAnsi="Arial" w:cs="Arial"/>
          <w:bCs/>
        </w:rPr>
        <w:t xml:space="preserve"> for a list of such eligible uses; and</w:t>
      </w:r>
    </w:p>
    <w:p w14:paraId="501D4569" w14:textId="5F4902A3" w:rsidR="009E3B44" w:rsidRDefault="009E3B44" w:rsidP="009E3B44">
      <w:pPr>
        <w:spacing w:after="240"/>
        <w:ind w:left="720" w:hanging="720"/>
        <w:jc w:val="both"/>
        <w:rPr>
          <w:rFonts w:ascii="Arial" w:hAnsi="Arial" w:cs="Arial"/>
          <w:bCs/>
        </w:rPr>
      </w:pPr>
      <w:r w:rsidRPr="009E3B44">
        <w:rPr>
          <w:rFonts w:ascii="Arial" w:hAnsi="Arial" w:cs="Arial"/>
          <w:bCs/>
        </w:rPr>
        <w:t xml:space="preserve">7. </w:t>
      </w:r>
      <w:r w:rsidRPr="009E3B44">
        <w:rPr>
          <w:rFonts w:ascii="Arial" w:hAnsi="Arial" w:cs="Arial"/>
          <w:bCs/>
        </w:rPr>
        <w:tab/>
        <w:t xml:space="preserve">Use funds for projects eligible under the programs established in Title I of the Housing and Community Development Act of 1974 (“Title I projects”), subject to certain requirements and limitations. Please see pages 16 - 19 of the </w:t>
      </w:r>
      <w:hyperlink r:id="rId33" w:history="1">
        <w:r w:rsidRPr="009E3B44">
          <w:rPr>
            <w:rStyle w:val="Hyperlink"/>
            <w:rFonts w:cs="Arial"/>
            <w:bCs/>
          </w:rPr>
          <w:t>SLFRF Overview of the 2023 IFR</w:t>
        </w:r>
      </w:hyperlink>
      <w:r w:rsidRPr="009E3B44">
        <w:rPr>
          <w:rFonts w:ascii="Arial" w:hAnsi="Arial" w:cs="Arial"/>
          <w:bCs/>
        </w:rPr>
        <w:t xml:space="preserve"> for a list of such eligible uses.</w:t>
      </w:r>
    </w:p>
    <w:p w14:paraId="27A28DF7" w14:textId="3081BBD6" w:rsidR="009656BB" w:rsidRPr="00F00D94" w:rsidRDefault="009E3B44" w:rsidP="006672E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 xml:space="preserve">) </w:t>
      </w:r>
    </w:p>
    <w:p w14:paraId="222D14D9" w14:textId="77777777" w:rsidR="009656BB" w:rsidRPr="00A0464C" w:rsidRDefault="009656BB" w:rsidP="006672EA">
      <w:pPr>
        <w:pStyle w:val="Heading3"/>
        <w:jc w:val="both"/>
        <w:rPr>
          <w:rFonts w:cs="Arial"/>
          <w:sz w:val="24"/>
          <w:szCs w:val="24"/>
        </w:rPr>
      </w:pPr>
      <w:bookmarkStart w:id="19" w:name="_Toc177630922"/>
      <w:r w:rsidRPr="00A0464C">
        <w:rPr>
          <w:rFonts w:cs="Arial"/>
          <w:sz w:val="24"/>
          <w:szCs w:val="24"/>
        </w:rPr>
        <w:t>II. Program Procedures</w:t>
      </w:r>
      <w:bookmarkEnd w:id="19"/>
    </w:p>
    <w:p w14:paraId="7A7312F2" w14:textId="42CCC371" w:rsidR="00987C58" w:rsidRPr="00987C58" w:rsidRDefault="00987C58" w:rsidP="00987C58">
      <w:pPr>
        <w:spacing w:after="240"/>
        <w:jc w:val="both"/>
        <w:rPr>
          <w:rFonts w:ascii="Arial" w:hAnsi="Arial" w:cs="Arial"/>
          <w:b/>
        </w:rPr>
      </w:pPr>
      <w:r w:rsidRPr="00987C58">
        <w:rPr>
          <w:rFonts w:ascii="Arial" w:hAnsi="Arial" w:cs="Arial"/>
          <w:b/>
        </w:rPr>
        <w:t>A.</w:t>
      </w:r>
      <w:r w:rsidRPr="00987C58">
        <w:rPr>
          <w:rFonts w:ascii="Arial" w:hAnsi="Arial" w:cs="Arial"/>
          <w:b/>
        </w:rPr>
        <w:tab/>
        <w:t>Overview</w:t>
      </w:r>
    </w:p>
    <w:p w14:paraId="1D36147E" w14:textId="18CCFF25" w:rsidR="00987C58" w:rsidRPr="00987C58" w:rsidRDefault="00987C58" w:rsidP="00987C58">
      <w:pPr>
        <w:spacing w:after="240"/>
        <w:ind w:left="720"/>
        <w:jc w:val="both"/>
        <w:rPr>
          <w:rFonts w:ascii="Arial" w:hAnsi="Arial" w:cs="Arial"/>
          <w:bCs/>
        </w:rPr>
      </w:pPr>
      <w:r w:rsidRPr="00987C58">
        <w:rPr>
          <w:rFonts w:ascii="Arial" w:hAnsi="Arial" w:cs="Arial"/>
          <w:bCs/>
        </w:rPr>
        <w:t xml:space="preserve">Sections 602 and 603 of the Social Security Act (the “Act”), as added by section 9901 of the American Rescue Plan Act of 2021, Pub. L. No. 117-2 (Mar. 11, 2021), codified at 42 USC sections 802 and 803, and as amended by the Consolidated Appropriations Act, 2023 (“2023 CAA”), Pub. </w:t>
      </w:r>
      <w:r w:rsidRPr="00987C58">
        <w:rPr>
          <w:rFonts w:ascii="Arial" w:hAnsi="Arial" w:cs="Arial"/>
          <w:bCs/>
        </w:rPr>
        <w:lastRenderedPageBreak/>
        <w:t xml:space="preserve">L. No. 117-328 (Dec. 29, 2022), authorized the Coronavirus State Fiscal Recovery Fund and Coronavirus Local Fiscal Recovery Fund, respectively (referred to collectively as the “Coronavirus State and Local Fiscal Recovery Funds” or “SLFRF”). SLFRF is administered by the U.S. Department of the Treasury (“Treasury”) and </w:t>
      </w:r>
      <w:proofErr w:type="gramStart"/>
      <w:r w:rsidRPr="00987C58">
        <w:rPr>
          <w:rFonts w:ascii="Arial" w:hAnsi="Arial" w:cs="Arial"/>
          <w:bCs/>
        </w:rPr>
        <w:t>provides assistance</w:t>
      </w:r>
      <w:proofErr w:type="gramEnd"/>
      <w:r w:rsidRPr="00987C58">
        <w:rPr>
          <w:rFonts w:ascii="Arial" w:hAnsi="Arial" w:cs="Arial"/>
          <w:bCs/>
        </w:rPr>
        <w:t xml:space="preserve"> in the form of direct payments for specified use. SLFRF provides</w:t>
      </w:r>
      <w:r>
        <w:rPr>
          <w:rFonts w:ascii="Arial" w:hAnsi="Arial" w:cs="Arial"/>
          <w:bCs/>
        </w:rPr>
        <w:t xml:space="preserve"> </w:t>
      </w:r>
      <w:r w:rsidRPr="00987C58">
        <w:rPr>
          <w:rFonts w:ascii="Arial" w:hAnsi="Arial" w:cs="Arial"/>
          <w:bCs/>
        </w:rPr>
        <w:t>$350 billion for payments to eligible entities.</w:t>
      </w:r>
    </w:p>
    <w:p w14:paraId="719BD33E" w14:textId="61B02DF2" w:rsidR="00987C58" w:rsidRPr="00987C58" w:rsidRDefault="00987C58" w:rsidP="00987C58">
      <w:pPr>
        <w:spacing w:after="240"/>
        <w:ind w:left="720"/>
        <w:jc w:val="both"/>
        <w:rPr>
          <w:rFonts w:ascii="Arial" w:hAnsi="Arial" w:cs="Arial"/>
          <w:bCs/>
        </w:rPr>
      </w:pPr>
      <w:r w:rsidRPr="00987C58">
        <w:rPr>
          <w:rFonts w:ascii="Arial" w:hAnsi="Arial" w:cs="Arial"/>
          <w:bCs/>
        </w:rPr>
        <w:t>The total allocations to the eligible entities under SLFRF are as follows:</w:t>
      </w:r>
    </w:p>
    <w:p w14:paraId="69B6DCD6" w14:textId="4C0648D1" w:rsidR="00987C58" w:rsidRPr="00987C58" w:rsidRDefault="00987C58" w:rsidP="00987C58">
      <w:pPr>
        <w:spacing w:after="240"/>
        <w:ind w:left="720"/>
        <w:jc w:val="both"/>
        <w:rPr>
          <w:rFonts w:ascii="Arial" w:hAnsi="Arial" w:cs="Arial"/>
          <w:bCs/>
        </w:rPr>
      </w:pPr>
      <w:r w:rsidRPr="00987C58">
        <w:rPr>
          <w:rFonts w:ascii="Arial" w:hAnsi="Arial" w:cs="Arial"/>
          <w:bCs/>
        </w:rPr>
        <w:t>(1)</w:t>
      </w:r>
      <w:r w:rsidRPr="00987C58">
        <w:rPr>
          <w:rFonts w:ascii="Arial" w:hAnsi="Arial" w:cs="Arial"/>
          <w:bCs/>
        </w:rPr>
        <w:tab/>
        <w:t>$195.3 billion reserved for making payments to the 50 states and the District of Columbia;</w:t>
      </w:r>
    </w:p>
    <w:p w14:paraId="4D54D546" w14:textId="7396B075" w:rsidR="00987C58" w:rsidRPr="00987C58" w:rsidRDefault="00987C58" w:rsidP="00987C58">
      <w:pPr>
        <w:spacing w:after="240"/>
        <w:ind w:left="720"/>
        <w:jc w:val="both"/>
        <w:rPr>
          <w:rFonts w:ascii="Arial" w:hAnsi="Arial" w:cs="Arial"/>
          <w:bCs/>
        </w:rPr>
      </w:pPr>
      <w:r w:rsidRPr="00987C58">
        <w:rPr>
          <w:rFonts w:ascii="Arial" w:hAnsi="Arial" w:cs="Arial"/>
          <w:bCs/>
        </w:rPr>
        <w:t>(2)</w:t>
      </w:r>
      <w:r w:rsidRPr="00987C58">
        <w:rPr>
          <w:rFonts w:ascii="Arial" w:hAnsi="Arial" w:cs="Arial"/>
          <w:bCs/>
        </w:rPr>
        <w:tab/>
        <w:t>$4.5 billion reserved for making payments to the US territories;</w:t>
      </w:r>
    </w:p>
    <w:p w14:paraId="2DBF7C15" w14:textId="4B44F479" w:rsidR="00987C58" w:rsidRPr="00987C58" w:rsidRDefault="00987C58" w:rsidP="00987C58">
      <w:pPr>
        <w:spacing w:after="240"/>
        <w:ind w:left="720"/>
        <w:jc w:val="both"/>
        <w:rPr>
          <w:rFonts w:ascii="Arial" w:hAnsi="Arial" w:cs="Arial"/>
          <w:bCs/>
        </w:rPr>
      </w:pPr>
      <w:r w:rsidRPr="00987C58">
        <w:rPr>
          <w:rFonts w:ascii="Arial" w:hAnsi="Arial" w:cs="Arial"/>
          <w:bCs/>
        </w:rPr>
        <w:t>(3)</w:t>
      </w:r>
      <w:r w:rsidRPr="00987C58">
        <w:rPr>
          <w:rFonts w:ascii="Arial" w:hAnsi="Arial" w:cs="Arial"/>
          <w:bCs/>
        </w:rPr>
        <w:tab/>
        <w:t>$20 billion reserved for making payments to Tribal governments;</w:t>
      </w:r>
    </w:p>
    <w:p w14:paraId="1E5F0440" w14:textId="532EF895" w:rsidR="00987C58" w:rsidRPr="00987C58" w:rsidRDefault="00987C58" w:rsidP="00987C58">
      <w:pPr>
        <w:spacing w:after="240"/>
        <w:ind w:left="720"/>
        <w:jc w:val="both"/>
        <w:rPr>
          <w:rFonts w:ascii="Arial" w:hAnsi="Arial" w:cs="Arial"/>
          <w:bCs/>
        </w:rPr>
      </w:pPr>
      <w:r w:rsidRPr="00987C58">
        <w:rPr>
          <w:rFonts w:ascii="Arial" w:hAnsi="Arial" w:cs="Arial"/>
          <w:bCs/>
        </w:rPr>
        <w:t>(4)</w:t>
      </w:r>
      <w:r w:rsidRPr="00987C58">
        <w:rPr>
          <w:rFonts w:ascii="Arial" w:hAnsi="Arial" w:cs="Arial"/>
          <w:bCs/>
        </w:rPr>
        <w:tab/>
        <w:t>$45.57 billion reserved for making payments to metropolitan cities;</w:t>
      </w:r>
    </w:p>
    <w:p w14:paraId="3DAEA184" w14:textId="4B7B0DBD" w:rsidR="00987C58" w:rsidRPr="00987C58" w:rsidRDefault="00987C58" w:rsidP="00987C58">
      <w:pPr>
        <w:spacing w:after="240"/>
        <w:ind w:left="720"/>
        <w:jc w:val="both"/>
        <w:rPr>
          <w:rFonts w:ascii="Arial" w:hAnsi="Arial" w:cs="Arial"/>
          <w:bCs/>
        </w:rPr>
      </w:pPr>
      <w:r w:rsidRPr="00987C58">
        <w:rPr>
          <w:rFonts w:ascii="Arial" w:hAnsi="Arial" w:cs="Arial"/>
          <w:bCs/>
        </w:rPr>
        <w:t>(5)</w:t>
      </w:r>
      <w:r w:rsidRPr="00987C58">
        <w:rPr>
          <w:rFonts w:ascii="Arial" w:hAnsi="Arial" w:cs="Arial"/>
          <w:bCs/>
        </w:rPr>
        <w:tab/>
        <w:t>$65.1 billion reserved for making payments to counties; and</w:t>
      </w:r>
    </w:p>
    <w:p w14:paraId="478EE74C" w14:textId="0683DED7" w:rsidR="00987C58" w:rsidRPr="00987C58" w:rsidRDefault="00987C58" w:rsidP="00987C58">
      <w:pPr>
        <w:spacing w:after="240"/>
        <w:ind w:left="720"/>
        <w:jc w:val="both"/>
        <w:rPr>
          <w:rFonts w:ascii="Arial" w:hAnsi="Arial" w:cs="Arial"/>
          <w:bCs/>
        </w:rPr>
      </w:pPr>
      <w:r w:rsidRPr="00987C58">
        <w:rPr>
          <w:rFonts w:ascii="Arial" w:hAnsi="Arial" w:cs="Arial"/>
          <w:bCs/>
        </w:rPr>
        <w:t>(6)</w:t>
      </w:r>
      <w:r w:rsidRPr="00987C58">
        <w:rPr>
          <w:rFonts w:ascii="Arial" w:hAnsi="Arial" w:cs="Arial"/>
          <w:bCs/>
        </w:rPr>
        <w:tab/>
        <w:t>$19.53 billion reserved for making payments to NEUs.</w:t>
      </w:r>
    </w:p>
    <w:p w14:paraId="063EB3C0" w14:textId="4C22E674" w:rsidR="00987C58" w:rsidRPr="00987C58" w:rsidRDefault="00987C58" w:rsidP="00987C58">
      <w:pPr>
        <w:spacing w:after="240"/>
        <w:ind w:left="720"/>
        <w:jc w:val="both"/>
        <w:rPr>
          <w:rFonts w:ascii="Arial" w:hAnsi="Arial" w:cs="Arial"/>
          <w:bCs/>
        </w:rPr>
      </w:pPr>
      <w:r w:rsidRPr="00987C58">
        <w:rPr>
          <w:rFonts w:ascii="Arial" w:hAnsi="Arial" w:cs="Arial"/>
          <w:bCs/>
        </w:rPr>
        <w:t xml:space="preserve">Amounts paid to eligible states and local governments were based on 2019 population data from the US Census Bureau as well as latest available data from the Bureau of Labor Statistics at the time of the issuance of Treasury’s 2021 Interim Final Rule on May 17, 2021. Treasury </w:t>
      </w:r>
      <w:proofErr w:type="gramStart"/>
      <w:r w:rsidRPr="00987C58">
        <w:rPr>
          <w:rFonts w:ascii="Arial" w:hAnsi="Arial" w:cs="Arial"/>
          <w:bCs/>
        </w:rPr>
        <w:t>made a determination</w:t>
      </w:r>
      <w:proofErr w:type="gramEnd"/>
      <w:r w:rsidRPr="00987C58">
        <w:rPr>
          <w:rFonts w:ascii="Arial" w:hAnsi="Arial" w:cs="Arial"/>
          <w:bCs/>
        </w:rPr>
        <w:t xml:space="preserve"> to allocate payments to Tribal governments based</w:t>
      </w:r>
      <w:r>
        <w:rPr>
          <w:rFonts w:ascii="Arial" w:hAnsi="Arial" w:cs="Arial"/>
          <w:bCs/>
        </w:rPr>
        <w:t xml:space="preserve"> </w:t>
      </w:r>
      <w:r w:rsidRPr="00987C58">
        <w:rPr>
          <w:rFonts w:ascii="Arial" w:hAnsi="Arial" w:cs="Arial"/>
          <w:bCs/>
        </w:rPr>
        <w:t>on enrollment reported to the Bureau of Indian Affairs and employment data, as well as consultation with Tribal leaders.</w:t>
      </w:r>
    </w:p>
    <w:p w14:paraId="368593B0" w14:textId="2E827570" w:rsidR="001A2761" w:rsidRPr="00F00D94" w:rsidRDefault="00987C58" w:rsidP="00987C58">
      <w:pPr>
        <w:spacing w:after="240"/>
        <w:ind w:left="720"/>
        <w:jc w:val="both"/>
        <w:rPr>
          <w:rFonts w:ascii="Arial" w:hAnsi="Arial" w:cs="Arial"/>
          <w:bCs/>
        </w:rPr>
      </w:pPr>
      <w:r w:rsidRPr="00987C58">
        <w:rPr>
          <w:rFonts w:ascii="Arial" w:hAnsi="Arial" w:cs="Arial"/>
          <w:bCs/>
        </w:rPr>
        <w:t>Prior to receipt of award funds, all eligible entities are required to execute a Financial Assistance Agreement, which includes the Award Terms and Conditions that recipients must comply with in carrying out the objectives of their award, as well as the certification required at 42 USC 802(d)(1). Tribal and local governments are not required to provide such certification as a condition of receiving an award under SLFRF. Eligible entities are required to use their award funds as set forth at 42 USC sections 802(c) and 803(c) and the SLFRF regulations set forth at 31 CFR Part 35, Subpart A, to meet pandemic response needs and rebuild a strong, more equitable economy as the country recovers.</w:t>
      </w:r>
    </w:p>
    <w:p w14:paraId="3D7F8C06" w14:textId="22BBF199" w:rsidR="009656BB" w:rsidRPr="00F00D94" w:rsidRDefault="00987C58" w:rsidP="00740C6F">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612B87C9" w14:textId="77777777" w:rsidR="009656BB" w:rsidRPr="00A0464C" w:rsidRDefault="009656BB" w:rsidP="006672EA">
      <w:pPr>
        <w:pStyle w:val="Heading3"/>
        <w:jc w:val="both"/>
        <w:rPr>
          <w:rFonts w:cs="Arial"/>
          <w:sz w:val="24"/>
          <w:szCs w:val="24"/>
        </w:rPr>
      </w:pPr>
      <w:bookmarkStart w:id="20" w:name="_Toc177630923"/>
      <w:r w:rsidRPr="00A0464C">
        <w:rPr>
          <w:rFonts w:cs="Arial"/>
          <w:sz w:val="24"/>
          <w:szCs w:val="24"/>
        </w:rPr>
        <w:t>III. Source of Governing Requirements</w:t>
      </w:r>
      <w:bookmarkEnd w:id="20"/>
    </w:p>
    <w:p w14:paraId="6B8C5416" w14:textId="16CB18BA" w:rsidR="00987C58" w:rsidRPr="00987C58" w:rsidRDefault="00987C58" w:rsidP="00987C58">
      <w:pPr>
        <w:spacing w:after="240"/>
        <w:jc w:val="both"/>
        <w:rPr>
          <w:rFonts w:ascii="Arial" w:hAnsi="Arial" w:cs="Arial"/>
          <w:bCs/>
        </w:rPr>
      </w:pPr>
      <w:r w:rsidRPr="00987C58">
        <w:rPr>
          <w:rFonts w:ascii="Arial" w:hAnsi="Arial" w:cs="Arial"/>
          <w:bCs/>
        </w:rPr>
        <w:t xml:space="preserve">The SLFRF program is authorized by sections 602 and 603 of the Social Security Act as added by section 9901 of the American Rescue Plan Act of 2021, Pub. L. No. 117-2 (Mar. 11, 2021), codified at 42 USC sections 802 and 803, and as amended by the 2023 CAA. The U.S. Department of the Treasury (Treasury) has implemented the statutory provisions applicable to FY 2024 through the </w:t>
      </w:r>
      <w:hyperlink r:id="rId34" w:history="1">
        <w:r w:rsidRPr="00987C58">
          <w:rPr>
            <w:rStyle w:val="Hyperlink"/>
            <w:rFonts w:cs="Arial"/>
            <w:bCs/>
          </w:rPr>
          <w:t>2021 Interim Final Rule</w:t>
        </w:r>
      </w:hyperlink>
      <w:r w:rsidRPr="00987C58">
        <w:rPr>
          <w:rFonts w:ascii="Arial" w:hAnsi="Arial" w:cs="Arial"/>
          <w:bCs/>
        </w:rPr>
        <w:t xml:space="preserve">, the </w:t>
      </w:r>
      <w:hyperlink r:id="rId35" w:history="1">
        <w:r w:rsidRPr="00987C58">
          <w:rPr>
            <w:rStyle w:val="Hyperlink"/>
            <w:rFonts w:cs="Arial"/>
            <w:bCs/>
          </w:rPr>
          <w:t>2022 Final Rule</w:t>
        </w:r>
      </w:hyperlink>
      <w:r w:rsidRPr="00987C58">
        <w:rPr>
          <w:rFonts w:ascii="Arial" w:hAnsi="Arial" w:cs="Arial"/>
          <w:bCs/>
        </w:rPr>
        <w:t xml:space="preserve">, the </w:t>
      </w:r>
      <w:hyperlink r:id="rId36" w:history="1">
        <w:r w:rsidRPr="00987C58">
          <w:rPr>
            <w:rStyle w:val="Hyperlink"/>
            <w:rFonts w:cs="Arial"/>
            <w:bCs/>
          </w:rPr>
          <w:t>2023 Interim Final Rule</w:t>
        </w:r>
      </w:hyperlink>
      <w:r w:rsidRPr="00987C58">
        <w:rPr>
          <w:rFonts w:ascii="Arial" w:hAnsi="Arial" w:cs="Arial"/>
          <w:bCs/>
        </w:rPr>
        <w:t xml:space="preserve">, and the </w:t>
      </w:r>
      <w:hyperlink r:id="rId37" w:history="1">
        <w:r w:rsidRPr="00987C58">
          <w:rPr>
            <w:rStyle w:val="Hyperlink"/>
            <w:rFonts w:cs="Arial"/>
            <w:bCs/>
          </w:rPr>
          <w:t>Obligation Interim Final Rule</w:t>
        </w:r>
      </w:hyperlink>
      <w:r w:rsidRPr="00987C58">
        <w:rPr>
          <w:rFonts w:ascii="Arial" w:hAnsi="Arial" w:cs="Arial"/>
          <w:bCs/>
        </w:rPr>
        <w:t xml:space="preserve"> at 31 CFR Part 35, Subpart A.</w:t>
      </w:r>
    </w:p>
    <w:p w14:paraId="102F7A4C" w14:textId="681D1507" w:rsidR="00987C58" w:rsidRPr="00987C58" w:rsidRDefault="00987C58" w:rsidP="00987C58">
      <w:pPr>
        <w:spacing w:after="240"/>
        <w:jc w:val="both"/>
        <w:rPr>
          <w:rFonts w:ascii="Arial" w:hAnsi="Arial" w:cs="Arial"/>
          <w:bCs/>
        </w:rPr>
      </w:pPr>
      <w:r w:rsidRPr="00987C58">
        <w:rPr>
          <w:rFonts w:ascii="Arial" w:hAnsi="Arial" w:cs="Arial"/>
          <w:bCs/>
        </w:rPr>
        <w:t>On January 6, 2022, Treasury adopted the 2022 Final Rule to implement the requirements of the SLFRF program. The 2022 Final Rule responded to comments Treasury received on the 2021</w:t>
      </w:r>
      <w:r w:rsidR="001D666E">
        <w:rPr>
          <w:rFonts w:ascii="Arial" w:hAnsi="Arial" w:cs="Arial"/>
          <w:bCs/>
        </w:rPr>
        <w:t xml:space="preserve"> </w:t>
      </w:r>
      <w:r w:rsidRPr="00987C58">
        <w:rPr>
          <w:rFonts w:ascii="Arial" w:hAnsi="Arial" w:cs="Arial"/>
          <w:bCs/>
        </w:rPr>
        <w:t>Interim Final Rule and took effect on April 1, 2022. Until that time, the 2021 Interim Final Rule remained in effect. Auditors should note that if a recipient obligated funds in accordance with the 2021 Interim Final Rule, then the expenditures follow the requirements of the 2021 Interim Final Rule.</w:t>
      </w:r>
    </w:p>
    <w:p w14:paraId="4F0EE89B" w14:textId="3F95B79D" w:rsidR="00987C58" w:rsidRPr="00987C58" w:rsidRDefault="00987C58" w:rsidP="00987C58">
      <w:pPr>
        <w:spacing w:after="240"/>
        <w:jc w:val="both"/>
        <w:rPr>
          <w:rFonts w:ascii="Arial" w:hAnsi="Arial" w:cs="Arial"/>
          <w:bCs/>
        </w:rPr>
      </w:pPr>
      <w:r w:rsidRPr="00987C58">
        <w:rPr>
          <w:rFonts w:ascii="Arial" w:hAnsi="Arial" w:cs="Arial"/>
          <w:bCs/>
        </w:rPr>
        <w:t xml:space="preserve">Treasury issued the </w:t>
      </w:r>
      <w:hyperlink r:id="rId38" w:history="1">
        <w:r w:rsidRPr="00987C58">
          <w:rPr>
            <w:rStyle w:val="Hyperlink"/>
            <w:rFonts w:cs="Arial"/>
            <w:bCs/>
          </w:rPr>
          <w:t>Statement Regarding Compliance with the Coronavirus State and Local Fiscal Recovery Funds 2021 Interim Final Rule and 2022 Final Rule</w:t>
        </w:r>
      </w:hyperlink>
      <w:r w:rsidRPr="00987C58">
        <w:rPr>
          <w:rFonts w:ascii="Arial" w:hAnsi="Arial" w:cs="Arial"/>
          <w:bCs/>
        </w:rPr>
        <w:t xml:space="preserve"> (“the Statement”) that clarifies the transition from compliance with the Interim Final Rule to compliance with the Final Rule. Recipients must comply with </w:t>
      </w:r>
      <w:r w:rsidRPr="00987C58">
        <w:rPr>
          <w:rFonts w:ascii="Arial" w:hAnsi="Arial" w:cs="Arial"/>
          <w:bCs/>
        </w:rPr>
        <w:lastRenderedPageBreak/>
        <w:t>the 2022 Final Rule beginning on April 1, 2022, when the 2022 Final Rule took effect. Prior to April 1, 2022, recipients may take actions and use funds in a manner consistent with the 2022 Final Rule, and Treasury will not take action to enforce the 2021 Interim Final Rule if a use of funds is consistent with the terms of the 2022 Final Rule, regardless of when the SLFRF funds were used. Please see pages 3-4 of the Statement for specific guidance. For example, a recipient is not required to prepare or submit a written justification as required under the 2022 Final Rule for capital expenditures under the public health-negative economic impact eligible use category if the recipient (i) has taken significant steps toward obligating SLFRF funds for that project prior to January 6, 2022, or (ii) has obligated funds for such project prior to April 1, 2022.</w:t>
      </w:r>
    </w:p>
    <w:p w14:paraId="7CB36FED" w14:textId="5B4EFC07" w:rsidR="00987C58" w:rsidRPr="00987C58" w:rsidRDefault="00987C58" w:rsidP="00987C58">
      <w:pPr>
        <w:spacing w:after="240"/>
        <w:jc w:val="both"/>
        <w:rPr>
          <w:rFonts w:ascii="Arial" w:hAnsi="Arial" w:cs="Arial"/>
          <w:bCs/>
        </w:rPr>
      </w:pPr>
      <w:r w:rsidRPr="00987C58">
        <w:rPr>
          <w:rFonts w:ascii="Arial" w:hAnsi="Arial" w:cs="Arial"/>
          <w:bCs/>
        </w:rPr>
        <w:t xml:space="preserve">Recipients must follow the requirements on award funds they expended for their fiscal year 2024 based on the requirements set forth at 42 USC sections 802 and 803, Treasury’s 2021 Interim Final Rule, Treasury’s 2022 Final Rule, Treasury’s 2023 Interim Final Rule, obligation Interim Final Rule, and </w:t>
      </w:r>
      <w:hyperlink r:id="rId39" w:history="1">
        <w:r w:rsidRPr="00987C58">
          <w:rPr>
            <w:rStyle w:val="Hyperlink"/>
            <w:rFonts w:cs="Arial"/>
            <w:bCs/>
          </w:rPr>
          <w:t>Frequently Asked Questions (FAQs)</w:t>
        </w:r>
      </w:hyperlink>
      <w:r w:rsidRPr="00987C58">
        <w:rPr>
          <w:rFonts w:ascii="Arial" w:hAnsi="Arial" w:cs="Arial"/>
          <w:bCs/>
        </w:rPr>
        <w:t>, as applicable.</w:t>
      </w:r>
    </w:p>
    <w:p w14:paraId="5FCF919E" w14:textId="6E79E2A7" w:rsidR="00987C58" w:rsidRPr="00987C58" w:rsidRDefault="00987C58" w:rsidP="00987C58">
      <w:pPr>
        <w:spacing w:after="240"/>
        <w:jc w:val="both"/>
        <w:rPr>
          <w:rFonts w:ascii="Arial" w:hAnsi="Arial" w:cs="Arial"/>
          <w:bCs/>
        </w:rPr>
      </w:pPr>
      <w:r w:rsidRPr="00987C58">
        <w:rPr>
          <w:rFonts w:ascii="Arial" w:hAnsi="Arial" w:cs="Arial"/>
          <w:bCs/>
        </w:rPr>
        <w:t xml:space="preserve">Auditors should note that the </w:t>
      </w:r>
      <w:hyperlink r:id="rId40" w:history="1">
        <w:r w:rsidRPr="00987C58">
          <w:rPr>
            <w:rStyle w:val="Hyperlink"/>
            <w:rFonts w:cs="Arial"/>
            <w:bCs/>
          </w:rPr>
          <w:t>Consolidated Appropriations Act, 2023</w:t>
        </w:r>
      </w:hyperlink>
      <w:r w:rsidRPr="00987C58">
        <w:rPr>
          <w:rFonts w:ascii="Arial" w:hAnsi="Arial" w:cs="Arial"/>
          <w:bCs/>
        </w:rPr>
        <w:t xml:space="preserve"> amended Sections 602 and 603 of the Social Security Act to provide state, local, Tribal, and territorial governments the flexibility to use SLFRF funds for additional eligible uses. See Division LL, Section 102 of the Consolidated Appropriations Act, 2021 for the original eligible uses. On September 20, 2023, the </w:t>
      </w:r>
      <w:hyperlink r:id="rId41" w:history="1">
        <w:r w:rsidRPr="00987C58">
          <w:rPr>
            <w:rStyle w:val="Hyperlink"/>
            <w:rFonts w:cs="Arial"/>
            <w:bCs/>
          </w:rPr>
          <w:t>2023 Interim Final Rule</w:t>
        </w:r>
      </w:hyperlink>
      <w:r w:rsidRPr="00987C58">
        <w:rPr>
          <w:rFonts w:ascii="Arial" w:hAnsi="Arial" w:cs="Arial"/>
          <w:bCs/>
        </w:rPr>
        <w:t xml:space="preserve"> implementing these additional eligible uses was published in the Federal Register and became effective. An additional resource that provides information on the 2023 Interim Final Rule is the </w:t>
      </w:r>
      <w:hyperlink r:id="rId42" w:history="1">
        <w:r w:rsidRPr="00987C58">
          <w:rPr>
            <w:rStyle w:val="Hyperlink"/>
            <w:rFonts w:cs="Arial"/>
            <w:bCs/>
          </w:rPr>
          <w:t>Overview of the 2023 Interim Final Rule</w:t>
        </w:r>
      </w:hyperlink>
      <w:r w:rsidRPr="00987C58">
        <w:rPr>
          <w:rFonts w:ascii="Arial" w:hAnsi="Arial" w:cs="Arial"/>
          <w:bCs/>
        </w:rPr>
        <w:t>.</w:t>
      </w:r>
    </w:p>
    <w:p w14:paraId="5E052068" w14:textId="117DD644" w:rsidR="006F570B" w:rsidRPr="00F00D94" w:rsidRDefault="00987C58" w:rsidP="00987C58">
      <w:pPr>
        <w:spacing w:after="240"/>
        <w:jc w:val="both"/>
        <w:rPr>
          <w:rFonts w:ascii="Arial" w:hAnsi="Arial" w:cs="Arial"/>
          <w:bCs/>
        </w:rPr>
      </w:pPr>
      <w:r w:rsidRPr="00987C58">
        <w:rPr>
          <w:rFonts w:ascii="Arial" w:hAnsi="Arial" w:cs="Arial"/>
          <w:bCs/>
        </w:rPr>
        <w:t>Treasury also issued an Interim Final Rule describing an amendment to the definition of obligation in 31 CFR 35.3 and related guidance updates via the “</w:t>
      </w:r>
      <w:hyperlink r:id="rId43" w:history="1">
        <w:r w:rsidRPr="00987C58">
          <w:rPr>
            <w:rStyle w:val="Hyperlink"/>
            <w:rFonts w:cs="Arial"/>
            <w:bCs/>
          </w:rPr>
          <w:t>Obligation IFR</w:t>
        </w:r>
      </w:hyperlink>
      <w:r w:rsidRPr="00987C58">
        <w:rPr>
          <w:rFonts w:ascii="Arial" w:hAnsi="Arial" w:cs="Arial"/>
          <w:bCs/>
        </w:rPr>
        <w:t xml:space="preserve">.” The Obligation IFR was published in the Federal Register on November 20, 2023. See page 6 of the Obligation IFR for the definition of an obligation. Section 17 of Treasury’s </w:t>
      </w:r>
      <w:hyperlink r:id="rId44" w:history="1">
        <w:r w:rsidRPr="00987C58">
          <w:rPr>
            <w:rStyle w:val="Hyperlink"/>
            <w:rFonts w:cs="Arial"/>
            <w:bCs/>
          </w:rPr>
          <w:t>Frequently Asked Questions (FAQs)</w:t>
        </w:r>
      </w:hyperlink>
      <w:r w:rsidRPr="00987C58">
        <w:rPr>
          <w:rFonts w:ascii="Arial" w:hAnsi="Arial" w:cs="Arial"/>
          <w:bCs/>
        </w:rPr>
        <w:t xml:space="preserve"> also contains several important clarifications of the Obligation IFR’s definition of an obligation.</w:t>
      </w:r>
    </w:p>
    <w:p w14:paraId="05B90F53" w14:textId="20DC1289" w:rsidR="006F570B" w:rsidRPr="00F00D94" w:rsidRDefault="00987C58" w:rsidP="006672E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278D98F4" w14:textId="77777777" w:rsidR="006F570B" w:rsidRPr="00A0464C" w:rsidRDefault="00386445" w:rsidP="006672EA">
      <w:pPr>
        <w:pStyle w:val="Heading3"/>
        <w:jc w:val="both"/>
        <w:rPr>
          <w:rFonts w:cs="Arial"/>
          <w:sz w:val="24"/>
          <w:szCs w:val="24"/>
        </w:rPr>
      </w:pPr>
      <w:bookmarkStart w:id="21" w:name="_Toc177630924"/>
      <w:r w:rsidRPr="00A0464C">
        <w:rPr>
          <w:rFonts w:cs="Arial"/>
          <w:sz w:val="24"/>
          <w:szCs w:val="24"/>
        </w:rPr>
        <w:t xml:space="preserve">IV. </w:t>
      </w:r>
      <w:r w:rsidR="009C1FCD" w:rsidRPr="00A0464C">
        <w:rPr>
          <w:rFonts w:cs="Arial"/>
          <w:sz w:val="24"/>
          <w:szCs w:val="24"/>
        </w:rPr>
        <w:t>Other Information</w:t>
      </w:r>
      <w:bookmarkEnd w:id="21"/>
    </w:p>
    <w:p w14:paraId="7921B0B4" w14:textId="0CAEF32D" w:rsidR="003E6341" w:rsidRPr="003E6341" w:rsidRDefault="003E6341" w:rsidP="003E6341">
      <w:pPr>
        <w:spacing w:after="240"/>
        <w:jc w:val="both"/>
        <w:rPr>
          <w:rFonts w:ascii="Arial" w:hAnsi="Arial" w:cs="Arial"/>
          <w:bCs/>
          <w:i/>
          <w:iCs/>
        </w:rPr>
      </w:pPr>
      <w:r w:rsidRPr="003E6341">
        <w:rPr>
          <w:rFonts w:ascii="Arial" w:hAnsi="Arial" w:cs="Arial"/>
          <w:bCs/>
          <w:i/>
          <w:iCs/>
        </w:rPr>
        <w:t>Schedule of Expenditures of Federal Awards (SEFA)</w:t>
      </w:r>
    </w:p>
    <w:p w14:paraId="325E39D4" w14:textId="6C01F958" w:rsidR="003E6341" w:rsidRPr="003E6341" w:rsidRDefault="003E6341" w:rsidP="003E6341">
      <w:pPr>
        <w:spacing w:after="240"/>
        <w:jc w:val="both"/>
        <w:rPr>
          <w:rFonts w:ascii="Arial" w:hAnsi="Arial" w:cs="Arial"/>
          <w:bCs/>
        </w:rPr>
      </w:pPr>
      <w:r w:rsidRPr="003E6341">
        <w:rPr>
          <w:rFonts w:ascii="Arial" w:hAnsi="Arial" w:cs="Arial"/>
          <w:bCs/>
        </w:rPr>
        <w:t xml:space="preserve">As noted above in Activities Allowed or Unallowed, the dollar amount of the revenue loss determines the limit </w:t>
      </w:r>
      <w:proofErr w:type="gramStart"/>
      <w:r w:rsidRPr="003E6341">
        <w:rPr>
          <w:rFonts w:ascii="Arial" w:hAnsi="Arial" w:cs="Arial"/>
          <w:bCs/>
        </w:rPr>
        <w:t>for the amount of</w:t>
      </w:r>
      <w:proofErr w:type="gramEnd"/>
      <w:r w:rsidRPr="003E6341">
        <w:rPr>
          <w:rFonts w:ascii="Arial" w:hAnsi="Arial" w:cs="Arial"/>
          <w:bCs/>
        </w:rPr>
        <w:t xml:space="preserve"> SLFRF funds that can be used to “provide government services” (which is one of seven eligible uses of SLFRF funds). For SEFA reporting purposes, the aggregate expenditures for all seven eligible use categories are reported on the SEFA and not the result of the revenue loss calculation or standard allowance.</w:t>
      </w:r>
    </w:p>
    <w:p w14:paraId="3B5CFBF3" w14:textId="23B424FE" w:rsidR="003E6341" w:rsidRPr="003E6341" w:rsidRDefault="003E6341" w:rsidP="003E6341">
      <w:pPr>
        <w:spacing w:after="240"/>
        <w:jc w:val="both"/>
        <w:rPr>
          <w:rFonts w:ascii="Arial" w:hAnsi="Arial" w:cs="Arial"/>
          <w:bCs/>
        </w:rPr>
      </w:pPr>
      <w:r w:rsidRPr="003E6341">
        <w:rPr>
          <w:rFonts w:ascii="Arial" w:hAnsi="Arial" w:cs="Arial"/>
          <w:bCs/>
        </w:rPr>
        <w:t>Additionally, because NEUs are considered direct recipients under SLFRF, NEUs that do not elect or are not eligible for the alternative compliance examination engagement are required to report their award expenditures on the SEFA and data collection form as direct awards. Further, States must not report award funds that were required to be distributed to the NEUs on State SEFAs or data collection forms.</w:t>
      </w:r>
    </w:p>
    <w:p w14:paraId="5D2A3829" w14:textId="7D932DCF" w:rsidR="003E6341" w:rsidRPr="003E6341" w:rsidRDefault="003E6341" w:rsidP="003E6341">
      <w:pPr>
        <w:spacing w:after="240"/>
        <w:jc w:val="both"/>
        <w:rPr>
          <w:rFonts w:ascii="Arial" w:hAnsi="Arial" w:cs="Arial"/>
          <w:bCs/>
        </w:rPr>
      </w:pPr>
      <w:r w:rsidRPr="003E6341">
        <w:rPr>
          <w:rFonts w:ascii="Arial" w:hAnsi="Arial" w:cs="Arial"/>
          <w:bCs/>
        </w:rPr>
        <w:t xml:space="preserve">The dollar amount of the revenue loss determines the limit </w:t>
      </w:r>
      <w:proofErr w:type="gramStart"/>
      <w:r w:rsidRPr="003E6341">
        <w:rPr>
          <w:rFonts w:ascii="Arial" w:hAnsi="Arial" w:cs="Arial"/>
          <w:bCs/>
        </w:rPr>
        <w:t>for the amount of</w:t>
      </w:r>
      <w:proofErr w:type="gramEnd"/>
      <w:r w:rsidRPr="003E6341">
        <w:rPr>
          <w:rFonts w:ascii="Arial" w:hAnsi="Arial" w:cs="Arial"/>
          <w:bCs/>
        </w:rPr>
        <w:t xml:space="preserve"> SLFRF funds that can be used to “provide government services” (which is one of seven eligible uses of SLFRF funds). For Schedule of Expenditures of Federal Awards (SEFA) reporting purposes, the aggregate expenditures for all seven eligible use categories are reported on the SEFA and not the</w:t>
      </w:r>
      <w:r>
        <w:rPr>
          <w:rFonts w:ascii="Arial" w:hAnsi="Arial" w:cs="Arial"/>
          <w:bCs/>
        </w:rPr>
        <w:t xml:space="preserve"> </w:t>
      </w:r>
      <w:r w:rsidRPr="003E6341">
        <w:rPr>
          <w:rFonts w:ascii="Arial" w:hAnsi="Arial" w:cs="Arial"/>
          <w:bCs/>
        </w:rPr>
        <w:t>result of the revenue loss calculation or standard allowance. See the IV, “Other Information” section below for guidance on the related Schedule of Expenditures of Federal Award reporting. Requirements for an Alternative Compliance Examination Engagement for Recipients That Would Otherwise be Required to Undergo a Single Audit or Program-Specific Audit as a  Result of Receiving SLFRF Awards.</w:t>
      </w:r>
    </w:p>
    <w:p w14:paraId="2EB0E533" w14:textId="765CB21F" w:rsidR="00987C58" w:rsidRPr="00987C58" w:rsidRDefault="00987C58" w:rsidP="00987C58">
      <w:pPr>
        <w:spacing w:after="240"/>
        <w:jc w:val="both"/>
        <w:rPr>
          <w:rFonts w:ascii="Arial" w:hAnsi="Arial" w:cs="Arial"/>
          <w:b/>
        </w:rPr>
      </w:pPr>
      <w:r>
        <w:rPr>
          <w:rFonts w:ascii="Arial" w:hAnsi="Arial" w:cs="Arial"/>
          <w:b/>
        </w:rPr>
        <w:t>Availability of Other Program Information</w:t>
      </w:r>
    </w:p>
    <w:p w14:paraId="76F061DF" w14:textId="6AD5FF52" w:rsidR="00987C58" w:rsidRPr="00987C58" w:rsidRDefault="00987C58" w:rsidP="00987C58">
      <w:pPr>
        <w:spacing w:after="240"/>
        <w:jc w:val="both"/>
        <w:rPr>
          <w:rFonts w:ascii="Arial" w:hAnsi="Arial" w:cs="Arial"/>
          <w:bCs/>
        </w:rPr>
      </w:pPr>
      <w:r w:rsidRPr="00987C58">
        <w:rPr>
          <w:rFonts w:ascii="Arial" w:hAnsi="Arial" w:cs="Arial"/>
          <w:bCs/>
        </w:rPr>
        <w:lastRenderedPageBreak/>
        <w:t xml:space="preserve">Additional information on the requirements for SLFRF is available through the program webpage on Treasury’s website at </w:t>
      </w:r>
      <w:hyperlink r:id="rId45" w:history="1">
        <w:r w:rsidRPr="00FB60AD">
          <w:rPr>
            <w:rStyle w:val="Hyperlink"/>
            <w:rFonts w:cs="Arial"/>
            <w:bCs/>
          </w:rPr>
          <w:t>https://home.treasury.gov/policy-issues/coronavirus/assistance-for-state-local-and-tribal-governments/state-and-local-fiscal-recovery-funds</w:t>
        </w:r>
      </w:hyperlink>
      <w:r w:rsidRPr="00987C58">
        <w:rPr>
          <w:rFonts w:ascii="Arial" w:hAnsi="Arial" w:cs="Arial"/>
          <w:bCs/>
        </w:rPr>
        <w:t>.</w:t>
      </w:r>
    </w:p>
    <w:p w14:paraId="18669525" w14:textId="60E58987" w:rsidR="00987C58" w:rsidRPr="00987C58" w:rsidRDefault="00987C58" w:rsidP="00987C58">
      <w:pPr>
        <w:spacing w:after="240"/>
        <w:jc w:val="both"/>
        <w:rPr>
          <w:rFonts w:ascii="Arial" w:hAnsi="Arial" w:cs="Arial"/>
          <w:bCs/>
        </w:rPr>
      </w:pPr>
      <w:r w:rsidRPr="00987C58">
        <w:rPr>
          <w:rFonts w:ascii="Arial" w:hAnsi="Arial" w:cs="Arial"/>
          <w:bCs/>
        </w:rPr>
        <w:t xml:space="preserve">SLFRF’s Compliance and Reporting Guidance can be found at </w:t>
      </w:r>
      <w:hyperlink r:id="rId46" w:history="1">
        <w:r w:rsidRPr="00FB60AD">
          <w:rPr>
            <w:rStyle w:val="Hyperlink"/>
            <w:rFonts w:cs="Arial"/>
            <w:bCs/>
          </w:rPr>
          <w:t>https://home.treasury.gov/policy-issues/coronavirus/assistance-for-state-local-and-tribal-governments/state-and-local-fiscal-recovery-funds/recipient-compliance-and-reporting-responsibilities</w:t>
        </w:r>
      </w:hyperlink>
      <w:r w:rsidRPr="00987C58">
        <w:rPr>
          <w:rFonts w:ascii="Arial" w:hAnsi="Arial" w:cs="Arial"/>
          <w:bCs/>
        </w:rPr>
        <w:t>.</w:t>
      </w:r>
    </w:p>
    <w:p w14:paraId="327460D1" w14:textId="79021BCD" w:rsidR="00987C58" w:rsidRPr="00987C58" w:rsidRDefault="00987C58" w:rsidP="00987C58">
      <w:pPr>
        <w:spacing w:after="240"/>
        <w:jc w:val="both"/>
        <w:rPr>
          <w:rFonts w:ascii="Arial" w:hAnsi="Arial" w:cs="Arial"/>
          <w:bCs/>
        </w:rPr>
      </w:pPr>
      <w:r w:rsidRPr="00987C58">
        <w:rPr>
          <w:rFonts w:ascii="Arial" w:hAnsi="Arial" w:cs="Arial"/>
          <w:bCs/>
        </w:rPr>
        <w:t xml:space="preserve">The Compliance and Reporting Guidance provides additional detail and clarification for each recipient’s compliance and reporting responsibilities and should be read in concert with the Award Terms and Conditions (Please refer to: </w:t>
      </w:r>
      <w:hyperlink r:id="rId47" w:history="1">
        <w:r w:rsidRPr="00FB60AD">
          <w:rPr>
            <w:rStyle w:val="Hyperlink"/>
            <w:rFonts w:cs="Arial"/>
            <w:bCs/>
          </w:rPr>
          <w:t>https://home.treasury.gov/policy-issues/coronavirus/assistance-for-state-local-and-tribal-governments/state-and-local-fiscal-recovery-fund/request-funding</w:t>
        </w:r>
      </w:hyperlink>
      <w:r w:rsidRPr="00987C58">
        <w:rPr>
          <w:rFonts w:ascii="Arial" w:hAnsi="Arial" w:cs="Arial"/>
          <w:bCs/>
        </w:rPr>
        <w:t>), the authorizing statute, the 2021 Interim Final Rule, 2022 Final Rule, and the 2023 Interim Final Rule, Obligation Interim Final Rule, as applicable, and other regulatory and statutory requirements.</w:t>
      </w:r>
    </w:p>
    <w:p w14:paraId="6E5842FB" w14:textId="77020961" w:rsidR="00987C58" w:rsidRPr="00987C58" w:rsidRDefault="00987C58" w:rsidP="00987C58">
      <w:pPr>
        <w:spacing w:after="240"/>
        <w:jc w:val="both"/>
        <w:rPr>
          <w:rFonts w:ascii="Arial" w:hAnsi="Arial" w:cs="Arial"/>
          <w:bCs/>
        </w:rPr>
      </w:pPr>
      <w:r w:rsidRPr="00987C58">
        <w:rPr>
          <w:rFonts w:ascii="Arial" w:hAnsi="Arial" w:cs="Arial"/>
          <w:bCs/>
        </w:rPr>
        <w:t xml:space="preserve">The SLFRF FAQs are available on the program webpage on Treasury’s website at </w:t>
      </w:r>
      <w:hyperlink r:id="rId48" w:history="1">
        <w:r w:rsidRPr="00FB60AD">
          <w:rPr>
            <w:rStyle w:val="Hyperlink"/>
            <w:rFonts w:cs="Arial"/>
            <w:bCs/>
          </w:rPr>
          <w:t>https://home.treasury.gov/policy-issues/coronavirus/assistance-for-state-local-and-tribal-governments/state-and-local-fiscal-recovery-funds</w:t>
        </w:r>
      </w:hyperlink>
      <w:r w:rsidRPr="00987C58">
        <w:rPr>
          <w:rFonts w:ascii="Arial" w:hAnsi="Arial" w:cs="Arial"/>
          <w:bCs/>
        </w:rPr>
        <w:t>.</w:t>
      </w:r>
      <w:r>
        <w:rPr>
          <w:rFonts w:ascii="Arial" w:hAnsi="Arial" w:cs="Arial"/>
          <w:bCs/>
        </w:rPr>
        <w:t xml:space="preserve"> </w:t>
      </w:r>
      <w:r w:rsidRPr="00987C58">
        <w:rPr>
          <w:rFonts w:ascii="Arial" w:hAnsi="Arial" w:cs="Arial"/>
          <w:bCs/>
        </w:rPr>
        <w:t>This document addresses questions regarding the eligible uses established under the 2022 Final Rule; new eligible uses established in the 2023 Interim Final Rule; and the definition of an obligation under the Obligation Interim Final Rule.</w:t>
      </w:r>
      <w:r>
        <w:rPr>
          <w:rFonts w:ascii="Arial" w:hAnsi="Arial" w:cs="Arial"/>
          <w:bCs/>
        </w:rPr>
        <w:t xml:space="preserve"> </w:t>
      </w:r>
      <w:r w:rsidRPr="00987C58">
        <w:rPr>
          <w:rFonts w:ascii="Arial" w:hAnsi="Arial" w:cs="Arial"/>
          <w:bCs/>
        </w:rPr>
        <w:t>Treasury intends to update this document periodically in response to new questions received from stakeholders.</w:t>
      </w:r>
    </w:p>
    <w:p w14:paraId="053237FF" w14:textId="4E142C0A" w:rsidR="00987C58" w:rsidRPr="00987C58" w:rsidRDefault="00987C58" w:rsidP="00987C58">
      <w:pPr>
        <w:spacing w:after="240"/>
        <w:jc w:val="both"/>
        <w:rPr>
          <w:rFonts w:ascii="Arial" w:hAnsi="Arial" w:cs="Arial"/>
          <w:bCs/>
        </w:rPr>
      </w:pPr>
      <w:r w:rsidRPr="00987C58">
        <w:rPr>
          <w:rFonts w:ascii="Arial" w:hAnsi="Arial" w:cs="Arial"/>
          <w:bCs/>
        </w:rPr>
        <w:t xml:space="preserve">Statement Regarding Compliance with the Coronavirus State and Local Fiscal Recovery Funds 2021 Interim Final Rule and 2022 Final Rule can be found at </w:t>
      </w:r>
      <w:hyperlink r:id="rId49" w:history="1">
        <w:r w:rsidRPr="00FB60AD">
          <w:rPr>
            <w:rStyle w:val="Hyperlink"/>
            <w:rFonts w:cs="Arial"/>
            <w:bCs/>
          </w:rPr>
          <w:t>https://home.treasury.gov/system/files/136/SLFRF-Compliance-Statement.pdf</w:t>
        </w:r>
      </w:hyperlink>
      <w:r w:rsidRPr="00987C58">
        <w:rPr>
          <w:rFonts w:ascii="Arial" w:hAnsi="Arial" w:cs="Arial"/>
          <w:bCs/>
        </w:rPr>
        <w:t>.</w:t>
      </w:r>
    </w:p>
    <w:p w14:paraId="4DDA80E5" w14:textId="7C0FC73F" w:rsidR="00432292" w:rsidRPr="00F00D94" w:rsidRDefault="00987C58" w:rsidP="006672EA">
      <w:pPr>
        <w:spacing w:after="240"/>
        <w:jc w:val="both"/>
        <w:rPr>
          <w:rFonts w:ascii="Arial" w:hAnsi="Arial" w:cs="Arial"/>
          <w:b/>
          <w:bCs/>
          <w:szCs w:val="24"/>
        </w:rPr>
      </w:pPr>
      <w:r w:rsidRPr="00987C58">
        <w:rPr>
          <w:rFonts w:ascii="Arial" w:hAnsi="Arial" w:cs="Arial"/>
          <w:b/>
        </w:rPr>
        <w:t xml:space="preserve">The Statement clarifies the transition from compliance with the 2021 Interim Final Rule to compliance with the 2022 Final Rule. Recipients should also review the 2022 Final Rule for additional information. Additionally, the </w:t>
      </w:r>
      <w:hyperlink r:id="rId50" w:history="1">
        <w:r w:rsidRPr="00987C58">
          <w:rPr>
            <w:rStyle w:val="Hyperlink"/>
            <w:rFonts w:cs="Arial"/>
            <w:b/>
          </w:rPr>
          <w:t>Overview of the 2023 Interim Final Rule</w:t>
        </w:r>
      </w:hyperlink>
      <w:r w:rsidRPr="00987C58">
        <w:rPr>
          <w:rFonts w:ascii="Arial" w:hAnsi="Arial" w:cs="Arial"/>
          <w:b/>
        </w:rPr>
        <w:t xml:space="preserve"> provides information regarding the 2023 Interim Final Rule, and Obligation IFRII.</w:t>
      </w:r>
    </w:p>
    <w:p w14:paraId="52D60AFA" w14:textId="77777777" w:rsidR="00987C58" w:rsidRPr="00F00D94" w:rsidRDefault="00987C58" w:rsidP="00987C58">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1"/>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2" w:name="_Toc442267684"/>
      <w:bookmarkStart w:id="23" w:name="_Toc177630925"/>
      <w:r w:rsidRPr="00A0464C">
        <w:rPr>
          <w:rFonts w:cs="Arial"/>
          <w:sz w:val="24"/>
        </w:rPr>
        <w:lastRenderedPageBreak/>
        <w:t>Part II</w:t>
      </w:r>
      <w:bookmarkEnd w:id="22"/>
      <w:r w:rsidR="003644ED" w:rsidRPr="00A0464C">
        <w:rPr>
          <w:rFonts w:cs="Arial"/>
          <w:sz w:val="24"/>
        </w:rPr>
        <w:t xml:space="preserve"> – Pass through Agency and Grant Specific Information</w:t>
      </w:r>
      <w:bookmarkEnd w:id="23"/>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4" w:name="_Toc177630926"/>
      <w:r w:rsidRPr="00A0464C">
        <w:rPr>
          <w:rFonts w:cs="Arial"/>
          <w:sz w:val="24"/>
          <w:szCs w:val="24"/>
        </w:rPr>
        <w:t>Program Overview</w:t>
      </w:r>
      <w:bookmarkEnd w:id="24"/>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5" w:name="_Toc177630927"/>
      <w:r w:rsidRPr="00A0464C">
        <w:rPr>
          <w:rFonts w:cs="Arial"/>
          <w:sz w:val="24"/>
          <w:szCs w:val="24"/>
        </w:rPr>
        <w:t>Testing Considerations</w:t>
      </w:r>
      <w:bookmarkEnd w:id="25"/>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6" w:name="_Toc177630928"/>
      <w:r w:rsidRPr="00A0464C">
        <w:rPr>
          <w:rFonts w:cs="Arial"/>
          <w:sz w:val="24"/>
          <w:szCs w:val="24"/>
        </w:rPr>
        <w:t>Reporting</w:t>
      </w:r>
      <w:bookmarkEnd w:id="26"/>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52"/>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3"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7" w:name="_Toc442267685"/>
      <w:bookmarkStart w:id="28" w:name="_Toc177630929"/>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7"/>
      <w:bookmarkEnd w:id="28"/>
    </w:p>
    <w:p w14:paraId="5009BB8E" w14:textId="77777777" w:rsidR="007E5B12" w:rsidRPr="00A0464C" w:rsidRDefault="007E5B12" w:rsidP="006672EA">
      <w:pPr>
        <w:pStyle w:val="Heading2"/>
        <w:jc w:val="both"/>
        <w:rPr>
          <w:rFonts w:cs="Arial"/>
          <w:sz w:val="24"/>
        </w:rPr>
      </w:pPr>
      <w:bookmarkStart w:id="29" w:name="_Toc442267686"/>
      <w:bookmarkStart w:id="30" w:name="_Toc177630930"/>
      <w:r w:rsidRPr="00A0464C">
        <w:rPr>
          <w:rFonts w:cs="Arial"/>
          <w:sz w:val="24"/>
        </w:rPr>
        <w:t>A.  ACTIVITIES ALLOWED OR UNALLOWED</w:t>
      </w:r>
      <w:bookmarkEnd w:id="29"/>
      <w:bookmarkEnd w:id="30"/>
    </w:p>
    <w:p w14:paraId="15499E2F" w14:textId="3214755D" w:rsidR="007E5B12" w:rsidRPr="00A0464C" w:rsidRDefault="006A15E5" w:rsidP="006672EA">
      <w:pPr>
        <w:pStyle w:val="Heading3"/>
        <w:jc w:val="both"/>
        <w:rPr>
          <w:rFonts w:cs="Arial"/>
          <w:sz w:val="24"/>
          <w:szCs w:val="24"/>
        </w:rPr>
      </w:pPr>
      <w:bookmarkStart w:id="31" w:name="_Toc442267687"/>
      <w:bookmarkStart w:id="32" w:name="_Toc177630931"/>
      <w:r w:rsidRPr="00A0464C">
        <w:rPr>
          <w:rFonts w:cs="Arial"/>
          <w:sz w:val="24"/>
          <w:szCs w:val="24"/>
        </w:rPr>
        <w:t xml:space="preserve">OMB </w:t>
      </w:r>
      <w:r w:rsidR="007E5B12" w:rsidRPr="00A0464C">
        <w:rPr>
          <w:rFonts w:cs="Arial"/>
          <w:sz w:val="24"/>
          <w:szCs w:val="24"/>
        </w:rPr>
        <w:t>Compliance Requirements</w:t>
      </w:r>
      <w:bookmarkEnd w:id="31"/>
      <w:bookmarkEnd w:id="32"/>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20357BFD" w14:textId="5E03C663" w:rsidR="00987C58" w:rsidRPr="00987C58" w:rsidRDefault="00987C58" w:rsidP="00987C58">
      <w:pPr>
        <w:spacing w:after="240"/>
        <w:jc w:val="both"/>
        <w:rPr>
          <w:rFonts w:ascii="Arial" w:hAnsi="Arial" w:cs="Arial"/>
          <w:bCs/>
        </w:rPr>
      </w:pPr>
      <w:r w:rsidRPr="00987C58">
        <w:rPr>
          <w:rFonts w:ascii="Arial" w:hAnsi="Arial" w:cs="Arial"/>
          <w:bCs/>
        </w:rPr>
        <w:t xml:space="preserve">Recipients may use SLFRF payments for any eligible expenses subject to the restrictions set forth in sections 602 and 603 of the Social Security Act as added by section 9901 of the American Rescue Plan Act of 2021, codified at 42 USC sections 802 and 803, and as amended by the 2023 CAA. Recipients may also use payments subject to the restrictions set forth in the 2021 Interim Final Rule (i.e., Auditors should note that if a recipient obligated funds in accordance with the 2021 Interim Final Rule, then the expenditures follow the requirements of the 2021 Interim Final Rule), 2022 Final Rule, 2023 Interim Final Rule, and Obligation Interim Final Rule at 31 CFR Part 35, and FAQs available at </w:t>
      </w:r>
      <w:hyperlink r:id="rId54" w:history="1">
        <w:r w:rsidRPr="00FB60AD">
          <w:rPr>
            <w:rStyle w:val="Hyperlink"/>
            <w:rFonts w:cs="Arial"/>
            <w:bCs/>
          </w:rPr>
          <w:t>https://home.treasury.gov/system/files/136/SLFRF-Final-Rule-FAQ.pdf</w:t>
        </w:r>
      </w:hyperlink>
      <w:r w:rsidRPr="00987C58">
        <w:rPr>
          <w:rFonts w:ascii="Arial" w:hAnsi="Arial" w:cs="Arial"/>
          <w:bCs/>
        </w:rPr>
        <w:t>.</w:t>
      </w:r>
    </w:p>
    <w:p w14:paraId="3EE25DFF" w14:textId="77777777" w:rsidR="00987C58" w:rsidRPr="00987C58" w:rsidRDefault="00987C58" w:rsidP="00987C58">
      <w:pPr>
        <w:spacing w:after="240"/>
        <w:ind w:left="720" w:hanging="720"/>
        <w:jc w:val="both"/>
        <w:rPr>
          <w:rFonts w:ascii="Arial" w:hAnsi="Arial" w:cs="Arial"/>
          <w:bCs/>
        </w:rPr>
      </w:pPr>
      <w:r w:rsidRPr="00987C58">
        <w:rPr>
          <w:rFonts w:ascii="Arial" w:hAnsi="Arial" w:cs="Arial"/>
          <w:bCs/>
        </w:rPr>
        <w:t>1.</w:t>
      </w:r>
      <w:r w:rsidRPr="00987C58">
        <w:rPr>
          <w:rFonts w:ascii="Arial" w:hAnsi="Arial" w:cs="Arial"/>
          <w:bCs/>
        </w:rPr>
        <w:tab/>
      </w:r>
      <w:r w:rsidRPr="00987C58">
        <w:rPr>
          <w:rFonts w:ascii="Arial" w:hAnsi="Arial" w:cs="Arial"/>
          <w:bCs/>
          <w:i/>
          <w:iCs/>
        </w:rPr>
        <w:t>Activities Allowed</w:t>
      </w:r>
      <w:r w:rsidRPr="00987C58">
        <w:rPr>
          <w:rFonts w:ascii="Arial" w:hAnsi="Arial" w:cs="Arial"/>
          <w:bCs/>
        </w:rPr>
        <w:t xml:space="preserve"> – In general, recipients may use payments from SLFRF for one or more of the purposes described below. For full details on eligible uses, see 31 CFR 35.6, Overview of the 2022 Final Rule, 2023 Interim Final Rule, Obligation IFR, and SLFRF FAQs:</w:t>
      </w:r>
    </w:p>
    <w:p w14:paraId="0D3CC540" w14:textId="77777777" w:rsidR="00987C58" w:rsidRPr="00987C58" w:rsidRDefault="00987C58" w:rsidP="00987C58">
      <w:pPr>
        <w:spacing w:after="240"/>
        <w:ind w:left="1440" w:hanging="720"/>
        <w:jc w:val="both"/>
        <w:rPr>
          <w:rFonts w:ascii="Arial" w:hAnsi="Arial" w:cs="Arial"/>
          <w:bCs/>
        </w:rPr>
      </w:pPr>
      <w:r w:rsidRPr="00987C58">
        <w:rPr>
          <w:rFonts w:ascii="Arial" w:hAnsi="Arial" w:cs="Arial"/>
          <w:bCs/>
        </w:rPr>
        <w:t>a.</w:t>
      </w:r>
      <w:r w:rsidRPr="00987C58">
        <w:rPr>
          <w:rFonts w:ascii="Arial" w:hAnsi="Arial" w:cs="Arial"/>
          <w:bCs/>
        </w:rPr>
        <w:tab/>
      </w:r>
      <w:r w:rsidRPr="00987C58">
        <w:rPr>
          <w:rFonts w:ascii="Arial" w:hAnsi="Arial" w:cs="Arial"/>
          <w:b/>
        </w:rPr>
        <w:t>Respond to the public health and negative economic impacts of the pandemic</w:t>
      </w:r>
      <w:r w:rsidRPr="00987C58">
        <w:rPr>
          <w:rFonts w:ascii="Arial" w:hAnsi="Arial" w:cs="Arial"/>
          <w:bCs/>
        </w:rPr>
        <w:t>, by supporting the health of communities, and helping households, small businesses, non-profits, impacted industries, and the public sector recover from economic impacts of the pandemic.</w:t>
      </w:r>
    </w:p>
    <w:p w14:paraId="7CECB12E" w14:textId="384F96BC" w:rsidR="00987C58" w:rsidRPr="00987C58" w:rsidRDefault="00987C58" w:rsidP="00987C58">
      <w:pPr>
        <w:spacing w:after="240"/>
        <w:ind w:left="1440" w:hanging="720"/>
        <w:jc w:val="both"/>
        <w:rPr>
          <w:rFonts w:ascii="Arial" w:hAnsi="Arial" w:cs="Arial"/>
          <w:bCs/>
        </w:rPr>
      </w:pPr>
      <w:r w:rsidRPr="00987C58">
        <w:rPr>
          <w:rFonts w:ascii="Arial" w:hAnsi="Arial" w:cs="Arial"/>
          <w:bCs/>
        </w:rPr>
        <w:lastRenderedPageBreak/>
        <w:t>b.</w:t>
      </w:r>
      <w:r w:rsidRPr="00987C58">
        <w:rPr>
          <w:rFonts w:ascii="Arial" w:hAnsi="Arial" w:cs="Arial"/>
          <w:bCs/>
        </w:rPr>
        <w:tab/>
      </w:r>
      <w:r w:rsidRPr="00987C58">
        <w:rPr>
          <w:rFonts w:ascii="Arial" w:hAnsi="Arial" w:cs="Arial"/>
          <w:b/>
        </w:rPr>
        <w:t>Replace lost public sector revenue</w:t>
      </w:r>
      <w:r w:rsidRPr="00987C58">
        <w:rPr>
          <w:rFonts w:ascii="Arial" w:hAnsi="Arial" w:cs="Arial"/>
          <w:bCs/>
        </w:rPr>
        <w:t xml:space="preserve"> to provide government services; recipients may use this funding to provide government services to the extent of the reduction in revenue experienced due to the pandemic. Note: Recipients can use SLFRF funds under the revenue loss eligible use category for any service traditionally provided by a government regardless of how the recipient previously budgeted, with documentation that sufficiently supports their funding determinations. This may include services currently or previously provided by the recipient, an expansion of existing services, or new services or programs.</w:t>
      </w:r>
    </w:p>
    <w:p w14:paraId="1F563450" w14:textId="77777777" w:rsidR="00987C58" w:rsidRPr="00987C58" w:rsidRDefault="00987C58" w:rsidP="00987C58">
      <w:pPr>
        <w:spacing w:after="240"/>
        <w:ind w:left="1440" w:hanging="720"/>
        <w:jc w:val="both"/>
        <w:rPr>
          <w:rFonts w:ascii="Arial" w:hAnsi="Arial" w:cs="Arial"/>
          <w:bCs/>
        </w:rPr>
      </w:pPr>
      <w:r w:rsidRPr="00987C58">
        <w:rPr>
          <w:rFonts w:ascii="Arial" w:hAnsi="Arial" w:cs="Arial"/>
          <w:bCs/>
        </w:rPr>
        <w:t>c.</w:t>
      </w:r>
      <w:r w:rsidRPr="00987C58">
        <w:rPr>
          <w:rFonts w:ascii="Arial" w:hAnsi="Arial" w:cs="Arial"/>
          <w:bCs/>
        </w:rPr>
        <w:tab/>
      </w:r>
      <w:r w:rsidRPr="00987C58">
        <w:rPr>
          <w:rFonts w:ascii="Arial" w:hAnsi="Arial" w:cs="Arial"/>
          <w:b/>
        </w:rPr>
        <w:t>Provide premium pay for essential workers</w:t>
      </w:r>
      <w:r w:rsidRPr="00987C58">
        <w:rPr>
          <w:rFonts w:ascii="Arial" w:hAnsi="Arial" w:cs="Arial"/>
          <w:bCs/>
        </w:rPr>
        <w:t>, offering additional support to those who have borne and will bear the greatest health risks because of their service in critical infrastructure sectors. The SLFRF statute and the 2022 final rule provide that recipients can use SLFRF funds to provide premium pay to eligible workers performing essential work during the COVID-19 public health emergency. The Public Health Emergency and National Emergency declarations terminated effective April 10, 2023. Therefore, recipients may not use SLFRF funds to provide premium pay to essential workers for work performed after April 10, 2023. Recipients may continue to make payments retroactively for premium pay for work performed between the start of the pandemic and April 10, 2023. The obligation to provide such premium pay must not have been incurred by the recipient prior to March 3, 2021.</w:t>
      </w:r>
    </w:p>
    <w:p w14:paraId="4921AB9E" w14:textId="77777777" w:rsidR="00987C58" w:rsidRPr="00987C58" w:rsidRDefault="00987C58" w:rsidP="00987C58">
      <w:pPr>
        <w:spacing w:after="240"/>
        <w:ind w:left="1440" w:hanging="720"/>
        <w:jc w:val="both"/>
        <w:rPr>
          <w:rFonts w:ascii="Arial" w:hAnsi="Arial" w:cs="Arial"/>
          <w:bCs/>
        </w:rPr>
      </w:pPr>
      <w:r w:rsidRPr="00987C58">
        <w:rPr>
          <w:rFonts w:ascii="Arial" w:hAnsi="Arial" w:cs="Arial"/>
          <w:bCs/>
        </w:rPr>
        <w:t>d.</w:t>
      </w:r>
      <w:r w:rsidRPr="00987C58">
        <w:rPr>
          <w:rFonts w:ascii="Arial" w:hAnsi="Arial" w:cs="Arial"/>
          <w:bCs/>
        </w:rPr>
        <w:tab/>
      </w:r>
      <w:r w:rsidRPr="00987C58">
        <w:rPr>
          <w:rFonts w:ascii="Arial" w:hAnsi="Arial" w:cs="Arial"/>
          <w:b/>
        </w:rPr>
        <w:t>Invest in water, sewer, and broadband infrastructure</w:t>
      </w:r>
      <w:r w:rsidRPr="00987C58">
        <w:rPr>
          <w:rFonts w:ascii="Arial" w:hAnsi="Arial" w:cs="Arial"/>
          <w:bCs/>
        </w:rPr>
        <w:t>, making necessary investments to improve access to clean drinking water, support vital wastewater and stormwater infrastructure, and to expand access to broadband internet.</w:t>
      </w:r>
    </w:p>
    <w:p w14:paraId="5D6F70BF" w14:textId="0EC75FD2" w:rsidR="00987C58" w:rsidRPr="00987C58" w:rsidRDefault="00987C58" w:rsidP="00987C58">
      <w:pPr>
        <w:spacing w:after="240"/>
        <w:ind w:left="1440" w:hanging="720"/>
        <w:jc w:val="both"/>
        <w:rPr>
          <w:rFonts w:ascii="Arial" w:hAnsi="Arial" w:cs="Arial"/>
          <w:bCs/>
        </w:rPr>
      </w:pPr>
      <w:r w:rsidRPr="00987C58">
        <w:rPr>
          <w:rFonts w:ascii="Arial" w:hAnsi="Arial" w:cs="Arial"/>
          <w:bCs/>
        </w:rPr>
        <w:t>e.</w:t>
      </w:r>
      <w:r w:rsidRPr="00987C58">
        <w:rPr>
          <w:rFonts w:ascii="Arial" w:hAnsi="Arial" w:cs="Arial"/>
          <w:bCs/>
        </w:rPr>
        <w:tab/>
      </w:r>
      <w:r w:rsidRPr="00987C58">
        <w:rPr>
          <w:rFonts w:ascii="Arial" w:hAnsi="Arial" w:cs="Arial"/>
          <w:b/>
        </w:rPr>
        <w:t>Provide emergency relief from natural disasters or the negative economic impacts of natural disasters</w:t>
      </w:r>
      <w:r w:rsidRPr="00987C58">
        <w:rPr>
          <w:rFonts w:ascii="Arial" w:hAnsi="Arial" w:cs="Arial"/>
          <w:bCs/>
        </w:rPr>
        <w:t xml:space="preserve"> including temporary emergency housing, food assistance, financial assistance for lost wages, and other immediate needs. Please see pages 4 - 8 of the </w:t>
      </w:r>
      <w:hyperlink r:id="rId55" w:history="1">
        <w:r w:rsidRPr="00987C58">
          <w:rPr>
            <w:rStyle w:val="Hyperlink"/>
            <w:rFonts w:cs="Arial"/>
            <w:bCs/>
          </w:rPr>
          <w:t>Overview of the 2023 Interim Final Rule</w:t>
        </w:r>
      </w:hyperlink>
      <w:r w:rsidRPr="00987C58">
        <w:rPr>
          <w:rFonts w:ascii="Arial" w:hAnsi="Arial" w:cs="Arial"/>
          <w:bCs/>
        </w:rPr>
        <w:t xml:space="preserve"> (“SLFRF Overview of the 2023 IFR”) for a complete list of eligible uses.</w:t>
      </w:r>
    </w:p>
    <w:p w14:paraId="5173D94B" w14:textId="6E302021" w:rsidR="00987C58" w:rsidRPr="00987C58" w:rsidRDefault="00987C58" w:rsidP="00987C58">
      <w:pPr>
        <w:spacing w:after="240"/>
        <w:ind w:left="1440" w:hanging="720"/>
        <w:jc w:val="both"/>
        <w:rPr>
          <w:rFonts w:ascii="Arial" w:hAnsi="Arial" w:cs="Arial"/>
          <w:bCs/>
        </w:rPr>
      </w:pPr>
      <w:r w:rsidRPr="00987C58">
        <w:rPr>
          <w:rFonts w:ascii="Arial" w:hAnsi="Arial" w:cs="Arial"/>
          <w:bCs/>
        </w:rPr>
        <w:t>f.</w:t>
      </w:r>
      <w:r w:rsidRPr="00987C58">
        <w:rPr>
          <w:rFonts w:ascii="Arial" w:hAnsi="Arial" w:cs="Arial"/>
          <w:bCs/>
        </w:rPr>
        <w:tab/>
      </w:r>
      <w:r w:rsidRPr="00987C58">
        <w:rPr>
          <w:rFonts w:ascii="Arial" w:hAnsi="Arial" w:cs="Arial"/>
          <w:b/>
        </w:rPr>
        <w:t>Fund projects eligible under certain programs administered by the U.S. Department of Transportation</w:t>
      </w:r>
      <w:r w:rsidRPr="00987C58">
        <w:rPr>
          <w:rFonts w:ascii="Arial" w:hAnsi="Arial" w:cs="Arial"/>
          <w:bCs/>
        </w:rPr>
        <w:t xml:space="preserve"> (“Surface Transportation projects”) through three pathways. Please see pages 9 - 15 of the </w:t>
      </w:r>
      <w:hyperlink r:id="rId56" w:history="1">
        <w:r w:rsidRPr="00987C58">
          <w:rPr>
            <w:rStyle w:val="Hyperlink"/>
            <w:rFonts w:cs="Arial"/>
            <w:bCs/>
          </w:rPr>
          <w:t>SLFRF Overview of the 2023 IFR</w:t>
        </w:r>
      </w:hyperlink>
      <w:r w:rsidRPr="00987C58">
        <w:rPr>
          <w:rFonts w:ascii="Arial" w:hAnsi="Arial" w:cs="Arial"/>
          <w:bCs/>
        </w:rPr>
        <w:t xml:space="preserve"> for a full list of programs; and</w:t>
      </w:r>
    </w:p>
    <w:p w14:paraId="6B3C18F1" w14:textId="6541154F" w:rsidR="00987C58" w:rsidRPr="00987C58" w:rsidRDefault="00987C58" w:rsidP="00987C58">
      <w:pPr>
        <w:spacing w:after="240"/>
        <w:ind w:left="1440" w:hanging="720"/>
        <w:jc w:val="both"/>
        <w:rPr>
          <w:rFonts w:ascii="Arial" w:hAnsi="Arial" w:cs="Arial"/>
          <w:bCs/>
        </w:rPr>
      </w:pPr>
      <w:r w:rsidRPr="00987C58">
        <w:rPr>
          <w:rFonts w:ascii="Arial" w:hAnsi="Arial" w:cs="Arial"/>
          <w:bCs/>
        </w:rPr>
        <w:t>g.</w:t>
      </w:r>
      <w:r w:rsidRPr="00987C58">
        <w:rPr>
          <w:rFonts w:ascii="Arial" w:hAnsi="Arial" w:cs="Arial"/>
          <w:bCs/>
        </w:rPr>
        <w:tab/>
      </w:r>
      <w:r w:rsidRPr="00987C58">
        <w:rPr>
          <w:rFonts w:ascii="Arial" w:hAnsi="Arial" w:cs="Arial"/>
          <w:b/>
        </w:rPr>
        <w:t>Fund projects eligible under the programs established in Title I of the Housing and Community Development Act of 1974</w:t>
      </w:r>
      <w:r w:rsidRPr="00987C58">
        <w:rPr>
          <w:rFonts w:ascii="Arial" w:hAnsi="Arial" w:cs="Arial"/>
          <w:bCs/>
        </w:rPr>
        <w:t xml:space="preserve"> (“Title I projects”), subject to certain requirements and limitations. Please see pages 16 - 19 of the </w:t>
      </w:r>
      <w:hyperlink r:id="rId57" w:history="1">
        <w:r w:rsidRPr="00987C58">
          <w:rPr>
            <w:rStyle w:val="Hyperlink"/>
            <w:rFonts w:cs="Arial"/>
            <w:bCs/>
          </w:rPr>
          <w:t>SLFRF Overview of the 2023 IFR</w:t>
        </w:r>
      </w:hyperlink>
      <w:r w:rsidRPr="00987C58">
        <w:rPr>
          <w:rFonts w:ascii="Arial" w:hAnsi="Arial" w:cs="Arial"/>
          <w:bCs/>
        </w:rPr>
        <w:t xml:space="preserve"> for a list of eligible Title I projects.</w:t>
      </w:r>
    </w:p>
    <w:p w14:paraId="7B95CE7B" w14:textId="4056A44D" w:rsidR="00987C58" w:rsidRPr="00987C58" w:rsidRDefault="00987C58" w:rsidP="00987C58">
      <w:pPr>
        <w:spacing w:after="240"/>
        <w:ind w:left="720" w:hanging="720"/>
        <w:jc w:val="both"/>
        <w:rPr>
          <w:rFonts w:ascii="Arial" w:hAnsi="Arial" w:cs="Arial"/>
          <w:bCs/>
        </w:rPr>
      </w:pPr>
      <w:r w:rsidRPr="00987C58">
        <w:rPr>
          <w:rFonts w:ascii="Arial" w:hAnsi="Arial" w:cs="Arial"/>
          <w:bCs/>
        </w:rPr>
        <w:t>2.</w:t>
      </w:r>
      <w:r w:rsidRPr="00987C58">
        <w:rPr>
          <w:rFonts w:ascii="Arial" w:hAnsi="Arial" w:cs="Arial"/>
          <w:bCs/>
        </w:rPr>
        <w:tab/>
      </w:r>
      <w:r w:rsidRPr="00987C58">
        <w:rPr>
          <w:rFonts w:ascii="Arial" w:hAnsi="Arial" w:cs="Arial"/>
          <w:bCs/>
          <w:i/>
          <w:iCs/>
        </w:rPr>
        <w:t>Activities Unallowed</w:t>
      </w:r>
      <w:r w:rsidRPr="00987C58">
        <w:rPr>
          <w:rFonts w:ascii="Arial" w:hAnsi="Arial" w:cs="Arial"/>
          <w:bCs/>
        </w:rPr>
        <w:t xml:space="preserve"> – The following costs are ineligible uses, restrictions, or limitations. For full details on the general restricted uses, see the </w:t>
      </w:r>
      <w:hyperlink r:id="rId58" w:history="1">
        <w:r w:rsidRPr="00987C58">
          <w:rPr>
            <w:rStyle w:val="Hyperlink"/>
            <w:rFonts w:cs="Arial"/>
            <w:bCs/>
          </w:rPr>
          <w:t>Overview of the 2022 Final Rule</w:t>
        </w:r>
      </w:hyperlink>
      <w:r w:rsidRPr="00987C58">
        <w:rPr>
          <w:rFonts w:ascii="Arial" w:hAnsi="Arial" w:cs="Arial"/>
          <w:bCs/>
        </w:rPr>
        <w:t xml:space="preserve"> (page 41).</w:t>
      </w:r>
    </w:p>
    <w:p w14:paraId="3D1F4B7B" w14:textId="77777777" w:rsidR="00987C58" w:rsidRPr="00987C58" w:rsidRDefault="00987C58" w:rsidP="00987C58">
      <w:pPr>
        <w:spacing w:after="240"/>
        <w:ind w:left="720"/>
        <w:jc w:val="both"/>
        <w:rPr>
          <w:rFonts w:ascii="Arial" w:hAnsi="Arial" w:cs="Arial"/>
          <w:bCs/>
        </w:rPr>
      </w:pPr>
      <w:r w:rsidRPr="00987C58">
        <w:rPr>
          <w:rFonts w:ascii="Arial" w:hAnsi="Arial" w:cs="Arial"/>
          <w:bCs/>
        </w:rPr>
        <w:t>a.</w:t>
      </w:r>
      <w:r w:rsidRPr="00987C58">
        <w:rPr>
          <w:rFonts w:ascii="Arial" w:hAnsi="Arial" w:cs="Arial"/>
          <w:bCs/>
        </w:rPr>
        <w:tab/>
        <w:t>Offset a reduction in net tax revenue (applicable to states and territories)</w:t>
      </w:r>
    </w:p>
    <w:p w14:paraId="749F7ED4" w14:textId="77777777" w:rsidR="00987C58" w:rsidRPr="00987C58" w:rsidRDefault="00987C58" w:rsidP="00987C58">
      <w:pPr>
        <w:spacing w:after="240"/>
        <w:ind w:left="720"/>
        <w:jc w:val="both"/>
        <w:rPr>
          <w:rFonts w:ascii="Arial" w:hAnsi="Arial" w:cs="Arial"/>
          <w:bCs/>
        </w:rPr>
      </w:pPr>
      <w:r w:rsidRPr="00987C58">
        <w:rPr>
          <w:rFonts w:ascii="Arial" w:hAnsi="Arial" w:cs="Arial"/>
          <w:bCs/>
        </w:rPr>
        <w:t>b.</w:t>
      </w:r>
      <w:r w:rsidRPr="00987C58">
        <w:rPr>
          <w:rFonts w:ascii="Arial" w:hAnsi="Arial" w:cs="Arial"/>
          <w:bCs/>
        </w:rPr>
        <w:tab/>
        <w:t>Deposits into pension funds (applicable to all recipients except Tribes)</w:t>
      </w:r>
    </w:p>
    <w:p w14:paraId="25D1805B" w14:textId="77777777" w:rsidR="00987C58" w:rsidRPr="00987C58" w:rsidRDefault="00987C58" w:rsidP="00987C58">
      <w:pPr>
        <w:spacing w:after="240"/>
        <w:ind w:left="1440" w:hanging="720"/>
        <w:jc w:val="both"/>
        <w:rPr>
          <w:rFonts w:ascii="Arial" w:hAnsi="Arial" w:cs="Arial"/>
          <w:bCs/>
        </w:rPr>
      </w:pPr>
      <w:r w:rsidRPr="00987C58">
        <w:rPr>
          <w:rFonts w:ascii="Arial" w:hAnsi="Arial" w:cs="Arial"/>
          <w:bCs/>
        </w:rPr>
        <w:t>c.</w:t>
      </w:r>
      <w:r w:rsidRPr="00987C58">
        <w:rPr>
          <w:rFonts w:ascii="Arial" w:hAnsi="Arial" w:cs="Arial"/>
          <w:bCs/>
        </w:rPr>
        <w:tab/>
        <w:t>Debt service or replenishing financial reserves (e.g., “rainy day funds”) (applicable to all recipients)</w:t>
      </w:r>
    </w:p>
    <w:p w14:paraId="7135E7EA" w14:textId="77777777" w:rsidR="00987C58" w:rsidRPr="00987C58" w:rsidRDefault="00987C58" w:rsidP="00987C58">
      <w:pPr>
        <w:spacing w:after="240"/>
        <w:ind w:left="720"/>
        <w:jc w:val="both"/>
        <w:rPr>
          <w:rFonts w:ascii="Arial" w:hAnsi="Arial" w:cs="Arial"/>
          <w:bCs/>
        </w:rPr>
      </w:pPr>
      <w:r w:rsidRPr="00987C58">
        <w:rPr>
          <w:rFonts w:ascii="Arial" w:hAnsi="Arial" w:cs="Arial"/>
          <w:bCs/>
        </w:rPr>
        <w:t>d.</w:t>
      </w:r>
      <w:r w:rsidRPr="00987C58">
        <w:rPr>
          <w:rFonts w:ascii="Arial" w:hAnsi="Arial" w:cs="Arial"/>
          <w:bCs/>
        </w:rPr>
        <w:tab/>
        <w:t>Satisfaction of settlements and judgments (applicable to all recipients)</w:t>
      </w:r>
    </w:p>
    <w:p w14:paraId="3C0EF970" w14:textId="77777777" w:rsidR="00987C58" w:rsidRPr="00987C58" w:rsidRDefault="00987C58" w:rsidP="00987C58">
      <w:pPr>
        <w:spacing w:after="240"/>
        <w:ind w:left="1440" w:hanging="720"/>
        <w:jc w:val="both"/>
        <w:rPr>
          <w:rFonts w:ascii="Arial" w:hAnsi="Arial" w:cs="Arial"/>
          <w:bCs/>
        </w:rPr>
      </w:pPr>
      <w:r w:rsidRPr="00987C58">
        <w:rPr>
          <w:rFonts w:ascii="Arial" w:hAnsi="Arial" w:cs="Arial"/>
          <w:bCs/>
        </w:rPr>
        <w:t>e.</w:t>
      </w:r>
      <w:r w:rsidRPr="00987C58">
        <w:rPr>
          <w:rFonts w:ascii="Arial" w:hAnsi="Arial" w:cs="Arial"/>
          <w:bCs/>
        </w:rPr>
        <w:tab/>
        <w:t>Programs, services, or capital expenditures that include a term or condition that undermines efforts to stop the spread of COVID-19 (applicable to all recipients)</w:t>
      </w:r>
    </w:p>
    <w:p w14:paraId="57EEE30F" w14:textId="03A6A874" w:rsidR="00987C58" w:rsidRPr="00987C58" w:rsidRDefault="00987C58" w:rsidP="00987C58">
      <w:pPr>
        <w:spacing w:after="240"/>
        <w:jc w:val="both"/>
        <w:rPr>
          <w:rFonts w:ascii="Arial" w:hAnsi="Arial" w:cs="Arial"/>
          <w:bCs/>
        </w:rPr>
      </w:pPr>
      <w:r w:rsidRPr="00987C58">
        <w:rPr>
          <w:rFonts w:ascii="Arial" w:hAnsi="Arial" w:cs="Arial"/>
          <w:bCs/>
        </w:rPr>
        <w:lastRenderedPageBreak/>
        <w:t>Under the 2022 Final Rule, recipients can elect a one-time “standard allowance” of $10 million (not to exceed the recipient’s award amount) to spend on the “provision of government services” during the period of performance. Alternatively, recipients can calculate lost revenue for the years 2020, 2021, 2022, and 2023 based on the formula provided in the 2022 Final Rule to determine the amount of SLFRF funds that can be used for the “provision of government services.” In calculating revenue loss, recipients can choose whether to use calendar or fiscal year dates but must be consistent throughout the period of performance. If calculating revenue loss, recipients must provide auditors with evidence supporting their revenue loss calculation. Treasury has determined that there are no subawards under this eligible use category. The definition of subrecipient in the Uniform Guidance provides that a subaward is provided for the purpose of “carrying out” a portion of a federal award. Recipients’ use of revenue loss funds does not give rise to subrecipient relationships.</w:t>
      </w:r>
    </w:p>
    <w:p w14:paraId="60224EE8" w14:textId="51DEA898" w:rsidR="00987C58" w:rsidRDefault="00987C58" w:rsidP="00987C58">
      <w:pPr>
        <w:spacing w:after="240"/>
        <w:jc w:val="both"/>
        <w:rPr>
          <w:rFonts w:ascii="Arial" w:hAnsi="Arial" w:cs="Arial"/>
          <w:bCs/>
        </w:rPr>
      </w:pPr>
      <w:r w:rsidRPr="00987C58">
        <w:rPr>
          <w:rFonts w:ascii="Arial" w:hAnsi="Arial" w:cs="Arial"/>
          <w:bCs/>
        </w:rPr>
        <w:t xml:space="preserve">The dollar amount of the revenue loss determines the limit </w:t>
      </w:r>
      <w:proofErr w:type="gramStart"/>
      <w:r w:rsidRPr="00987C58">
        <w:rPr>
          <w:rFonts w:ascii="Arial" w:hAnsi="Arial" w:cs="Arial"/>
          <w:bCs/>
        </w:rPr>
        <w:t>for the amount of</w:t>
      </w:r>
      <w:proofErr w:type="gramEnd"/>
      <w:r w:rsidRPr="00987C58">
        <w:rPr>
          <w:rFonts w:ascii="Arial" w:hAnsi="Arial" w:cs="Arial"/>
          <w:bCs/>
        </w:rPr>
        <w:t xml:space="preserve"> SLFRF funds that can be used to “provide government services” (which is one of seven eligible uses of SLFRF funds). For Schedule of Expenditures of Federal Awards (SEFA) reporting purposes, the aggregate expenditures for all seven eligible use categories are</w:t>
      </w:r>
      <w:r>
        <w:rPr>
          <w:rFonts w:ascii="Arial" w:hAnsi="Arial" w:cs="Arial"/>
          <w:bCs/>
        </w:rPr>
        <w:t xml:space="preserve"> </w:t>
      </w:r>
      <w:r w:rsidRPr="00987C58">
        <w:rPr>
          <w:rFonts w:ascii="Arial" w:hAnsi="Arial" w:cs="Arial"/>
          <w:bCs/>
        </w:rPr>
        <w:t xml:space="preserve">reported on the SEFA and not just the result of the revenue loss calculation or standard allowance. See the IV, “Other Information” section </w:t>
      </w:r>
      <w:r w:rsidR="001D666E">
        <w:rPr>
          <w:rFonts w:ascii="Arial" w:hAnsi="Arial" w:cs="Arial"/>
          <w:bCs/>
        </w:rPr>
        <w:t>in Part I</w:t>
      </w:r>
      <w:r w:rsidRPr="00987C58">
        <w:rPr>
          <w:rFonts w:ascii="Arial" w:hAnsi="Arial" w:cs="Arial"/>
          <w:bCs/>
        </w:rPr>
        <w:t xml:space="preserve"> for guidance on the related Schedule of Expenditures of Federal Award reporting.</w:t>
      </w:r>
    </w:p>
    <w:p w14:paraId="21FEEBF4" w14:textId="0421A127" w:rsidR="00987C58" w:rsidRPr="00987C58" w:rsidRDefault="00987C58" w:rsidP="00987C58">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0A90B4EE" w14:textId="77777777" w:rsidR="00A712B0" w:rsidRPr="00A0464C" w:rsidRDefault="00A712B0" w:rsidP="006672EA">
      <w:pPr>
        <w:pStyle w:val="Heading3"/>
        <w:jc w:val="both"/>
        <w:rPr>
          <w:rFonts w:cs="Arial"/>
          <w:sz w:val="24"/>
          <w:szCs w:val="24"/>
        </w:rPr>
      </w:pPr>
      <w:bookmarkStart w:id="33" w:name="_Toc442267688"/>
      <w:bookmarkStart w:id="34" w:name="_Toc177630932"/>
      <w:r w:rsidRPr="00A0464C">
        <w:rPr>
          <w:rFonts w:cs="Arial"/>
          <w:sz w:val="24"/>
          <w:szCs w:val="24"/>
        </w:rPr>
        <w:t>Additional Program Specific Information</w:t>
      </w:r>
      <w:bookmarkEnd w:id="33"/>
      <w:bookmarkEnd w:id="34"/>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79F81A22"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7A4055E" w14:textId="61CC2821" w:rsidR="00AA5B05" w:rsidRPr="00987C58" w:rsidRDefault="00AA5B05" w:rsidP="00987C58">
      <w:pPr>
        <w:pStyle w:val="ListParagraph"/>
        <w:numPr>
          <w:ilvl w:val="0"/>
          <w:numId w:val="56"/>
        </w:numPr>
        <w:spacing w:after="240"/>
        <w:jc w:val="both"/>
        <w:rPr>
          <w:rFonts w:ascii="Arial" w:hAnsi="Arial" w:cs="Arial"/>
          <w:b/>
          <w:highlight w:val="yellow"/>
        </w:rPr>
      </w:pPr>
      <w:r w:rsidRPr="00987C58">
        <w:rPr>
          <w:rFonts w:ascii="Arial" w:hAnsi="Arial" w:cs="Arial"/>
          <w:b/>
          <w:highlight w:val="yellow"/>
        </w:rPr>
        <w:t>T</w:t>
      </w:r>
      <w:r w:rsidR="003644ED" w:rsidRPr="00987C58">
        <w:rPr>
          <w:rFonts w:ascii="Arial" w:hAnsi="Arial" w:cs="Arial"/>
          <w:b/>
          <w:highlight w:val="yellow"/>
        </w:rPr>
        <w:t>he pass-through agency</w:t>
      </w:r>
      <w:r w:rsidRPr="00987C58">
        <w:rPr>
          <w:rFonts w:ascii="Arial" w:hAnsi="Arial" w:cs="Arial"/>
          <w:b/>
          <w:highlight w:val="yellow"/>
        </w:rPr>
        <w:t>,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5" w:name="_Toc177630933"/>
      <w:r w:rsidRPr="00A0464C">
        <w:rPr>
          <w:sz w:val="24"/>
          <w:szCs w:val="24"/>
        </w:rPr>
        <w:t>Audit Objectives</w:t>
      </w:r>
      <w:r w:rsidR="00EF51CC" w:rsidRPr="00A0464C">
        <w:rPr>
          <w:sz w:val="24"/>
          <w:szCs w:val="24"/>
        </w:rPr>
        <w:t xml:space="preserve"> and Control Testing</w:t>
      </w:r>
      <w:bookmarkEnd w:id="35"/>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6" w:name="_Toc177630934"/>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6"/>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426D19DF"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1D666E">
              <w:rPr>
                <w:rFonts w:ascii="Arial" w:hAnsi="Arial" w:cs="Arial"/>
                <w:bCs/>
                <w:i/>
                <w:iCs/>
                <w:color w:val="002060"/>
                <w:sz w:val="20"/>
                <w:szCs w:val="20"/>
              </w:rPr>
              <w:t>SLFRF Testing Template</w:t>
            </w:r>
            <w:r w:rsidRPr="002B1229">
              <w:rPr>
                <w:rFonts w:ascii="Arial" w:hAnsi="Arial" w:cs="Arial"/>
                <w:bCs/>
                <w:i/>
                <w:iCs/>
                <w:color w:val="002060"/>
                <w:sz w:val="20"/>
                <w:szCs w:val="20"/>
              </w:rPr>
              <w:t xml:space="preserve"> </w:t>
            </w:r>
            <w:r w:rsidR="0028737C" w:rsidRPr="002B1229">
              <w:rPr>
                <w:rFonts w:ascii="Arial" w:hAnsi="Arial" w:cs="Arial"/>
                <w:bCs/>
                <w:i/>
                <w:iCs/>
                <w:color w:val="002060"/>
                <w:sz w:val="20"/>
                <w:szCs w:val="20"/>
              </w:rPr>
              <w:t>available on the Intranet</w:t>
            </w:r>
            <w:r w:rsidR="0028737C">
              <w:rPr>
                <w:rFonts w:ascii="Arial" w:hAnsi="Arial" w:cs="Arial"/>
                <w:bCs/>
                <w:i/>
                <w:iCs/>
                <w:color w:val="002060"/>
                <w:sz w:val="20"/>
                <w:szCs w:val="20"/>
              </w:rPr>
              <w:t xml:space="preserve"> (AOS Auditors) and Internet (IPAs).</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When allowability is determined based upon individual transactions, select a sample of transactions and perform procedures to verify that the transaction was for an allowable activity.</w:t>
            </w:r>
          </w:p>
          <w:p w14:paraId="1999AEB7" w14:textId="77777777" w:rsidR="001D666E" w:rsidRPr="00A73D54" w:rsidRDefault="001D666E" w:rsidP="001D666E">
            <w:pPr>
              <w:spacing w:after="240"/>
              <w:ind w:left="720" w:hanging="19"/>
              <w:jc w:val="both"/>
              <w:rPr>
                <w:rFonts w:ascii="Arial" w:hAnsi="Arial" w:cs="Arial"/>
                <w:i/>
                <w:iCs/>
                <w:color w:val="002060"/>
                <w:sz w:val="20"/>
                <w:szCs w:val="20"/>
              </w:rPr>
            </w:pPr>
            <w:r w:rsidRPr="00A73D54">
              <w:rPr>
                <w:rFonts w:ascii="Arial" w:hAnsi="Arial" w:cs="Arial"/>
                <w:i/>
                <w:iCs/>
                <w:color w:val="002060"/>
                <w:sz w:val="20"/>
                <w:szCs w:val="20"/>
              </w:rPr>
              <w:t xml:space="preserve">Entity management is required to determine under which of the allowable use categories (or “buckets”) they are charging each expenditure. </w:t>
            </w:r>
            <w:proofErr w:type="gramStart"/>
            <w:r w:rsidRPr="00A73D54">
              <w:rPr>
                <w:rFonts w:ascii="Arial" w:hAnsi="Arial" w:cs="Arial"/>
                <w:i/>
                <w:iCs/>
                <w:color w:val="002060"/>
                <w:sz w:val="20"/>
                <w:szCs w:val="20"/>
              </w:rPr>
              <w:t>In order for</w:t>
            </w:r>
            <w:proofErr w:type="gramEnd"/>
            <w:r w:rsidRPr="00A73D54">
              <w:rPr>
                <w:rFonts w:ascii="Arial" w:hAnsi="Arial" w:cs="Arial"/>
                <w:i/>
                <w:iCs/>
                <w:color w:val="002060"/>
                <w:sz w:val="20"/>
                <w:szCs w:val="20"/>
              </w:rPr>
              <w:t xml:space="preserve"> auditors to verify that a particular cost is allowable, the following must be tested:</w:t>
            </w:r>
          </w:p>
          <w:p w14:paraId="37D06970" w14:textId="77777777" w:rsidR="001D666E" w:rsidRPr="00A73D54" w:rsidRDefault="001D666E" w:rsidP="001D666E">
            <w:pPr>
              <w:pStyle w:val="ListParagraph"/>
              <w:numPr>
                <w:ilvl w:val="0"/>
                <w:numId w:val="63"/>
              </w:numPr>
              <w:spacing w:after="240"/>
              <w:jc w:val="both"/>
              <w:rPr>
                <w:rFonts w:ascii="Arial" w:hAnsi="Arial" w:cs="Arial"/>
                <w:i/>
                <w:iCs/>
                <w:color w:val="002060"/>
                <w:sz w:val="20"/>
                <w:szCs w:val="20"/>
              </w:rPr>
            </w:pPr>
            <w:r w:rsidRPr="00A73D54">
              <w:rPr>
                <w:rFonts w:ascii="Arial" w:hAnsi="Arial" w:cs="Arial"/>
                <w:i/>
                <w:iCs/>
                <w:color w:val="002060"/>
                <w:sz w:val="20"/>
                <w:szCs w:val="20"/>
              </w:rPr>
              <w:t>Determine whether management identified which category the expenditure was charged to. The allowable use categories are:</w:t>
            </w:r>
          </w:p>
          <w:p w14:paraId="5169C80D"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 xml:space="preserve">Provide Government Services Up to the (1) Amount of Revenue Loss Due to the Pandemic or (2) The Standard Allowance </w:t>
            </w:r>
          </w:p>
          <w:p w14:paraId="622C76CF"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lastRenderedPageBreak/>
              <w:t>Support Public Health Expenditures and Address Negative Economic Impacts Caused by the Public Health Emergency (Public Health and Economic Response or PHER)</w:t>
            </w:r>
          </w:p>
          <w:p w14:paraId="5ED6C61A"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Provide Premium Pay to Essential Workers</w:t>
            </w:r>
          </w:p>
          <w:p w14:paraId="2BFF3541" w14:textId="45814B3C" w:rsidR="001D666E" w:rsidRPr="0028737C" w:rsidRDefault="001D666E" w:rsidP="0028737C">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 xml:space="preserve">Invest in Water, Sewer, and Broadband Infrastructure </w:t>
            </w:r>
          </w:p>
          <w:p w14:paraId="78AAC2B8"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Emergency Relief from Natural Disasters</w:t>
            </w:r>
          </w:p>
          <w:p w14:paraId="49FD1151"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Surface Transportation Projects</w:t>
            </w:r>
          </w:p>
          <w:p w14:paraId="0C8E2FAA" w14:textId="77777777" w:rsidR="001D666E" w:rsidRPr="00A73D54" w:rsidRDefault="001D666E" w:rsidP="001D666E">
            <w:pPr>
              <w:pStyle w:val="ListParagraph"/>
              <w:numPr>
                <w:ilvl w:val="1"/>
                <w:numId w:val="63"/>
              </w:numPr>
              <w:jc w:val="both"/>
              <w:rPr>
                <w:rFonts w:ascii="Arial" w:hAnsi="Arial" w:cs="Arial"/>
                <w:i/>
                <w:iCs/>
                <w:color w:val="002060"/>
                <w:sz w:val="20"/>
                <w:szCs w:val="20"/>
              </w:rPr>
            </w:pPr>
            <w:r w:rsidRPr="00A73D54">
              <w:rPr>
                <w:rFonts w:ascii="Arial" w:hAnsi="Arial" w:cs="Arial"/>
                <w:i/>
                <w:iCs/>
                <w:color w:val="002060"/>
                <w:sz w:val="20"/>
                <w:szCs w:val="20"/>
              </w:rPr>
              <w:t>Title I Projects</w:t>
            </w:r>
          </w:p>
          <w:p w14:paraId="45C73B10" w14:textId="77777777" w:rsidR="001D666E" w:rsidRPr="00A73D54" w:rsidRDefault="001D666E" w:rsidP="001D666E">
            <w:pPr>
              <w:pStyle w:val="ListParagraph"/>
              <w:ind w:left="2141"/>
              <w:jc w:val="both"/>
              <w:rPr>
                <w:rFonts w:ascii="Arial" w:hAnsi="Arial" w:cs="Arial"/>
                <w:i/>
                <w:iCs/>
                <w:color w:val="002060"/>
                <w:sz w:val="20"/>
                <w:szCs w:val="20"/>
              </w:rPr>
            </w:pPr>
          </w:p>
          <w:p w14:paraId="0731B865" w14:textId="77777777" w:rsidR="001D666E" w:rsidRPr="00A73D54" w:rsidRDefault="001D666E" w:rsidP="001D666E">
            <w:pPr>
              <w:spacing w:after="240"/>
              <w:ind w:left="1415"/>
              <w:jc w:val="both"/>
              <w:rPr>
                <w:rFonts w:ascii="Arial" w:hAnsi="Arial" w:cs="Arial"/>
                <w:i/>
                <w:iCs/>
                <w:color w:val="002060"/>
                <w:sz w:val="20"/>
                <w:szCs w:val="20"/>
              </w:rPr>
            </w:pPr>
            <w:r w:rsidRPr="00A73D54">
              <w:rPr>
                <w:rFonts w:ascii="Arial" w:hAnsi="Arial" w:cs="Arial"/>
                <w:i/>
                <w:iCs/>
                <w:color w:val="002060"/>
                <w:sz w:val="20"/>
                <w:szCs w:val="20"/>
              </w:rPr>
              <w:t xml:space="preserve">See </w:t>
            </w:r>
            <w:hyperlink r:id="rId59" w:history="1">
              <w:r w:rsidRPr="00A73D54">
                <w:rPr>
                  <w:rStyle w:val="Hyperlink"/>
                  <w:rFonts w:cs="Arial"/>
                  <w:i/>
                  <w:iCs/>
                  <w:color w:val="002060"/>
                  <w:sz w:val="20"/>
                  <w:szCs w:val="20"/>
                </w:rPr>
                <w:t>https://ohioauditor.gov/resources/covid19_assistance.html</w:t>
              </w:r>
            </w:hyperlink>
            <w:r w:rsidRPr="00A73D54">
              <w:rPr>
                <w:rFonts w:ascii="Arial" w:hAnsi="Arial" w:cs="Arial"/>
                <w:i/>
                <w:iCs/>
                <w:color w:val="002060"/>
                <w:sz w:val="20"/>
                <w:szCs w:val="20"/>
              </w:rPr>
              <w:t xml:space="preserve"> for further information on the allowable use categories. Specifically, the FAQs and For Clients pages provide additional details. </w:t>
            </w:r>
          </w:p>
          <w:p w14:paraId="197BBD88" w14:textId="77777777" w:rsidR="001D666E" w:rsidRPr="00A73D54" w:rsidRDefault="001D666E" w:rsidP="001D666E">
            <w:pPr>
              <w:pStyle w:val="ListParagraph"/>
              <w:numPr>
                <w:ilvl w:val="0"/>
                <w:numId w:val="63"/>
              </w:numPr>
              <w:spacing w:after="240"/>
              <w:jc w:val="both"/>
              <w:rPr>
                <w:rFonts w:ascii="Arial" w:hAnsi="Arial" w:cs="Arial"/>
                <w:i/>
                <w:iCs/>
                <w:color w:val="002060"/>
                <w:sz w:val="20"/>
                <w:szCs w:val="20"/>
              </w:rPr>
            </w:pPr>
            <w:r w:rsidRPr="00A73D54">
              <w:rPr>
                <w:rFonts w:ascii="Arial" w:hAnsi="Arial" w:cs="Arial"/>
                <w:i/>
                <w:iCs/>
                <w:color w:val="002060"/>
                <w:sz w:val="20"/>
                <w:szCs w:val="20"/>
              </w:rPr>
              <w:t>Determine whether the identified allowable use category is appropriate for the expenditure.</w:t>
            </w:r>
          </w:p>
          <w:p w14:paraId="3B22BEC8" w14:textId="77777777" w:rsidR="001D666E" w:rsidRPr="00A73D54" w:rsidRDefault="001D666E" w:rsidP="001D666E">
            <w:pPr>
              <w:pStyle w:val="ListParagraph"/>
              <w:numPr>
                <w:ilvl w:val="0"/>
                <w:numId w:val="63"/>
              </w:numPr>
              <w:spacing w:after="240"/>
              <w:jc w:val="both"/>
              <w:rPr>
                <w:rFonts w:ascii="Arial" w:hAnsi="Arial" w:cs="Arial"/>
                <w:i/>
                <w:iCs/>
                <w:color w:val="002060"/>
                <w:sz w:val="20"/>
                <w:szCs w:val="20"/>
              </w:rPr>
            </w:pPr>
            <w:r w:rsidRPr="00A73D54">
              <w:rPr>
                <w:rFonts w:ascii="Arial" w:hAnsi="Arial" w:cs="Arial"/>
                <w:i/>
                <w:iCs/>
                <w:color w:val="002060"/>
                <w:sz w:val="20"/>
                <w:szCs w:val="20"/>
              </w:rPr>
              <w:t xml:space="preserve">Determine whether the expenditure is allowable under the unique restrictions of the allowable use category. </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7" w:name="_Toc177630935"/>
      <w:r w:rsidRPr="00A0464C">
        <w:rPr>
          <w:rFonts w:cs="Arial"/>
          <w:sz w:val="24"/>
          <w:szCs w:val="24"/>
        </w:rPr>
        <w:t>Audit Implications Summary</w:t>
      </w:r>
      <w:bookmarkEnd w:id="37"/>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3D90D8E4"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61"/>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8" w:name="_Toc442267689"/>
      <w:bookmarkStart w:id="39" w:name="_Toc177630936"/>
      <w:r w:rsidRPr="00A0464C">
        <w:rPr>
          <w:rFonts w:cs="Arial"/>
          <w:sz w:val="24"/>
        </w:rPr>
        <w:lastRenderedPageBreak/>
        <w:t>B.  ALLOWABLE COSTS/COST PRINCIPLES</w:t>
      </w:r>
      <w:bookmarkEnd w:id="38"/>
      <w:bookmarkEnd w:id="39"/>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46A81170"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62"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63"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40" w:name="B___ALLOWABLE_COSTS_COST_PRINCIPLES"/>
      <w:bookmarkStart w:id="41" w:name="_Toc177630937"/>
      <w:bookmarkEnd w:id="40"/>
      <w:r w:rsidRPr="009365AA">
        <w:rPr>
          <w:rFonts w:cs="Arial"/>
          <w:sz w:val="24"/>
          <w:szCs w:val="24"/>
        </w:rPr>
        <w:t>Applicability of Cost Principles</w:t>
      </w:r>
      <w:bookmarkEnd w:id="41"/>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States, local governments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773F2C38"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t>
      </w:r>
      <w:proofErr w:type="gramStart"/>
      <w:r w:rsidRPr="00F00D94">
        <w:rPr>
          <w:rFonts w:ascii="Arial" w:hAnsi="Arial" w:cs="Arial"/>
        </w:rPr>
        <w:t>with the exception of</w:t>
      </w:r>
      <w:proofErr w:type="gramEnd"/>
      <w:r w:rsidRPr="00F00D94">
        <w:rPr>
          <w:rFonts w:ascii="Arial" w:hAnsi="Arial" w:cs="Arial"/>
        </w:rPr>
        <w:t xml:space="preserve">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64"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w:t>
      </w:r>
      <w:proofErr w:type="gramStart"/>
      <w:r w:rsidRPr="00F00D94">
        <w:rPr>
          <w:rFonts w:ascii="Arial" w:hAnsi="Arial" w:cs="Arial"/>
        </w:rPr>
        <w:t>in order to</w:t>
      </w:r>
      <w:proofErr w:type="gramEnd"/>
      <w:r w:rsidRPr="00F00D94">
        <w:rPr>
          <w:rFonts w:ascii="Arial" w:hAnsi="Arial" w:cs="Arial"/>
        </w:rPr>
        <w:t xml:space="preserve">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t>
      </w:r>
      <w:proofErr w:type="gramStart"/>
      <w:r w:rsidR="00BB2F29" w:rsidRPr="00F00D94">
        <w:rPr>
          <w:rFonts w:ascii="Arial" w:hAnsi="Arial" w:cs="Arial"/>
        </w:rPr>
        <w:t>whether or not</w:t>
      </w:r>
      <w:proofErr w:type="gramEnd"/>
      <w:r w:rsidR="00BB2F29" w:rsidRPr="00F00D94">
        <w:rPr>
          <w:rFonts w:ascii="Arial" w:hAnsi="Arial" w:cs="Arial"/>
        </w:rPr>
        <w:t xml:space="preserve">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47DC0C23" w:rsidR="00545700" w:rsidRPr="00F00D94" w:rsidRDefault="00DA563A" w:rsidP="006672EA">
      <w:pPr>
        <w:spacing w:after="240"/>
        <w:jc w:val="both"/>
        <w:rPr>
          <w:rFonts w:ascii="Arial" w:hAnsi="Arial" w:cs="Arial"/>
        </w:rPr>
      </w:pPr>
      <w:hyperlink r:id="rId65"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2036C4EC" w14:textId="778F5CD8" w:rsidR="00987C58" w:rsidRPr="00987C58" w:rsidRDefault="00987C58" w:rsidP="00987C58">
      <w:pPr>
        <w:spacing w:after="240"/>
        <w:jc w:val="both"/>
        <w:rPr>
          <w:rFonts w:ascii="Arial" w:hAnsi="Arial" w:cs="Arial"/>
          <w:iCs/>
        </w:rPr>
      </w:pPr>
      <w:r w:rsidRPr="00987C58">
        <w:rPr>
          <w:rFonts w:ascii="Arial" w:hAnsi="Arial" w:cs="Arial"/>
          <w:iCs/>
        </w:rPr>
        <w:t>SLFRF is considered “other financial assistance” per 2 CFR section 200.1 and is administered as direct payments for specified use.</w:t>
      </w:r>
    </w:p>
    <w:p w14:paraId="1700D50C" w14:textId="2C33AC7A" w:rsidR="00987C58" w:rsidRPr="00987C58" w:rsidRDefault="00987C58" w:rsidP="00987C58">
      <w:pPr>
        <w:spacing w:after="240"/>
        <w:jc w:val="both"/>
        <w:rPr>
          <w:rFonts w:ascii="Arial" w:hAnsi="Arial" w:cs="Arial"/>
          <w:iCs/>
        </w:rPr>
      </w:pPr>
      <w:r w:rsidRPr="00987C58">
        <w:rPr>
          <w:rFonts w:ascii="Arial" w:hAnsi="Arial" w:cs="Arial"/>
          <w:iCs/>
        </w:rPr>
        <w:t>The auditor is not expected to determine whether the recipient exceeded the maximum limits for specified eligible use categories. Treasury will evaluate that the recipient was within the limits for the eligible use categories through reviewing the recipient’s reporting, which is subject to audit.</w:t>
      </w:r>
    </w:p>
    <w:p w14:paraId="2E83BFCB" w14:textId="7E377A07" w:rsidR="00987C58" w:rsidRPr="00987C58" w:rsidRDefault="00987C58" w:rsidP="00987C58">
      <w:pPr>
        <w:spacing w:after="240"/>
        <w:jc w:val="both"/>
        <w:rPr>
          <w:rFonts w:ascii="Arial" w:hAnsi="Arial" w:cs="Arial"/>
          <w:iCs/>
        </w:rPr>
      </w:pPr>
      <w:r w:rsidRPr="00987C58">
        <w:rPr>
          <w:rFonts w:ascii="Arial" w:hAnsi="Arial" w:cs="Arial"/>
          <w:iCs/>
        </w:rPr>
        <w:t>For the Surface Transportation projects eligible use category, recipients using SLFRF funds for projects eligible for Urbanized Formula Grants (ALN: 20.507), Fixed Guideway Capital Investment Grants (ALN: 20.500), Formula Grants for Rural Areas (ALN: 20.509), State of Good Repair Grants (ALN: 20..525), or Grants for Buses and Bus Facilities (ALN: 20.526) may not use SLFRF funds for operating expenses of these projects. Operating expenses are those costs necessary to operate and manage a public transportation system, including costs such as driver salaries, the cost of fuel, and the cost of equipment and supplies having a useful life of less than one year. Operating expenses do not include preventive maintenance activities. The limitation on operating expenses does not apply to other Surface Transportation projects or to other uses of SLFRF funds, including under the revenue loss eligible use category.</w:t>
      </w:r>
    </w:p>
    <w:p w14:paraId="30709575" w14:textId="7806E228" w:rsidR="00987C58" w:rsidRPr="00987C58" w:rsidRDefault="00987C58" w:rsidP="00987C58">
      <w:pPr>
        <w:spacing w:after="240"/>
        <w:jc w:val="both"/>
        <w:rPr>
          <w:rFonts w:ascii="Arial" w:hAnsi="Arial" w:cs="Arial"/>
          <w:iCs/>
        </w:rPr>
      </w:pPr>
      <w:r w:rsidRPr="00987C58">
        <w:rPr>
          <w:rFonts w:ascii="Arial" w:hAnsi="Arial" w:cs="Arial"/>
          <w:iCs/>
        </w:rPr>
        <w:t>The 2 CFR Part 200, Subpart E is applicable to expenditures under SLFRF unless stated otherwise. Given the purpose and very broad scope of eligible uses of the revenue replacement funds, only a subset of the requirements in 2 CFR Part 200, Subpart E apply to recipients’ use of such funds, as follows:</w:t>
      </w:r>
    </w:p>
    <w:p w14:paraId="6A2285BD" w14:textId="77777777" w:rsidR="00987C58" w:rsidRPr="00987C58" w:rsidRDefault="00987C58" w:rsidP="00987C58">
      <w:pPr>
        <w:spacing w:after="240"/>
        <w:jc w:val="both"/>
        <w:rPr>
          <w:rFonts w:ascii="Arial" w:hAnsi="Arial" w:cs="Arial"/>
          <w:iCs/>
        </w:rPr>
      </w:pPr>
      <w:r w:rsidRPr="00987C58">
        <w:rPr>
          <w:rFonts w:ascii="Arial" w:hAnsi="Arial" w:cs="Arial"/>
          <w:iCs/>
        </w:rPr>
        <w:t>•</w:t>
      </w:r>
      <w:r w:rsidRPr="00987C58">
        <w:rPr>
          <w:rFonts w:ascii="Arial" w:hAnsi="Arial" w:cs="Arial"/>
          <w:iCs/>
        </w:rPr>
        <w:tab/>
        <w:t>2 CFR 200.400(a) - (c), and (e) Policy guide;</w:t>
      </w:r>
    </w:p>
    <w:p w14:paraId="49719480" w14:textId="77777777" w:rsidR="00987C58" w:rsidRPr="00987C58" w:rsidRDefault="00987C58" w:rsidP="00987C58">
      <w:pPr>
        <w:spacing w:after="240"/>
        <w:jc w:val="both"/>
        <w:rPr>
          <w:rFonts w:ascii="Arial" w:hAnsi="Arial" w:cs="Arial"/>
          <w:iCs/>
        </w:rPr>
      </w:pPr>
      <w:r w:rsidRPr="00987C58">
        <w:rPr>
          <w:rFonts w:ascii="Arial" w:hAnsi="Arial" w:cs="Arial"/>
          <w:iCs/>
        </w:rPr>
        <w:t>•</w:t>
      </w:r>
      <w:r w:rsidRPr="00987C58">
        <w:rPr>
          <w:rFonts w:ascii="Arial" w:hAnsi="Arial" w:cs="Arial"/>
          <w:iCs/>
        </w:rPr>
        <w:tab/>
        <w:t>200.403(a), (c), (d), (g), and (h) Factors affecting allowability of costs; and</w:t>
      </w:r>
    </w:p>
    <w:p w14:paraId="255AE179" w14:textId="77777777" w:rsidR="00987C58" w:rsidRPr="00987C58" w:rsidRDefault="00987C58" w:rsidP="00987C58">
      <w:pPr>
        <w:spacing w:after="240"/>
        <w:jc w:val="both"/>
        <w:rPr>
          <w:rFonts w:ascii="Arial" w:hAnsi="Arial" w:cs="Arial"/>
          <w:iCs/>
        </w:rPr>
      </w:pPr>
      <w:r w:rsidRPr="00987C58">
        <w:rPr>
          <w:rFonts w:ascii="Arial" w:hAnsi="Arial" w:cs="Arial"/>
          <w:iCs/>
        </w:rPr>
        <w:t>•</w:t>
      </w:r>
      <w:r w:rsidRPr="00987C58">
        <w:rPr>
          <w:rFonts w:ascii="Arial" w:hAnsi="Arial" w:cs="Arial"/>
          <w:iCs/>
        </w:rPr>
        <w:tab/>
        <w:t>200.404(e) Reasonable costs.</w:t>
      </w:r>
    </w:p>
    <w:p w14:paraId="5474DD59" w14:textId="27FC7C3B" w:rsidR="00987C58" w:rsidRPr="00987C58" w:rsidRDefault="00987C58" w:rsidP="00987C58">
      <w:pPr>
        <w:spacing w:after="240"/>
        <w:jc w:val="both"/>
        <w:rPr>
          <w:rFonts w:ascii="Arial" w:hAnsi="Arial" w:cs="Arial"/>
          <w:iCs/>
        </w:rPr>
      </w:pPr>
      <w:r w:rsidRPr="00987C58">
        <w:rPr>
          <w:rFonts w:ascii="Arial" w:hAnsi="Arial" w:cs="Arial"/>
          <w:iCs/>
        </w:rPr>
        <w:t xml:space="preserve">Per the SLFRF and CPF Supplementary Broadband Guidance (II.A.6.), Pages 2 – 3, internet service provider (ISP) subrecipients that receive fixed amount subawards are not required to comply with Subpart E Cost Principles of the Uniform Guidance. See </w:t>
      </w:r>
      <w:hyperlink r:id="rId66" w:history="1">
        <w:r w:rsidRPr="00FB60AD">
          <w:rPr>
            <w:rStyle w:val="Hyperlink"/>
            <w:rFonts w:cs="Arial"/>
            <w:iCs/>
          </w:rPr>
          <w:t>https://home.treasury.gov/system/files/136/SLFRF-and-CPF-Supplementary-Broadband-Guidance.pdf</w:t>
        </w:r>
      </w:hyperlink>
      <w:r w:rsidRPr="00987C58">
        <w:rPr>
          <w:rFonts w:ascii="Arial" w:hAnsi="Arial" w:cs="Arial"/>
          <w:iCs/>
        </w:rPr>
        <w:t>. Please see the SLFRF and CPF Supplementary Broadband Guidance for further explanation on what constitutes a “fixed amount award” for broadband infrastructure projects under SLFRF and CPF.</w:t>
      </w:r>
    </w:p>
    <w:p w14:paraId="3AE512E3" w14:textId="4CACDE93" w:rsidR="00987C58" w:rsidRPr="00987C58" w:rsidRDefault="00987C58" w:rsidP="00987C58">
      <w:pPr>
        <w:spacing w:after="240"/>
        <w:jc w:val="both"/>
        <w:rPr>
          <w:rFonts w:ascii="Arial" w:hAnsi="Arial" w:cs="Arial"/>
          <w:iCs/>
        </w:rPr>
      </w:pPr>
      <w:r w:rsidRPr="00987C58">
        <w:rPr>
          <w:rFonts w:ascii="Arial" w:hAnsi="Arial" w:cs="Arial"/>
          <w:iCs/>
        </w:rPr>
        <w:t>The Uniform Guidance permits agencies to provide an exception from the cost principles in the case of fixed amount subawards (See 2 CFR 200.1, 200.201(b), and 200.333).</w:t>
      </w:r>
      <w:r>
        <w:rPr>
          <w:rFonts w:ascii="Arial" w:hAnsi="Arial" w:cs="Arial"/>
          <w:iCs/>
        </w:rPr>
        <w:t xml:space="preserve"> </w:t>
      </w:r>
      <w:r w:rsidRPr="00987C58">
        <w:rPr>
          <w:rFonts w:ascii="Arial" w:hAnsi="Arial" w:cs="Arial"/>
          <w:iCs/>
        </w:rPr>
        <w:t xml:space="preserve">Treasury has </w:t>
      </w:r>
      <w:proofErr w:type="gramStart"/>
      <w:r w:rsidRPr="00987C58">
        <w:rPr>
          <w:rFonts w:ascii="Arial" w:hAnsi="Arial" w:cs="Arial"/>
          <w:iCs/>
        </w:rPr>
        <w:t>provided that</w:t>
      </w:r>
      <w:proofErr w:type="gramEnd"/>
      <w:r w:rsidRPr="00987C58">
        <w:rPr>
          <w:rFonts w:ascii="Arial" w:hAnsi="Arial" w:cs="Arial"/>
          <w:iCs/>
        </w:rPr>
        <w:t xml:space="preserve"> recipients may issue fixed amount subawards for broadband</w:t>
      </w:r>
      <w:r>
        <w:rPr>
          <w:rFonts w:ascii="Arial" w:hAnsi="Arial" w:cs="Arial"/>
          <w:iCs/>
        </w:rPr>
        <w:t xml:space="preserve"> </w:t>
      </w:r>
      <w:r w:rsidRPr="00987C58">
        <w:rPr>
          <w:rFonts w:ascii="Arial" w:hAnsi="Arial" w:cs="Arial"/>
          <w:iCs/>
        </w:rPr>
        <w:t>infrastructure projects without further Treasury approval regardless of whether the value of the subaward exceeds $250,000 and that recipients are not required to apply the cost principles of the Uniform Guidance to ISPs receiving such fixed amount subawards.</w:t>
      </w:r>
      <w:r>
        <w:rPr>
          <w:rFonts w:ascii="Arial" w:hAnsi="Arial" w:cs="Arial"/>
          <w:iCs/>
        </w:rPr>
        <w:t xml:space="preserve"> </w:t>
      </w:r>
      <w:r w:rsidRPr="00987C58">
        <w:rPr>
          <w:rFonts w:ascii="Arial" w:hAnsi="Arial" w:cs="Arial"/>
          <w:iCs/>
        </w:rPr>
        <w:t>Please see the SLFRF and CPF Supplementary Broadband Guidance for further explanation on what constitutes a “fixed amount award” for broadband infrastructure projects under SLFRF and CPF.</w:t>
      </w:r>
    </w:p>
    <w:p w14:paraId="7BEEB6DA" w14:textId="7C148952" w:rsidR="00987C58" w:rsidRPr="00987C58" w:rsidRDefault="00987C58" w:rsidP="005C6C7A">
      <w:pPr>
        <w:spacing w:after="240"/>
        <w:jc w:val="both"/>
        <w:rPr>
          <w:rFonts w:ascii="Arial" w:hAnsi="Arial" w:cs="Arial"/>
          <w:bCs/>
        </w:rPr>
      </w:pPr>
      <w:r w:rsidRPr="00E02569">
        <w:rPr>
          <w:rFonts w:ascii="Arial" w:hAnsi="Arial" w:cs="Arial"/>
          <w:i/>
        </w:rPr>
        <w:lastRenderedPageBreak/>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2" w:name="_Toc177630938"/>
      <w:r w:rsidRPr="00FA4759">
        <w:rPr>
          <w:rFonts w:cs="Arial"/>
          <w:sz w:val="24"/>
          <w:szCs w:val="24"/>
        </w:rPr>
        <w:t>Additional Program Specific Information</w:t>
      </w:r>
      <w:bookmarkEnd w:id="42"/>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1B12A82" w14:textId="0AABB66A"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3" w:name="_Toc177630939"/>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Local Governments</w:t>
      </w:r>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3"/>
    </w:p>
    <w:p w14:paraId="2C5C23C1" w14:textId="77777777" w:rsidR="00B01E70" w:rsidRPr="00A0464C" w:rsidRDefault="00B01E70" w:rsidP="00B01E70">
      <w:pPr>
        <w:pStyle w:val="Heading3"/>
        <w:jc w:val="both"/>
        <w:rPr>
          <w:rFonts w:cs="Arial"/>
          <w:sz w:val="24"/>
          <w:szCs w:val="24"/>
        </w:rPr>
      </w:pPr>
      <w:bookmarkStart w:id="44" w:name="_Toc177630940"/>
      <w:r w:rsidRPr="00A0464C">
        <w:rPr>
          <w:rFonts w:cs="Arial"/>
          <w:sz w:val="24"/>
          <w:szCs w:val="24"/>
        </w:rPr>
        <w:t>OMB Compliance Requirements</w:t>
      </w:r>
      <w:bookmarkEnd w:id="44"/>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lastRenderedPageBreak/>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lastRenderedPageBreak/>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w:t>
      </w:r>
      <w:proofErr w:type="gramStart"/>
      <w:r w:rsidRPr="00F00D94">
        <w:rPr>
          <w:rFonts w:ascii="Arial" w:hAnsi="Arial" w:cs="Arial"/>
        </w:rPr>
        <w:t>In order to</w:t>
      </w:r>
      <w:proofErr w:type="gramEnd"/>
      <w:r w:rsidRPr="00F00D94">
        <w:rPr>
          <w:rFonts w:ascii="Arial" w:hAnsi="Arial" w:cs="Arial"/>
        </w:rPr>
        <w:t xml:space="preserve">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lastRenderedPageBreak/>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5" w:name="_Hlk135059089"/>
      <w:r w:rsidRPr="00BF0246">
        <w:rPr>
          <w:rStyle w:val="Hyperlink"/>
          <w:rFonts w:cs="Arial"/>
          <w:b/>
          <w:i/>
          <w:iCs/>
          <w:color w:val="002060"/>
        </w:rPr>
        <w:t>Additional Control Test Objectives for Written Procedures</w:t>
      </w:r>
    </w:p>
    <w:bookmarkEnd w:id="45"/>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lastRenderedPageBreak/>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lastRenderedPageBreak/>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6"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51E9B8FD" w:rsidR="00152373" w:rsidRPr="002B1229" w:rsidRDefault="00152373" w:rsidP="00152373">
            <w:pPr>
              <w:spacing w:after="240"/>
              <w:jc w:val="both"/>
              <w:rPr>
                <w:rFonts w:ascii="Arial" w:hAnsi="Arial" w:cs="Arial"/>
                <w:bCs/>
                <w:i/>
                <w:iCs/>
                <w:color w:val="002060"/>
                <w:sz w:val="20"/>
                <w:szCs w:val="20"/>
              </w:rPr>
            </w:pPr>
            <w:bookmarkStart w:id="47"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28737C">
              <w:rPr>
                <w:rFonts w:ascii="Arial" w:hAnsi="Arial" w:cs="Arial"/>
                <w:bCs/>
                <w:i/>
                <w:iCs/>
                <w:color w:val="002060"/>
                <w:sz w:val="20"/>
                <w:szCs w:val="20"/>
              </w:rPr>
              <w:t>SLFRF Testing Template</w:t>
            </w:r>
            <w:r w:rsidR="0028737C" w:rsidRPr="002B1229">
              <w:rPr>
                <w:rFonts w:ascii="Arial" w:hAnsi="Arial" w:cs="Arial"/>
                <w:bCs/>
                <w:i/>
                <w:iCs/>
                <w:color w:val="002060"/>
                <w:sz w:val="20"/>
                <w:szCs w:val="20"/>
              </w:rPr>
              <w:t xml:space="preserve"> available on the Intranet</w:t>
            </w:r>
            <w:r w:rsidR="0028737C">
              <w:rPr>
                <w:rFonts w:ascii="Arial" w:hAnsi="Arial" w:cs="Arial"/>
                <w:bCs/>
                <w:i/>
                <w:iCs/>
                <w:color w:val="002060"/>
                <w:sz w:val="20"/>
                <w:szCs w:val="20"/>
              </w:rPr>
              <w:t xml:space="preserve"> (AOS Auditors) and Internet (IPAs).</w:t>
            </w:r>
            <w:bookmarkEnd w:id="47"/>
          </w:p>
          <w:bookmarkEnd w:id="46"/>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w:t>
            </w:r>
            <w:proofErr w:type="gramStart"/>
            <w:r w:rsidRPr="009F226F">
              <w:rPr>
                <w:rFonts w:ascii="Arial" w:hAnsi="Arial" w:cs="Arial"/>
                <w:sz w:val="20"/>
                <w:szCs w:val="20"/>
              </w:rPr>
              <w:t>as a result of</w:t>
            </w:r>
            <w:proofErr w:type="gramEnd"/>
            <w:r w:rsidRPr="009F226F">
              <w:rPr>
                <w:rFonts w:ascii="Arial" w:hAnsi="Arial" w:cs="Arial"/>
                <w:sz w:val="20"/>
                <w:szCs w:val="20"/>
              </w:rPr>
              <w:t xml:space="preserve"> incurring another cost, and would not have been incurred 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77777777"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1 ,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lastRenderedPageBreak/>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The principles to establish allowability or </w:t>
            </w:r>
            <w:proofErr w:type="spellStart"/>
            <w:r w:rsidRPr="00F00D94">
              <w:rPr>
                <w:rFonts w:ascii="Arial" w:hAnsi="Arial" w:cs="Arial"/>
                <w:sz w:val="20"/>
              </w:rPr>
              <w:t>unallowability</w:t>
            </w:r>
            <w:proofErr w:type="spellEnd"/>
            <w:r w:rsidRPr="00F00D94">
              <w:rPr>
                <w:rFonts w:ascii="Arial" w:hAnsi="Arial" w:cs="Arial"/>
                <w:sz w:val="20"/>
              </w:rPr>
              <w:t xml:space="preserve">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If the auditor identifies unallowable costs, the auditor should be aware that directly associated costs might have been charged.  Directly associated costs are costs incurred solely </w:t>
            </w:r>
            <w:proofErr w:type="gramStart"/>
            <w:r w:rsidRPr="00F00D94">
              <w:rPr>
                <w:rFonts w:ascii="Arial" w:hAnsi="Arial" w:cs="Arial"/>
                <w:sz w:val="20"/>
              </w:rPr>
              <w:t>as a result of</w:t>
            </w:r>
            <w:proofErr w:type="gramEnd"/>
            <w:r w:rsidRPr="00F00D94">
              <w:rPr>
                <w:rFonts w:ascii="Arial" w:hAnsi="Arial" w:cs="Arial"/>
                <w:sz w:val="20"/>
              </w:rPr>
              <w:t xml:space="preserve">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120636DE"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67"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w:t>
            </w:r>
            <w:r w:rsidRPr="00F00D94">
              <w:rPr>
                <w:rFonts w:ascii="Arial" w:hAnsi="Arial" w:cs="Arial"/>
                <w:sz w:val="20"/>
              </w:rPr>
              <w:lastRenderedPageBreak/>
              <w:t xml:space="preserve">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If the direct cost base is not limited to direct salaries and wages, determine that distorting items are excluded from the base.  Examples of distorting items include capital expenditures, flow-through funds (such as benefit payments), and subaward costs </w:t>
            </w:r>
            <w:proofErr w:type="gramStart"/>
            <w:r w:rsidRPr="00F00D94">
              <w:rPr>
                <w:rFonts w:ascii="Arial" w:hAnsi="Arial" w:cs="Arial"/>
                <w:sz w:val="20"/>
              </w:rPr>
              <w:t>in excess of</w:t>
            </w:r>
            <w:proofErr w:type="gramEnd"/>
            <w:r w:rsidRPr="00F00D94">
              <w:rPr>
                <w:rFonts w:ascii="Arial" w:hAnsi="Arial" w:cs="Arial"/>
                <w:sz w:val="20"/>
              </w:rPr>
              <w:t xml:space="preserve">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For an ICRP using the multiple allocation base method, test statistical data (e.g., square footage, audit hours, salaries and wages) to ascertain if the proposed allocation or rate bases are </w:t>
            </w:r>
            <w:r w:rsidRPr="00F00D94">
              <w:rPr>
                <w:rFonts w:ascii="Arial" w:hAnsi="Arial" w:cs="Arial"/>
                <w:sz w:val="20"/>
              </w:rPr>
              <w:lastRenderedPageBreak/>
              <w:t>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claims for reimbursement and verify that the rates used are in accordance with the rate agreement, that rates were applied to the appropriate bases, and that the amounts claimed were the product of applying the rate to the applicable base.  Verify that the costs 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8" w:name="_Toc177630941"/>
      <w:r w:rsidRPr="00FA4759">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575E1840"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6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w:t>
            </w:r>
            <w:r w:rsidRPr="00F00D94">
              <w:rPr>
                <w:rFonts w:ascii="Arial" w:hAnsi="Arial" w:cs="Arial"/>
                <w:b/>
                <w:sz w:val="20"/>
              </w:rPr>
              <w:lastRenderedPageBreak/>
              <w:t>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69"/>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49" w:name="B__LIST_OF_SELECTED_ITEMS"/>
      <w:bookmarkStart w:id="50" w:name="C___CASH_MANAGEMENT"/>
      <w:bookmarkStart w:id="51" w:name="_Toc177630942"/>
      <w:bookmarkEnd w:id="49"/>
      <w:bookmarkEnd w:id="50"/>
      <w:r w:rsidRPr="00220BD0">
        <w:rPr>
          <w:rFonts w:cs="Arial"/>
          <w:sz w:val="24"/>
        </w:rPr>
        <w:lastRenderedPageBreak/>
        <w:t xml:space="preserve">G.  </w:t>
      </w:r>
      <w:bookmarkStart w:id="52" w:name="_Toc442267697"/>
      <w:r w:rsidRPr="00220BD0">
        <w:rPr>
          <w:rFonts w:cs="Arial"/>
          <w:sz w:val="24"/>
        </w:rPr>
        <w:t>MATCHING, LEVEL OF EFFORT, EARMARKING</w:t>
      </w:r>
      <w:bookmarkEnd w:id="52"/>
      <w:bookmarkEnd w:id="51"/>
    </w:p>
    <w:p w14:paraId="59C904A6" w14:textId="707FA18F" w:rsidR="00223898" w:rsidRPr="00220BD0" w:rsidRDefault="004655E0" w:rsidP="006672EA">
      <w:pPr>
        <w:pStyle w:val="Heading3"/>
        <w:jc w:val="both"/>
        <w:rPr>
          <w:rFonts w:cs="Arial"/>
          <w:sz w:val="24"/>
          <w:szCs w:val="24"/>
        </w:rPr>
      </w:pPr>
      <w:bookmarkStart w:id="53" w:name="_Toc177630943"/>
      <w:r w:rsidRPr="00220BD0">
        <w:rPr>
          <w:rFonts w:cs="Arial"/>
          <w:sz w:val="24"/>
          <w:szCs w:val="24"/>
        </w:rPr>
        <w:t xml:space="preserve">OMB </w:t>
      </w:r>
      <w:r w:rsidR="00223898" w:rsidRPr="00220BD0">
        <w:rPr>
          <w:rFonts w:cs="Arial"/>
          <w:sz w:val="24"/>
          <w:szCs w:val="24"/>
        </w:rPr>
        <w:t>Compliance Requirements</w:t>
      </w:r>
      <w:bookmarkEnd w:id="53"/>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2F76975C" w14:textId="44B6E4C0" w:rsidR="00B733AA" w:rsidRPr="00B733AA" w:rsidRDefault="00B733AA" w:rsidP="00B733AA">
      <w:pPr>
        <w:spacing w:after="240"/>
        <w:jc w:val="both"/>
        <w:rPr>
          <w:rFonts w:ascii="Arial" w:hAnsi="Arial" w:cs="Arial"/>
          <w:b/>
          <w:bCs/>
          <w:iCs/>
        </w:rPr>
      </w:pPr>
      <w:r w:rsidRPr="00B733AA">
        <w:rPr>
          <w:rFonts w:ascii="Arial" w:hAnsi="Arial" w:cs="Arial"/>
          <w:b/>
          <w:bCs/>
          <w:iCs/>
        </w:rPr>
        <w:t>1.</w:t>
      </w:r>
      <w:r w:rsidRPr="00B733AA">
        <w:rPr>
          <w:rFonts w:ascii="Arial" w:hAnsi="Arial" w:cs="Arial"/>
          <w:b/>
          <w:bCs/>
          <w:iCs/>
        </w:rPr>
        <w:tab/>
        <w:t>Matching</w:t>
      </w:r>
    </w:p>
    <w:p w14:paraId="5DCAD8D8" w14:textId="2B7165B2" w:rsidR="00B733AA" w:rsidRPr="00B733AA" w:rsidRDefault="00B733AA" w:rsidP="00B733AA">
      <w:pPr>
        <w:spacing w:after="240"/>
        <w:ind w:left="720"/>
        <w:jc w:val="both"/>
        <w:rPr>
          <w:rFonts w:ascii="Arial" w:hAnsi="Arial" w:cs="Arial"/>
          <w:iCs/>
        </w:rPr>
      </w:pPr>
      <w:r w:rsidRPr="00B733AA">
        <w:rPr>
          <w:rFonts w:ascii="Arial" w:hAnsi="Arial" w:cs="Arial"/>
          <w:iCs/>
        </w:rPr>
        <w:t>Generally, SLFRF recipients may use funds available under the revenue loss eligible use category to satisfy non-federal matching requirements. Funds under any other eligible use category, except as discussed below, may not be used to satisfy non-federal matching requirements.</w:t>
      </w:r>
    </w:p>
    <w:p w14:paraId="41AAF4AD" w14:textId="6C822F04" w:rsidR="00B733AA" w:rsidRPr="00B733AA" w:rsidRDefault="00B733AA" w:rsidP="00B733AA">
      <w:pPr>
        <w:spacing w:after="240"/>
        <w:ind w:left="720"/>
        <w:jc w:val="both"/>
        <w:rPr>
          <w:rFonts w:ascii="Arial" w:hAnsi="Arial" w:cs="Arial"/>
          <w:iCs/>
        </w:rPr>
      </w:pPr>
      <w:r w:rsidRPr="00B733AA">
        <w:rPr>
          <w:rFonts w:ascii="Arial" w:hAnsi="Arial" w:cs="Arial"/>
          <w:iCs/>
        </w:rPr>
        <w:t>Funds available under the revenue loss eligible use category (sections 602(c)(1)(C) and 603(c)(1)(C) of the Social Security Act) generally may be used to meet the non-federal cost-share or matching requirements of other federal programs. However, note that SLFRF funds may not be used as the non-federal share for purposes of a state’s Medicaid and Children’s Health Insurance Programs (CHIP) because the Office of Management and Budget has approved a waiver as requested by the Centers for Medicare &amp; Medicaid Services pursuant to 2 CFR 200.102 of the Uniform Guidance and related regulations.</w:t>
      </w:r>
    </w:p>
    <w:p w14:paraId="0CF2DD1C" w14:textId="483D71F0" w:rsidR="00B733AA" w:rsidRPr="00B733AA" w:rsidRDefault="00B733AA" w:rsidP="00B733AA">
      <w:pPr>
        <w:spacing w:after="240"/>
        <w:ind w:left="720"/>
        <w:jc w:val="both"/>
        <w:rPr>
          <w:rFonts w:ascii="Arial" w:hAnsi="Arial" w:cs="Arial"/>
          <w:iCs/>
        </w:rPr>
      </w:pPr>
      <w:r w:rsidRPr="00B733AA">
        <w:rPr>
          <w:rFonts w:ascii="Arial" w:hAnsi="Arial" w:cs="Arial"/>
          <w:iCs/>
        </w:rPr>
        <w:t>If a recipient seeks to use SLFRF funds to satisfy match or cost-share requirements for a federal grant program, it should first confirm with the relevant awarding agency that no waiver has been granted for that program, that no other circumstances enumerated under 2 CFR 200.306(b) would limit the use of SLFRF funds to meet the match or cost-share requirement, and that there is no other statutory or regulatory impediment to using the SLFRF funds for the match or cost-share requirement. SLFRF funds beyond those that are available under the revenue loss eligible use category may not be used to meet the non-federal match or cost-share requirements of other federal programs, other than as specifically provided for by statute. As an example, the Infrastructure Investment and Jobs Act provides that SLFRF funds may be used to meet the non-federal match requirements of authorized Bureau of Reclamation projects and certain broadband deployment projects. Recipients should consult the 2022 Final Rule for further details if they seek to utilize SLFRF funds as a match for these projects.</w:t>
      </w:r>
    </w:p>
    <w:p w14:paraId="7F3E73A9" w14:textId="50AA8B13" w:rsidR="00B733AA" w:rsidRPr="00B733AA" w:rsidRDefault="00B733AA" w:rsidP="00B733AA">
      <w:pPr>
        <w:spacing w:after="240"/>
        <w:ind w:left="720"/>
        <w:jc w:val="both"/>
        <w:rPr>
          <w:rFonts w:ascii="Arial" w:hAnsi="Arial" w:cs="Arial"/>
          <w:iCs/>
        </w:rPr>
      </w:pPr>
      <w:r w:rsidRPr="00B733AA">
        <w:rPr>
          <w:rFonts w:ascii="Arial" w:hAnsi="Arial" w:cs="Arial"/>
          <w:iCs/>
        </w:rPr>
        <w:t>Under the Surface Transportation projects eligible use category, recipients may use SLFRF funds to satisfy non-federal share requirements for certain programs under Pathway Three. Under the Title I projects eligible use category, recipients may use SLFRF funds to satisfy the non-federal share requirements of a federal financial assistance program in support of activities that would be eligible under</w:t>
      </w:r>
      <w:r>
        <w:rPr>
          <w:rFonts w:ascii="Arial" w:hAnsi="Arial" w:cs="Arial"/>
          <w:iCs/>
        </w:rPr>
        <w:t xml:space="preserve"> </w:t>
      </w:r>
      <w:r w:rsidRPr="00B733AA">
        <w:rPr>
          <w:rFonts w:ascii="Arial" w:hAnsi="Arial" w:cs="Arial"/>
          <w:iCs/>
        </w:rPr>
        <w:t>the Community Development Block Grant (ALN: 14.218), and Indian Community Development Block Grant (ALN: 14.862).</w:t>
      </w:r>
    </w:p>
    <w:p w14:paraId="7679C689" w14:textId="59CE0782" w:rsidR="00B733AA" w:rsidRPr="00B733AA" w:rsidRDefault="00B733AA" w:rsidP="00B733AA">
      <w:pPr>
        <w:spacing w:after="240"/>
        <w:ind w:left="720"/>
        <w:jc w:val="both"/>
        <w:rPr>
          <w:rFonts w:ascii="Arial" w:hAnsi="Arial" w:cs="Arial"/>
          <w:iCs/>
        </w:rPr>
      </w:pPr>
      <w:r w:rsidRPr="00B733AA">
        <w:rPr>
          <w:rFonts w:ascii="Arial" w:hAnsi="Arial" w:cs="Arial"/>
          <w:iCs/>
        </w:rPr>
        <w:t>Per the 2023 IFR, recipients may use SLFRF funds to provide emergency relief from natural disasters with a Stafford Disaster Relief and Emergency Assistance Act (42 U.S.C. 5121 et seq.) (Stafford Act) declaration under the emergency relief from natural disasters eligible use category. If a recipient uses SLFRF funds to cover Stafford Act disaster losses under the emergency relief from natural disasters eligible use category, the Stafford Act’s prohibition on duplication of benefits applies. However, emergency relief from natural disasters eligible use category does not permit recipients to use SLFRF funds for non-federal matching requirements for FEMA programs.</w:t>
      </w:r>
    </w:p>
    <w:p w14:paraId="15FB5161" w14:textId="43238EB8" w:rsidR="00B733AA" w:rsidRPr="00B733AA" w:rsidRDefault="00B733AA" w:rsidP="00B733AA">
      <w:pPr>
        <w:spacing w:after="240"/>
        <w:jc w:val="both"/>
        <w:rPr>
          <w:rFonts w:ascii="Arial" w:hAnsi="Arial" w:cs="Arial"/>
          <w:b/>
          <w:bCs/>
          <w:iCs/>
        </w:rPr>
      </w:pPr>
      <w:r w:rsidRPr="00B733AA">
        <w:rPr>
          <w:rFonts w:ascii="Arial" w:hAnsi="Arial" w:cs="Arial"/>
          <w:b/>
          <w:bCs/>
          <w:iCs/>
        </w:rPr>
        <w:t>2.</w:t>
      </w:r>
      <w:r w:rsidRPr="00B733AA">
        <w:rPr>
          <w:rFonts w:ascii="Arial" w:hAnsi="Arial" w:cs="Arial"/>
          <w:b/>
          <w:bCs/>
          <w:iCs/>
        </w:rPr>
        <w:tab/>
        <w:t>Level of Effort</w:t>
      </w:r>
    </w:p>
    <w:p w14:paraId="3B6DBF25" w14:textId="28C34B7E" w:rsidR="00B733AA" w:rsidRPr="00B733AA" w:rsidRDefault="00B733AA" w:rsidP="00B733AA">
      <w:pPr>
        <w:spacing w:after="240"/>
        <w:ind w:left="720"/>
        <w:jc w:val="both"/>
        <w:rPr>
          <w:rFonts w:ascii="Arial" w:hAnsi="Arial" w:cs="Arial"/>
          <w:iCs/>
        </w:rPr>
      </w:pPr>
      <w:r w:rsidRPr="00B733AA">
        <w:rPr>
          <w:rFonts w:ascii="Arial" w:hAnsi="Arial" w:cs="Arial"/>
          <w:iCs/>
        </w:rPr>
        <w:t>Under the Surface Transportation projects and Title I projects eligible use categories, recipients must supplement, and not supplant, other federal, state, territorial, Tribal, and local government funds (as applicable) otherwise available for such uses. Recipients may not: 1) de-obligate funds and replace those previously obligated amounts with SLFRF funds under this eligible use category or 2) use SLFRF to replace federal or non-federal funds identified in a federal commitment, such as an award agreement. This supplement, not supplant requirement does not apply to the eligible use categories described in the 2022 final rule or the emergency relief from natural disasters eligible use category. See the Overview of the 2023 Interim Final Rule for more information.</w:t>
      </w:r>
    </w:p>
    <w:p w14:paraId="59FB3A75" w14:textId="6F181CAD" w:rsidR="00B733AA" w:rsidRPr="00B733AA" w:rsidRDefault="00B733AA" w:rsidP="00B733AA">
      <w:pPr>
        <w:spacing w:after="240"/>
        <w:jc w:val="both"/>
        <w:rPr>
          <w:rFonts w:ascii="Arial" w:hAnsi="Arial" w:cs="Arial"/>
          <w:b/>
          <w:bCs/>
          <w:iCs/>
        </w:rPr>
      </w:pPr>
      <w:r w:rsidRPr="00B733AA">
        <w:rPr>
          <w:rFonts w:ascii="Arial" w:hAnsi="Arial" w:cs="Arial"/>
          <w:b/>
          <w:bCs/>
          <w:iCs/>
        </w:rPr>
        <w:lastRenderedPageBreak/>
        <w:t>3.</w:t>
      </w:r>
      <w:r w:rsidRPr="00B733AA">
        <w:rPr>
          <w:rFonts w:ascii="Arial" w:hAnsi="Arial" w:cs="Arial"/>
          <w:b/>
          <w:bCs/>
          <w:iCs/>
        </w:rPr>
        <w:tab/>
        <w:t>Earmarking</w:t>
      </w:r>
    </w:p>
    <w:p w14:paraId="624B7164" w14:textId="77D5BAC4" w:rsidR="00B733AA" w:rsidRPr="00B733AA" w:rsidRDefault="00B733AA" w:rsidP="00B733AA">
      <w:pPr>
        <w:spacing w:after="240"/>
        <w:ind w:left="720"/>
        <w:jc w:val="both"/>
        <w:rPr>
          <w:rFonts w:ascii="Arial" w:hAnsi="Arial" w:cs="Arial"/>
          <w:iCs/>
        </w:rPr>
      </w:pPr>
      <w:r w:rsidRPr="00B733AA">
        <w:rPr>
          <w:rFonts w:ascii="Arial" w:hAnsi="Arial" w:cs="Arial"/>
          <w:iCs/>
        </w:rPr>
        <w:t>Recipients may use payments from SLFRF to replace lost public sector revenue to provide government services. Recipients may use this funding to provide government services to the extent of the reduction in revenue experienced due to the pandemic.</w:t>
      </w:r>
    </w:p>
    <w:p w14:paraId="62B4939E" w14:textId="04B65B29" w:rsidR="00B733AA" w:rsidRPr="00B733AA" w:rsidRDefault="00B733AA" w:rsidP="00B733AA">
      <w:pPr>
        <w:spacing w:after="240"/>
        <w:ind w:left="720"/>
        <w:jc w:val="both"/>
        <w:rPr>
          <w:rFonts w:ascii="Arial" w:hAnsi="Arial" w:cs="Arial"/>
          <w:iCs/>
        </w:rPr>
      </w:pPr>
      <w:r w:rsidRPr="00B733AA">
        <w:rPr>
          <w:rFonts w:ascii="Arial" w:hAnsi="Arial" w:cs="Arial"/>
          <w:iCs/>
        </w:rPr>
        <w:t>Under the 2022 Final Rule, recipients can elect a one-time “standard allowance” of $10 million (not to exceed the recipient’s award amount) to spend on the “provision of government services” during the period of performance.</w:t>
      </w:r>
      <w:r>
        <w:rPr>
          <w:rFonts w:ascii="Arial" w:hAnsi="Arial" w:cs="Arial"/>
          <w:iCs/>
        </w:rPr>
        <w:t xml:space="preserve"> </w:t>
      </w:r>
      <w:r w:rsidRPr="00B733AA">
        <w:rPr>
          <w:rFonts w:ascii="Arial" w:hAnsi="Arial" w:cs="Arial"/>
          <w:iCs/>
        </w:rPr>
        <w:t>Alternatively, recipients can calculate lost revenue for the years 2020, 2021, 2022, and 2023 based on the formula provided in the 2022 Final Rule to determine the amount of SLFRF funds that can be used for the “provision of government services.”</w:t>
      </w:r>
    </w:p>
    <w:p w14:paraId="24E4C1FE" w14:textId="2EC06CCE" w:rsidR="00B733AA" w:rsidRPr="00B733AA" w:rsidRDefault="00B733AA" w:rsidP="00B733AA">
      <w:pPr>
        <w:spacing w:after="240"/>
        <w:ind w:left="720"/>
        <w:jc w:val="both"/>
        <w:rPr>
          <w:rFonts w:ascii="Arial" w:hAnsi="Arial" w:cs="Arial"/>
          <w:iCs/>
        </w:rPr>
      </w:pPr>
      <w:r w:rsidRPr="00B733AA">
        <w:rPr>
          <w:rFonts w:ascii="Arial" w:hAnsi="Arial" w:cs="Arial"/>
          <w:iCs/>
        </w:rPr>
        <w:t>In calculating revenue loss, recipients can choose whether to use calendar or fiscal year dates but must be consistent throughout the period of performance. If calculating revenue loss, recipients must provide auditors with evidence supporting their revenue loss calculation.</w:t>
      </w:r>
    </w:p>
    <w:p w14:paraId="10049835" w14:textId="76F30456" w:rsidR="00B733AA" w:rsidRPr="00B733AA" w:rsidRDefault="00B733AA" w:rsidP="00B733AA">
      <w:pPr>
        <w:spacing w:after="240"/>
        <w:ind w:left="720"/>
        <w:jc w:val="both"/>
        <w:rPr>
          <w:rFonts w:ascii="Arial" w:hAnsi="Arial" w:cs="Arial"/>
          <w:iCs/>
        </w:rPr>
      </w:pPr>
      <w:r w:rsidRPr="00B733AA">
        <w:rPr>
          <w:rFonts w:ascii="Arial" w:hAnsi="Arial" w:cs="Arial"/>
          <w:iCs/>
        </w:rPr>
        <w:t>Under the Surface Transportation projects and Title I projects eligible use categories, the total amount of SLFRF funds that a recipient may use for Surface Transportation projects and Title I projects, taken together, cannot exceed the greater of $10 million and 30% of a recipient’s SLFRF allocation. However, the auditor is not expected to determine whether the recipient exceeded the maximum limits for specified eligible use categories. Treasury will evaluate that the recipient was within the limits for the eligible use categories through reviewing the recipient’s reporting, which is subject to audit.</w:t>
      </w:r>
    </w:p>
    <w:p w14:paraId="46EA00FA" w14:textId="4E398733" w:rsidR="00B733AA" w:rsidRPr="00B733AA" w:rsidRDefault="00B733AA" w:rsidP="00D74E6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30831737" w14:textId="77777777" w:rsidR="00FC7102" w:rsidRPr="00220BD0" w:rsidRDefault="00FC7102" w:rsidP="006672EA">
      <w:pPr>
        <w:pStyle w:val="Heading3"/>
        <w:jc w:val="both"/>
        <w:rPr>
          <w:rFonts w:cs="Arial"/>
          <w:sz w:val="24"/>
          <w:szCs w:val="24"/>
        </w:rPr>
      </w:pPr>
      <w:bookmarkStart w:id="54" w:name="_Toc177630944"/>
      <w:r w:rsidRPr="00220BD0">
        <w:rPr>
          <w:rFonts w:cs="Arial"/>
          <w:sz w:val="24"/>
          <w:szCs w:val="24"/>
        </w:rPr>
        <w:t>Additional Program Specific Information</w:t>
      </w:r>
      <w:bookmarkEnd w:id="54"/>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0756884" w14:textId="426D3D42"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55" w:name="_Toc177630945"/>
      <w:r w:rsidRPr="00220BD0">
        <w:rPr>
          <w:rFonts w:cs="Arial"/>
          <w:sz w:val="24"/>
          <w:szCs w:val="24"/>
        </w:rPr>
        <w:t xml:space="preserve">Audit Objectives </w:t>
      </w:r>
      <w:r w:rsidR="0038712E" w:rsidRPr="00220BD0">
        <w:rPr>
          <w:rFonts w:cs="Arial"/>
          <w:sz w:val="24"/>
          <w:szCs w:val="24"/>
        </w:rPr>
        <w:t>and Control Testing</w:t>
      </w:r>
      <w:bookmarkEnd w:id="55"/>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lastRenderedPageBreak/>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56" w:name="_Toc177630946"/>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lastRenderedPageBreak/>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p>
          <w:p w14:paraId="0F2485A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0727DE4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p>
          <w:p w14:paraId="1F868995"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12DAF9E2"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w:t>
            </w:r>
            <w:r w:rsidRPr="00F00D94">
              <w:rPr>
                <w:rFonts w:ascii="Arial" w:hAnsi="Arial" w:cs="Arial"/>
                <w:sz w:val="20"/>
              </w:rPr>
              <w:lastRenderedPageBreak/>
              <w:t>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When earmarking requirements prescribe the maximum number or percentage of specified types of participants that can be served, select a sample of other participants and perform tests to verify that they were not of the specified type.</w:t>
            </w:r>
          </w:p>
          <w:p w14:paraId="77FD4056" w14:textId="77777777" w:rsidR="002F4231" w:rsidRPr="0094333D" w:rsidRDefault="002F4231" w:rsidP="002F4231">
            <w:pPr>
              <w:pStyle w:val="ListParagraph"/>
              <w:numPr>
                <w:ilvl w:val="0"/>
                <w:numId w:val="64"/>
              </w:numPr>
              <w:spacing w:after="240"/>
              <w:ind w:left="1418" w:hanging="720"/>
              <w:jc w:val="both"/>
              <w:rPr>
                <w:rFonts w:ascii="Arial" w:hAnsi="Arial" w:cs="Arial"/>
                <w:i/>
                <w:iCs/>
                <w:color w:val="002060"/>
                <w:sz w:val="20"/>
                <w:szCs w:val="20"/>
              </w:rPr>
            </w:pPr>
            <w:r w:rsidRPr="0094333D">
              <w:rPr>
                <w:rFonts w:ascii="Arial" w:hAnsi="Arial" w:cs="Arial"/>
                <w:i/>
                <w:iCs/>
                <w:color w:val="002060"/>
                <w:sz w:val="20"/>
                <w:szCs w:val="20"/>
              </w:rPr>
              <w:t xml:space="preserve">Verify, using the table below, that the </w:t>
            </w:r>
            <w:r w:rsidRPr="0094333D">
              <w:rPr>
                <w:rFonts w:ascii="Arial" w:hAnsi="Arial" w:cs="Arial"/>
                <w:b/>
                <w:i/>
                <w:iCs/>
                <w:color w:val="002060"/>
                <w:sz w:val="20"/>
                <w:szCs w:val="20"/>
              </w:rPr>
              <w:t>cumulative</w:t>
            </w:r>
            <w:r w:rsidRPr="0094333D">
              <w:rPr>
                <w:rFonts w:ascii="Arial" w:hAnsi="Arial" w:cs="Arial"/>
                <w:i/>
                <w:iCs/>
                <w:color w:val="002060"/>
                <w:sz w:val="20"/>
                <w:szCs w:val="20"/>
              </w:rPr>
              <w:t xml:space="preserve"> charges under the revenue loss category over the life of the program do not exceed either (a) the $10 million standard allowance for revenue loss (capped by the total award amount) or (b) the entity’s calculated revenue loss. If the total allocated by management to the revenue loss “bucket” is less than the amount allowed using the methods described in (a) or (b), the lesser amount should be included in column two below.  The amount in the final column should never be less than zero.</w:t>
            </w:r>
          </w:p>
          <w:p w14:paraId="499A13A2" w14:textId="1F0E3B98" w:rsidR="002F4231" w:rsidRPr="0094333D" w:rsidRDefault="002F4231" w:rsidP="002F4231">
            <w:pPr>
              <w:pStyle w:val="ListParagraph"/>
              <w:spacing w:after="240"/>
              <w:ind w:left="1418"/>
              <w:jc w:val="both"/>
              <w:rPr>
                <w:rFonts w:ascii="Arial" w:hAnsi="Arial" w:cs="Arial"/>
                <w:i/>
                <w:iCs/>
                <w:color w:val="002060"/>
                <w:sz w:val="20"/>
                <w:szCs w:val="20"/>
              </w:rPr>
            </w:pPr>
            <w:r w:rsidRPr="0094333D">
              <w:rPr>
                <w:rFonts w:ascii="Arial" w:hAnsi="Arial" w:cs="Arial"/>
                <w:i/>
                <w:iCs/>
                <w:color w:val="002060"/>
                <w:sz w:val="20"/>
                <w:szCs w:val="20"/>
              </w:rPr>
              <w:t xml:space="preserve">Note that the entity </w:t>
            </w:r>
            <w:r>
              <w:rPr>
                <w:rFonts w:ascii="Arial" w:hAnsi="Arial" w:cs="Arial"/>
                <w:i/>
                <w:iCs/>
                <w:color w:val="002060"/>
                <w:sz w:val="20"/>
                <w:szCs w:val="20"/>
              </w:rPr>
              <w:t>was required to</w:t>
            </w:r>
            <w:r w:rsidRPr="0094333D">
              <w:rPr>
                <w:rFonts w:ascii="Arial" w:hAnsi="Arial" w:cs="Arial"/>
                <w:i/>
                <w:iCs/>
                <w:color w:val="002060"/>
                <w:sz w:val="20"/>
                <w:szCs w:val="20"/>
              </w:rPr>
              <w:t xml:space="preserve"> select which method they are using for revenue loss (standard allowance or calculation) </w:t>
            </w:r>
            <w:r>
              <w:rPr>
                <w:rFonts w:ascii="Arial" w:hAnsi="Arial" w:cs="Arial"/>
                <w:i/>
                <w:iCs/>
                <w:color w:val="002060"/>
                <w:sz w:val="20"/>
                <w:szCs w:val="20"/>
              </w:rPr>
              <w:t xml:space="preserve">during the April 2023 reporting period </w:t>
            </w:r>
            <w:r w:rsidRPr="0094333D">
              <w:rPr>
                <w:rFonts w:ascii="Arial" w:hAnsi="Arial" w:cs="Arial"/>
                <w:i/>
                <w:iCs/>
                <w:color w:val="002060"/>
                <w:sz w:val="20"/>
                <w:szCs w:val="20"/>
              </w:rPr>
              <w:t xml:space="preserve">and that selection must remain in place for the entire grant period.  </w:t>
            </w:r>
          </w:p>
          <w:p w14:paraId="36F01960" w14:textId="77777777" w:rsidR="002F4231" w:rsidRPr="0094333D" w:rsidRDefault="002F4231" w:rsidP="002F4231">
            <w:pPr>
              <w:pStyle w:val="ListParagraph"/>
              <w:spacing w:after="240"/>
              <w:ind w:left="1418"/>
              <w:jc w:val="both"/>
              <w:rPr>
                <w:rFonts w:ascii="Arial" w:hAnsi="Arial" w:cs="Arial"/>
                <w:i/>
                <w:iCs/>
                <w:color w:val="002060"/>
                <w:sz w:val="20"/>
                <w:szCs w:val="20"/>
              </w:rPr>
            </w:pPr>
            <w:r w:rsidRPr="0094333D">
              <w:rPr>
                <w:rFonts w:ascii="Arial" w:hAnsi="Arial" w:cs="Arial"/>
                <w:i/>
                <w:iCs/>
                <w:color w:val="002060"/>
                <w:sz w:val="20"/>
                <w:szCs w:val="20"/>
              </w:rPr>
              <w:t xml:space="preserve">If the entity calculated revenue loss (i.e. did not elect to use the standard allowance), auditors </w:t>
            </w:r>
            <w:r w:rsidRPr="0094333D">
              <w:rPr>
                <w:rFonts w:ascii="Arial" w:hAnsi="Arial" w:cs="Arial"/>
                <w:b/>
                <w:bCs/>
                <w:i/>
                <w:iCs/>
                <w:color w:val="002060"/>
                <w:sz w:val="20"/>
                <w:szCs w:val="20"/>
              </w:rPr>
              <w:t>must</w:t>
            </w:r>
            <w:r w:rsidRPr="0094333D">
              <w:rPr>
                <w:rFonts w:ascii="Arial" w:hAnsi="Arial" w:cs="Arial"/>
                <w:i/>
                <w:iCs/>
                <w:color w:val="002060"/>
                <w:sz w:val="20"/>
                <w:szCs w:val="20"/>
              </w:rPr>
              <w:t xml:space="preserve"> test the calculation of revenue loss for accuracy and compliance with </w:t>
            </w:r>
            <w:hyperlink r:id="rId70" w:history="1">
              <w:r w:rsidRPr="0094333D">
                <w:rPr>
                  <w:rStyle w:val="Hyperlink"/>
                  <w:rFonts w:cs="Arial"/>
                  <w:i/>
                  <w:iCs/>
                  <w:color w:val="002060"/>
                  <w:sz w:val="20"/>
                  <w:szCs w:val="20"/>
                </w:rPr>
                <w:t>Treasury’s guidance</w:t>
              </w:r>
            </w:hyperlink>
            <w:r w:rsidRPr="0094333D">
              <w:rPr>
                <w:rFonts w:ascii="Arial" w:hAnsi="Arial" w:cs="Arial"/>
                <w:i/>
                <w:iCs/>
                <w:color w:val="002060"/>
                <w:sz w:val="20"/>
                <w:szCs w:val="20"/>
              </w:rPr>
              <w:t xml:space="preserve"> (see the Final Rule and FAQs). The calculation need only be tested once over the life of the program, unless it’s changed/updated by the entity. </w:t>
            </w:r>
          </w:p>
          <w:bookmarkStart w:id="57" w:name="_MON_1706597646"/>
          <w:bookmarkEnd w:id="57"/>
          <w:p w14:paraId="01605F6B" w14:textId="340A4474" w:rsidR="00E45178" w:rsidRPr="00F00D94" w:rsidRDefault="002F4231" w:rsidP="002F4231">
            <w:pPr>
              <w:pStyle w:val="APStepItem"/>
              <w:numPr>
                <w:ilvl w:val="0"/>
                <w:numId w:val="0"/>
              </w:numPr>
              <w:tabs>
                <w:tab w:val="num" w:pos="1170"/>
              </w:tabs>
              <w:ind w:left="360"/>
              <w:rPr>
                <w:rFonts w:cs="Arial"/>
                <w:b/>
                <w:szCs w:val="20"/>
              </w:rPr>
            </w:pPr>
            <w:r w:rsidRPr="00A73D54">
              <w:rPr>
                <w:rFonts w:cs="Arial"/>
                <w:b/>
                <w:i/>
                <w:iCs/>
                <w:color w:val="002060"/>
                <w:sz w:val="20"/>
                <w:szCs w:val="20"/>
              </w:rPr>
              <w:object w:dxaOrig="8429" w:dyaOrig="1479" w14:anchorId="0E589949">
                <v:shape id="_x0000_i1026" type="#_x0000_t75" style="width:420.3pt;height:73.65pt" o:ole="">
                  <v:imagedata r:id="rId71" o:title=""/>
                </v:shape>
                <o:OLEObject Type="Embed" ProgID="Excel.Sheet.12" ShapeID="_x0000_i1026" DrawAspect="Content" ObjectID="_1788243755" r:id="rId72"/>
              </w:object>
            </w: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58" w:name="_Toc177630947"/>
      <w:r w:rsidRPr="00220BD0">
        <w:rPr>
          <w:rFonts w:cs="Arial"/>
          <w:sz w:val="24"/>
          <w:szCs w:val="24"/>
        </w:rPr>
        <w:t>Audit Implications Summary</w:t>
      </w:r>
      <w:bookmarkEnd w:id="58"/>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0E01746F"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lastRenderedPageBreak/>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74"/>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59" w:name="_Toc442267698"/>
      <w:bookmarkStart w:id="60" w:name="_Toc177630948"/>
      <w:r w:rsidRPr="00220BD0">
        <w:rPr>
          <w:rFonts w:cs="Arial"/>
          <w:sz w:val="24"/>
        </w:rPr>
        <w:lastRenderedPageBreak/>
        <w:t xml:space="preserve">H.  PERIOD </w:t>
      </w:r>
      <w:r w:rsidR="00F12052" w:rsidRPr="00220BD0">
        <w:rPr>
          <w:rFonts w:cs="Arial"/>
          <w:sz w:val="24"/>
        </w:rPr>
        <w:t>OF PERFORMANCE</w:t>
      </w:r>
      <w:bookmarkEnd w:id="59"/>
      <w:bookmarkEnd w:id="60"/>
    </w:p>
    <w:p w14:paraId="07D5A30C" w14:textId="635B47C0" w:rsidR="007E5B12" w:rsidRPr="00220BD0" w:rsidRDefault="004655E0" w:rsidP="006672EA">
      <w:pPr>
        <w:pStyle w:val="Heading3"/>
        <w:jc w:val="both"/>
        <w:rPr>
          <w:rFonts w:cs="Arial"/>
          <w:sz w:val="24"/>
          <w:szCs w:val="24"/>
        </w:rPr>
      </w:pPr>
      <w:bookmarkStart w:id="61" w:name="_Toc177630949"/>
      <w:r w:rsidRPr="00220BD0">
        <w:rPr>
          <w:rFonts w:cs="Arial"/>
          <w:sz w:val="24"/>
          <w:szCs w:val="24"/>
        </w:rPr>
        <w:t xml:space="preserve">OMB </w:t>
      </w:r>
      <w:r w:rsidR="007E5B12" w:rsidRPr="00220BD0">
        <w:rPr>
          <w:rFonts w:cs="Arial"/>
          <w:sz w:val="24"/>
          <w:szCs w:val="24"/>
        </w:rPr>
        <w:t>Compliance Requirements</w:t>
      </w:r>
      <w:bookmarkEnd w:id="61"/>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E38AEB6" w14:textId="72FDEC56" w:rsidR="00256562" w:rsidRPr="00256562" w:rsidRDefault="00256562" w:rsidP="00256562">
      <w:pPr>
        <w:spacing w:after="240"/>
        <w:jc w:val="both"/>
        <w:rPr>
          <w:rFonts w:ascii="Arial" w:hAnsi="Arial" w:cs="Arial"/>
          <w:bCs/>
        </w:rPr>
      </w:pPr>
      <w:r w:rsidRPr="00256562">
        <w:rPr>
          <w:rFonts w:ascii="Arial" w:hAnsi="Arial" w:cs="Arial"/>
          <w:bCs/>
        </w:rPr>
        <w:t>For eligible use categories described in the 2022 Final Rule, recipients may only use funds to cover costs incurred during the period beginning on March 3, 2021 and ending on December 31, 2024, pursuant to the 2022 Final Rule at 31 CFR section 35.5(a).</w:t>
      </w:r>
      <w:r>
        <w:rPr>
          <w:rFonts w:ascii="Arial" w:hAnsi="Arial" w:cs="Arial"/>
          <w:bCs/>
        </w:rPr>
        <w:t xml:space="preserve"> </w:t>
      </w:r>
      <w:r w:rsidRPr="00256562">
        <w:rPr>
          <w:rFonts w:ascii="Arial" w:hAnsi="Arial" w:cs="Arial"/>
          <w:bCs/>
        </w:rPr>
        <w:t>Recipients must liquidate all obligations incurred by December 31, 2024, under the award no later than December 31, 2026, which is the end of the period of performance. As such, program obligations or costs must be incurred from the period beginning on March 3, 2021 and ending on December 31, 2024. No new obligations or costs may be incurred during the period beginning January 1, 2025 and ending on December 31, 2026. During this two-year period from January 1, 2025, through December 31, 2026, recipients are only permitted to expend funds to satisfy obligations incurred by December 31, 2024.</w:t>
      </w:r>
    </w:p>
    <w:p w14:paraId="301C1190" w14:textId="3383C10C" w:rsidR="00256562" w:rsidRPr="00256562" w:rsidRDefault="00256562" w:rsidP="00256562">
      <w:pPr>
        <w:spacing w:after="240"/>
        <w:jc w:val="both"/>
        <w:rPr>
          <w:rFonts w:ascii="Arial" w:hAnsi="Arial" w:cs="Arial"/>
          <w:bCs/>
          <w:highlight w:val="yellow"/>
        </w:rPr>
      </w:pPr>
      <w:r w:rsidRPr="00256562">
        <w:rPr>
          <w:rFonts w:ascii="Arial" w:hAnsi="Arial" w:cs="Arial"/>
          <w:bCs/>
        </w:rPr>
        <w:t xml:space="preserve">For eligible use categories described in the 2023 Interim Final Rule, recipients may use SLFRF funds for the three new eligible uses for costs incurred beginning December 29, 2022. Consistent with the existing eligible uses, recipients must obligate SLFRF funds for the new eligible uses by December 31, 2024. An ‘‘obligation’’ continues to include an order placed for property and services and entry into contracts, subawards, and similar transactions that require payment. However, under the revised definition, a recipient is also considered to have incurred an obligation by December 31, 2024, with respect to a requirement under federal law or regulation or a provision of the SLFRF award terms and conditions to which the recipient becomes subject as a result of receiving or expending SLFRF funds per the </w:t>
      </w:r>
      <w:hyperlink r:id="rId75" w:history="1">
        <w:r w:rsidRPr="00256562">
          <w:rPr>
            <w:rStyle w:val="Hyperlink"/>
            <w:rFonts w:cs="Arial"/>
            <w:bCs/>
          </w:rPr>
          <w:t>Obligation Interim Final Rule</w:t>
        </w:r>
      </w:hyperlink>
      <w:r w:rsidRPr="00256562">
        <w:rPr>
          <w:rFonts w:ascii="Arial" w:hAnsi="Arial" w:cs="Arial"/>
          <w:bCs/>
        </w:rPr>
        <w:t>. Recipients must expend SLFRF funds obligated to provide emergency relief from natural disasters by December 31, 2026. Recipients must expend SLFRF funds obligated for Surface Transportation projects and Title I projects by September 30, 2026. Costs for projects described in the 2023 Interim Final Rule that are incurred by the recipient prior to December 29, 2022 are not eligible under these three eligible use categories.</w:t>
      </w:r>
    </w:p>
    <w:p w14:paraId="2163CF9C" w14:textId="720968CD" w:rsidR="00256562" w:rsidRPr="00256562" w:rsidRDefault="00256562" w:rsidP="00D74E6A">
      <w:pPr>
        <w:spacing w:after="240"/>
        <w:jc w:val="both"/>
        <w:rPr>
          <w:rFonts w:ascii="Arial" w:hAnsi="Arial" w:cs="Arial"/>
          <w:bCs/>
        </w:rPr>
      </w:pPr>
      <w:r w:rsidRPr="00E02569">
        <w:rPr>
          <w:rFonts w:ascii="Arial" w:hAnsi="Arial" w:cs="Arial"/>
          <w:i/>
        </w:rPr>
        <w:lastRenderedPageBreak/>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620B48E1" w14:textId="77777777" w:rsidR="00FC7102" w:rsidRPr="00220BD0" w:rsidRDefault="00FC7102" w:rsidP="006672EA">
      <w:pPr>
        <w:pStyle w:val="Heading3"/>
        <w:jc w:val="both"/>
        <w:rPr>
          <w:rFonts w:cs="Arial"/>
          <w:sz w:val="24"/>
          <w:szCs w:val="24"/>
        </w:rPr>
      </w:pPr>
      <w:bookmarkStart w:id="62" w:name="_Toc177630950"/>
      <w:r w:rsidRPr="00220BD0">
        <w:rPr>
          <w:rFonts w:cs="Arial"/>
          <w:sz w:val="24"/>
          <w:szCs w:val="24"/>
        </w:rPr>
        <w:t>Additional Program Specific Information</w:t>
      </w:r>
      <w:bookmarkEnd w:id="62"/>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65FB91E" w14:textId="2CD364D2"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63" w:name="_Toc177630951"/>
      <w:r w:rsidRPr="00220BD0">
        <w:rPr>
          <w:rFonts w:cs="Arial"/>
          <w:sz w:val="24"/>
          <w:szCs w:val="24"/>
        </w:rPr>
        <w:t xml:space="preserve">Audit Objectives </w:t>
      </w:r>
      <w:r w:rsidR="00C30DAB" w:rsidRPr="00220BD0">
        <w:rPr>
          <w:rFonts w:cs="Arial"/>
          <w:sz w:val="24"/>
          <w:szCs w:val="24"/>
        </w:rPr>
        <w:t>and Control Testing</w:t>
      </w:r>
      <w:bookmarkEnd w:id="63"/>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proofErr w:type="gramStart"/>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proofErr w:type="gramEnd"/>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64" w:name="_Toc177630952"/>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4"/>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2609EFF"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t>AOS Auditors:</w:t>
            </w:r>
            <w:r w:rsidRPr="001D3E83">
              <w:rPr>
                <w:rFonts w:ascii="Arial" w:hAnsi="Arial" w:cs="Arial"/>
                <w:bCs/>
                <w:i/>
                <w:iCs/>
                <w:color w:val="002060"/>
                <w:sz w:val="20"/>
                <w:szCs w:val="20"/>
              </w:rPr>
              <w:t xml:space="preserve"> Steps marked with an asterisk (*) are addressed via the attributes in the </w:t>
            </w:r>
            <w:r w:rsidR="004D78F8">
              <w:rPr>
                <w:rFonts w:ascii="Arial" w:hAnsi="Arial" w:cs="Arial"/>
                <w:bCs/>
                <w:i/>
                <w:iCs/>
                <w:color w:val="002060"/>
                <w:sz w:val="20"/>
                <w:szCs w:val="20"/>
              </w:rPr>
              <w:t>SLFRF Testing Template</w:t>
            </w:r>
            <w:r w:rsidR="004D78F8" w:rsidRPr="002B1229">
              <w:rPr>
                <w:rFonts w:ascii="Arial" w:hAnsi="Arial" w:cs="Arial"/>
                <w:bCs/>
                <w:i/>
                <w:iCs/>
                <w:color w:val="002060"/>
                <w:sz w:val="20"/>
                <w:szCs w:val="20"/>
              </w:rPr>
              <w:t xml:space="preserve"> available on the Intranet</w:t>
            </w:r>
            <w:r w:rsidR="004D78F8">
              <w:rPr>
                <w:rFonts w:ascii="Arial" w:hAnsi="Arial" w:cs="Arial"/>
                <w:bCs/>
                <w:i/>
                <w:iCs/>
                <w:color w:val="002060"/>
                <w:sz w:val="20"/>
                <w:szCs w:val="20"/>
              </w:rPr>
              <w:t xml:space="preserve"> (AOS Auditors) and Internet (IPAs). </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 xml:space="preserve">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w:t>
            </w:r>
            <w:proofErr w:type="gramStart"/>
            <w:r w:rsidR="002839CB" w:rsidRPr="00F00D94">
              <w:rPr>
                <w:rFonts w:ascii="Arial" w:hAnsi="Arial" w:cs="Arial"/>
                <w:sz w:val="20"/>
              </w:rPr>
              <w:t>time period</w:t>
            </w:r>
            <w:proofErr w:type="gramEnd"/>
            <w:r w:rsidR="002839CB" w:rsidRPr="00F00D94">
              <w:rPr>
                <w:rFonts w:ascii="Arial" w:hAnsi="Arial" w:cs="Arial"/>
                <w:sz w:val="20"/>
              </w:rPr>
              <w:t>.</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65" w:name="_Toc177630953"/>
      <w:r w:rsidRPr="00220BD0">
        <w:rPr>
          <w:rFonts w:cs="Arial"/>
          <w:sz w:val="24"/>
          <w:szCs w:val="24"/>
        </w:rPr>
        <w:t>Audit Implications Summary</w:t>
      </w:r>
      <w:bookmarkEnd w:id="65"/>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4C7E78C6"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77"/>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66" w:name="_Toc442267699"/>
      <w:bookmarkStart w:id="67" w:name="_Toc177630954"/>
      <w:r w:rsidRPr="00220BD0">
        <w:rPr>
          <w:rFonts w:cs="Arial"/>
          <w:sz w:val="24"/>
        </w:rPr>
        <w:lastRenderedPageBreak/>
        <w:t>I.  PROCUREMENT AND SUSPENSION AND DEBARMENT</w:t>
      </w:r>
      <w:bookmarkEnd w:id="66"/>
      <w:bookmarkEnd w:id="67"/>
    </w:p>
    <w:p w14:paraId="1560ABE2" w14:textId="77777777" w:rsidR="00DC3468" w:rsidRPr="00220BD0" w:rsidRDefault="004655E0" w:rsidP="006672EA">
      <w:pPr>
        <w:pStyle w:val="Heading3"/>
        <w:jc w:val="both"/>
        <w:rPr>
          <w:rFonts w:cs="Arial"/>
          <w:sz w:val="24"/>
          <w:szCs w:val="24"/>
        </w:rPr>
      </w:pPr>
      <w:bookmarkStart w:id="68" w:name="_Toc177630955"/>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68"/>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 xml:space="preserve">rement action </w:t>
      </w:r>
      <w:proofErr w:type="gramStart"/>
      <w:r w:rsidR="007323BE" w:rsidRPr="00F00D94">
        <w:rPr>
          <w:rFonts w:ascii="Arial" w:hAnsi="Arial" w:cs="Arial"/>
        </w:rPr>
        <w:t>in excess of</w:t>
      </w:r>
      <w:proofErr w:type="gramEnd"/>
      <w:r w:rsidR="007323BE" w:rsidRPr="00F00D94">
        <w:rPr>
          <w:rFonts w:ascii="Arial" w:hAnsi="Arial" w:cs="Arial"/>
        </w:rPr>
        <w:t xml:space="preserve">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4394BFBD"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78" w:history="1">
        <w:r w:rsidR="001A6B78" w:rsidRPr="0011623F">
          <w:rPr>
            <w:rStyle w:val="Hyperlink"/>
            <w:rFonts w:cs="Arial"/>
          </w:rPr>
          <w:t>IIJA</w:t>
        </w:r>
      </w:hyperlink>
      <w:r w:rsidRPr="0023424F">
        <w:rPr>
          <w:rFonts w:ascii="Arial" w:hAnsi="Arial" w:cs="Arial"/>
        </w:rPr>
        <w:t xml:space="preserve"> section 70912(4)-(5) and 70914, </w:t>
      </w:r>
      <w:hyperlink r:id="rId79" w:history="1">
        <w:r w:rsidRPr="0011623F">
          <w:rPr>
            <w:rStyle w:val="Hyperlink"/>
            <w:rFonts w:cs="Arial"/>
          </w:rPr>
          <w:t>2 CFR 184</w:t>
        </w:r>
      </w:hyperlink>
      <w:r w:rsidRPr="0023424F">
        <w:rPr>
          <w:rFonts w:ascii="Arial" w:hAnsi="Arial" w:cs="Arial"/>
        </w:rPr>
        <w:t xml:space="preserve">, and </w:t>
      </w:r>
      <w:hyperlink r:id="rId80"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5D7A5525"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81"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82"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4E24D01C"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83"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w:t>
      </w:r>
      <w:proofErr w:type="gramStart"/>
      <w:r w:rsidR="00DC3468" w:rsidRPr="00F00D94">
        <w:rPr>
          <w:rFonts w:ascii="Arial" w:hAnsi="Arial" w:cs="Arial"/>
        </w:rPr>
        <w:t>entered into</w:t>
      </w:r>
      <w:proofErr w:type="gramEnd"/>
      <w:r w:rsidR="00DC3468" w:rsidRPr="00F00D94">
        <w:rPr>
          <w:rFonts w:ascii="Arial" w:hAnsi="Arial" w:cs="Arial"/>
        </w:rPr>
        <w:t xml:space="preserve">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27FDFB92"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84" w:history="1">
        <w:r w:rsidR="00306F9F" w:rsidRPr="00F00D94">
          <w:rPr>
            <w:rStyle w:val="Hyperlink"/>
            <w:rFonts w:cs="Arial"/>
          </w:rPr>
          <w:t>03</w:t>
        </w:r>
      </w:hyperlink>
      <w:r w:rsidR="00306F9F" w:rsidRPr="00F00D94">
        <w:rPr>
          <w:rFonts w:ascii="Arial" w:hAnsi="Arial" w:cs="Arial"/>
        </w:rPr>
        <w:t xml:space="preserve">, </w:t>
      </w:r>
      <w:hyperlink r:id="rId85"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86"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87"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69" w:name="_Toc177630956"/>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69"/>
    </w:p>
    <w:p w14:paraId="6C168F41" w14:textId="2EDCA87E"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88" w:history="1">
        <w:r w:rsidR="000023A2" w:rsidRPr="00F00D94">
          <w:rPr>
            <w:rStyle w:val="Hyperlink"/>
            <w:rFonts w:cs="Arial"/>
          </w:rPr>
          <w:t>2 CFR 180.220</w:t>
        </w:r>
      </w:hyperlink>
      <w:r w:rsidRPr="00F00D94">
        <w:rPr>
          <w:rFonts w:ascii="Arial" w:hAnsi="Arial" w:cs="Arial"/>
        </w:rPr>
        <w:t xml:space="preserve">.  All non-procurement transactions </w:t>
      </w:r>
      <w:proofErr w:type="gramStart"/>
      <w:r w:rsidRPr="00F00D94">
        <w:rPr>
          <w:rFonts w:ascii="Arial" w:hAnsi="Arial" w:cs="Arial"/>
        </w:rPr>
        <w:t>entered into</w:t>
      </w:r>
      <w:proofErr w:type="gramEnd"/>
      <w:r w:rsidRPr="00F00D94">
        <w:rPr>
          <w:rFonts w:ascii="Arial" w:hAnsi="Arial" w:cs="Arial"/>
        </w:rPr>
        <w:t xml:space="preserve"> by a pass-through entity (i.e., subawards to subrecipients), irrespective of award amount, are considered covered transactions, unless they are exempt as provided in </w:t>
      </w:r>
      <w:hyperlink r:id="rId89" w:history="1">
        <w:r w:rsidR="000023A2" w:rsidRPr="00F00D94">
          <w:rPr>
            <w:rStyle w:val="Hyperlink"/>
            <w:rFonts w:cs="Arial"/>
          </w:rPr>
          <w:t>2 CFR 180.215</w:t>
        </w:r>
      </w:hyperlink>
      <w:r w:rsidRPr="00F00D94">
        <w:rPr>
          <w:rFonts w:ascii="Arial" w:hAnsi="Arial" w:cs="Arial"/>
        </w:rPr>
        <w:t>.</w:t>
      </w:r>
    </w:p>
    <w:p w14:paraId="3882B4B6" w14:textId="3632A9B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w:t>
      </w:r>
      <w:proofErr w:type="gramStart"/>
      <w:r w:rsidRPr="00F00D94">
        <w:rPr>
          <w:rFonts w:ascii="Arial" w:hAnsi="Arial" w:cs="Arial"/>
        </w:rPr>
        <w:t>enters into</w:t>
      </w:r>
      <w:proofErr w:type="gramEnd"/>
      <w:r w:rsidRPr="00F00D94">
        <w:rPr>
          <w:rFonts w:ascii="Arial" w:hAnsi="Arial" w:cs="Arial"/>
        </w:rPr>
        <w:t xml:space="preserve"> a covered transaction with an entity at a lower tier, the non-Federal entity must verify that the entity, as defined in </w:t>
      </w:r>
      <w:hyperlink r:id="rId90"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91"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92" w:history="1">
        <w:r w:rsidR="000023A2" w:rsidRPr="00F00D94">
          <w:rPr>
            <w:rStyle w:val="Hyperlink"/>
            <w:rFonts w:cs="Arial"/>
          </w:rPr>
          <w:t>2 CFR 180.300</w:t>
        </w:r>
      </w:hyperlink>
      <w:r w:rsidRPr="00F00D94">
        <w:rPr>
          <w:rFonts w:ascii="Arial" w:hAnsi="Arial" w:cs="Arial"/>
        </w:rPr>
        <w:t xml:space="preserve">).  </w:t>
      </w:r>
    </w:p>
    <w:p w14:paraId="095B8CF4" w14:textId="50A4A85E"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93" w:history="1">
        <w:r w:rsidR="00A94ECF" w:rsidRPr="00F00D94">
          <w:rPr>
            <w:rStyle w:val="Hyperlink"/>
            <w:rFonts w:cs="Arial"/>
          </w:rPr>
          <w:t>48 CFR 52.209-6</w:t>
        </w:r>
      </w:hyperlink>
      <w:r w:rsidRPr="00F00D94">
        <w:rPr>
          <w:rFonts w:ascii="Arial" w:hAnsi="Arial" w:cs="Arial"/>
        </w:rPr>
        <w:t xml:space="preserve"> before </w:t>
      </w:r>
      <w:proofErr w:type="gramStart"/>
      <w:r w:rsidRPr="00F00D94">
        <w:rPr>
          <w:rFonts w:ascii="Arial" w:hAnsi="Arial" w:cs="Arial"/>
        </w:rPr>
        <w:t>entering into</w:t>
      </w:r>
      <w:proofErr w:type="gramEnd"/>
      <w:r w:rsidRPr="00F00D94">
        <w:rPr>
          <w:rFonts w:ascii="Arial" w:hAnsi="Arial" w:cs="Arial"/>
        </w:rPr>
        <w:t xml:space="preserve">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57DBF969"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94"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2CFC1420"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95"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0FC08B43"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96" w:history="1">
        <w:r w:rsidR="000023A2" w:rsidRPr="00F00D94">
          <w:rPr>
            <w:rStyle w:val="Hyperlink"/>
            <w:rFonts w:cs="Arial"/>
          </w:rPr>
          <w:t>48 CFR 9.405-2(b)</w:t>
        </w:r>
      </w:hyperlink>
      <w:r w:rsidR="006F1440" w:rsidRPr="00F00D94">
        <w:rPr>
          <w:rFonts w:ascii="Arial" w:hAnsi="Arial" w:cs="Arial"/>
        </w:rPr>
        <w:t xml:space="preserve"> and the clause at </w:t>
      </w:r>
      <w:hyperlink r:id="rId97"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52FE6FE0" w14:textId="058A6380" w:rsidR="00256562" w:rsidRPr="00256562" w:rsidRDefault="00256562" w:rsidP="00256562">
      <w:pPr>
        <w:spacing w:after="240"/>
        <w:jc w:val="both"/>
        <w:rPr>
          <w:rFonts w:ascii="Arial" w:hAnsi="Arial" w:cs="Arial"/>
          <w:iCs/>
        </w:rPr>
      </w:pPr>
      <w:r w:rsidRPr="00256562">
        <w:rPr>
          <w:rFonts w:ascii="Arial" w:hAnsi="Arial" w:cs="Arial"/>
          <w:iCs/>
        </w:rPr>
        <w:t xml:space="preserve">Recipients may use award funds to </w:t>
      </w:r>
      <w:proofErr w:type="gramStart"/>
      <w:r w:rsidRPr="00256562">
        <w:rPr>
          <w:rFonts w:ascii="Arial" w:hAnsi="Arial" w:cs="Arial"/>
          <w:iCs/>
        </w:rPr>
        <w:t>enter into</w:t>
      </w:r>
      <w:proofErr w:type="gramEnd"/>
      <w:r w:rsidRPr="00256562">
        <w:rPr>
          <w:rFonts w:ascii="Arial" w:hAnsi="Arial" w:cs="Arial"/>
          <w:iCs/>
        </w:rPr>
        <w:t xml:space="preserve"> contracts to procure goods and</w:t>
      </w:r>
      <w:r>
        <w:rPr>
          <w:rFonts w:ascii="Arial" w:hAnsi="Arial" w:cs="Arial"/>
          <w:iCs/>
        </w:rPr>
        <w:t xml:space="preserve"> </w:t>
      </w:r>
      <w:r w:rsidRPr="00256562">
        <w:rPr>
          <w:rFonts w:ascii="Arial" w:hAnsi="Arial" w:cs="Arial"/>
          <w:iCs/>
        </w:rPr>
        <w:t>services necessary to implement one or more of the eligible purposes outlined in 42 USC sections 802(c) and 803(c) and Treasury’s 2021 Interim Final Rule, and 2022 Final Rule,</w:t>
      </w:r>
      <w:r>
        <w:rPr>
          <w:rFonts w:ascii="Arial" w:hAnsi="Arial" w:cs="Arial"/>
          <w:iCs/>
        </w:rPr>
        <w:t xml:space="preserve"> </w:t>
      </w:r>
      <w:r w:rsidRPr="00256562">
        <w:rPr>
          <w:rFonts w:ascii="Arial" w:hAnsi="Arial" w:cs="Arial"/>
          <w:iCs/>
        </w:rPr>
        <w:t>and 2023 Interim Final Rule. As such, except as noted in the next paragraph, recipients are expected to have procurement policies and procedures in place that comply with the procurement standards outlined in the Uniform Guidance.</w:t>
      </w:r>
    </w:p>
    <w:p w14:paraId="31EDD142" w14:textId="473BBF33" w:rsidR="00256562" w:rsidRPr="00256562" w:rsidRDefault="00256562" w:rsidP="00256562">
      <w:pPr>
        <w:spacing w:after="240"/>
        <w:jc w:val="both"/>
        <w:rPr>
          <w:rFonts w:ascii="Arial" w:hAnsi="Arial" w:cs="Arial"/>
          <w:iCs/>
        </w:rPr>
      </w:pPr>
      <w:r w:rsidRPr="00256562">
        <w:rPr>
          <w:rFonts w:ascii="Arial" w:hAnsi="Arial" w:cs="Arial"/>
          <w:iCs/>
        </w:rPr>
        <w:t>In July 2022, Treasury released Final Rule FAQ 13.15, which explains that only a subset of the requirements in Subparts D and E of the Uniform Guidance apply to recipients’ use of award funds under the revenue loss eligible use category. The requirements of 2 CFR sections 200.318 through 200.327 are not included in the list of requirements applicable to such funds.</w:t>
      </w:r>
    </w:p>
    <w:p w14:paraId="309E661B" w14:textId="0B819158" w:rsidR="00256562" w:rsidRPr="00256562" w:rsidRDefault="00256562" w:rsidP="00256562">
      <w:pPr>
        <w:spacing w:after="240"/>
        <w:jc w:val="both"/>
        <w:rPr>
          <w:rFonts w:ascii="Arial" w:hAnsi="Arial" w:cs="Arial"/>
          <w:iCs/>
        </w:rPr>
      </w:pPr>
      <w:r w:rsidRPr="00256562">
        <w:rPr>
          <w:rFonts w:ascii="Arial" w:hAnsi="Arial" w:cs="Arial"/>
          <w:iCs/>
        </w:rPr>
        <w:lastRenderedPageBreak/>
        <w:t>Recipients may also refer to section 13 of the Final Rule FAQs, which includes FAQs related to procurement and other Uniform Guidance-related topics.</w:t>
      </w:r>
    </w:p>
    <w:p w14:paraId="0F8D5F39" w14:textId="6B582C0A" w:rsidR="00256562" w:rsidRPr="00256562" w:rsidRDefault="00256562" w:rsidP="00D74E6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(c)(1) requires non-Federal entities maintain written standards of conduct covering conflicts of interest and governing the actions of its employees engaged in the selection, award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70" w:name="_Toc177630957"/>
      <w:r w:rsidRPr="00220BD0">
        <w:rPr>
          <w:rFonts w:cs="Arial"/>
          <w:sz w:val="24"/>
          <w:szCs w:val="24"/>
        </w:rPr>
        <w:t>Additional Program Specific Information</w:t>
      </w:r>
      <w:bookmarkEnd w:id="70"/>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24FDE0" w14:textId="5A514231"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71" w:name="_Toc177630958"/>
      <w:r w:rsidRPr="00220BD0">
        <w:rPr>
          <w:rFonts w:cs="Arial"/>
          <w:sz w:val="24"/>
          <w:szCs w:val="24"/>
        </w:rPr>
        <w:t xml:space="preserve">Audit Objectives </w:t>
      </w:r>
      <w:r w:rsidR="00220BEF" w:rsidRPr="00220BD0">
        <w:rPr>
          <w:rFonts w:cs="Arial"/>
          <w:sz w:val="24"/>
          <w:szCs w:val="24"/>
        </w:rPr>
        <w:t>and Control Testing</w:t>
      </w:r>
      <w:bookmarkEnd w:id="71"/>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lastRenderedPageBreak/>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72" w:name="_Toc177630959"/>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72"/>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2917E33E" w:rsidR="00576830" w:rsidRPr="004D78F8" w:rsidRDefault="00576830" w:rsidP="00576830">
            <w:pPr>
              <w:spacing w:after="240"/>
              <w:jc w:val="both"/>
              <w:rPr>
                <w:rFonts w:ascii="Arial"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w:t>
            </w:r>
            <w:r w:rsidR="004D78F8" w:rsidRPr="002B1229">
              <w:rPr>
                <w:rFonts w:ascii="Arial" w:hAnsi="Arial" w:cs="Arial"/>
                <w:bCs/>
                <w:i/>
                <w:iCs/>
                <w:color w:val="002060"/>
                <w:sz w:val="20"/>
                <w:szCs w:val="20"/>
              </w:rPr>
              <w:t xml:space="preserve">attributes in the </w:t>
            </w:r>
            <w:r w:rsidR="004D78F8">
              <w:rPr>
                <w:rFonts w:ascii="Arial" w:hAnsi="Arial" w:cs="Arial"/>
                <w:bCs/>
                <w:i/>
                <w:iCs/>
                <w:color w:val="002060"/>
                <w:sz w:val="20"/>
                <w:szCs w:val="20"/>
              </w:rPr>
              <w:t>SLFRF Testing Template</w:t>
            </w:r>
            <w:r w:rsidR="004D78F8" w:rsidRPr="002B1229">
              <w:rPr>
                <w:rFonts w:ascii="Arial" w:hAnsi="Arial" w:cs="Arial"/>
                <w:bCs/>
                <w:i/>
                <w:iCs/>
                <w:color w:val="002060"/>
                <w:sz w:val="20"/>
                <w:szCs w:val="20"/>
              </w:rPr>
              <w:t xml:space="preserve"> available on the Intranet</w:t>
            </w:r>
            <w:r w:rsidR="004D78F8">
              <w:rPr>
                <w:rFonts w:ascii="Arial" w:hAnsi="Arial" w:cs="Arial"/>
                <w:bCs/>
                <w:i/>
                <w:iCs/>
                <w:color w:val="002060"/>
                <w:sz w:val="20"/>
                <w:szCs w:val="20"/>
              </w:rPr>
              <w:t xml:space="preserve"> (AOS Auditors) and Internet (IPAs). </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73"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73"/>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65328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98" w:history="1">
              <w:r w:rsidR="000023A2" w:rsidRPr="00F00D94">
                <w:rPr>
                  <w:rStyle w:val="Hyperlink"/>
                  <w:rFonts w:cs="Arial"/>
                  <w:sz w:val="20"/>
                </w:rPr>
                <w:t>48 CFR 52.203-13</w:t>
              </w:r>
            </w:hyperlink>
            <w:r w:rsidRPr="00F00D94">
              <w:rPr>
                <w:rFonts w:ascii="Arial" w:hAnsi="Arial" w:cs="Arial"/>
                <w:sz w:val="20"/>
              </w:rPr>
              <w:t xml:space="preserve"> and </w:t>
            </w:r>
            <w:hyperlink r:id="rId99"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190EEB3A"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 xml:space="preserve">Examine contract files and verify that they document the history of the procurement, including the rationale for the method of procurement, selection of contract type, basis </w:t>
            </w:r>
            <w:r w:rsidR="00BF5750" w:rsidRPr="00F00D94">
              <w:rPr>
                <w:rFonts w:ascii="Arial" w:hAnsi="Arial" w:cs="Arial"/>
                <w:sz w:val="20"/>
              </w:rPr>
              <w:lastRenderedPageBreak/>
              <w:t>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00"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01"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26618799"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02" w:history="1">
              <w:r w:rsidR="00E52CC0" w:rsidRPr="00F00D94">
                <w:rPr>
                  <w:rStyle w:val="Hyperlink"/>
                  <w:rFonts w:cs="Arial"/>
                  <w:sz w:val="20"/>
                </w:rPr>
                <w:t>48 CFR 52.244-5</w:t>
              </w:r>
            </w:hyperlink>
            <w:r w:rsidR="00BF5750" w:rsidRPr="00F00D94">
              <w:rPr>
                <w:rFonts w:ascii="Arial" w:hAnsi="Arial" w:cs="Arial"/>
                <w:sz w:val="20"/>
              </w:rPr>
              <w:t>).</w:t>
            </w:r>
          </w:p>
          <w:p w14:paraId="02970176" w14:textId="21ADD8E0"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03" w:history="1">
              <w:r w:rsidR="00E52CC0" w:rsidRPr="00F00D94">
                <w:rPr>
                  <w:rStyle w:val="Hyperlink"/>
                  <w:rFonts w:cs="Arial"/>
                  <w:sz w:val="20"/>
                </w:rPr>
                <w:t>48 CFR 52.244-5</w:t>
              </w:r>
            </w:hyperlink>
            <w:r w:rsidRPr="00F00D94">
              <w:rPr>
                <w:rFonts w:ascii="Arial" w:hAnsi="Arial" w:cs="Arial"/>
                <w:sz w:val="20"/>
              </w:rPr>
              <w:t>).</w:t>
            </w:r>
          </w:p>
          <w:p w14:paraId="761FC7CF" w14:textId="0ED9B10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04"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615D441C"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05"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15BF9079"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06" w:history="1">
              <w:r w:rsidR="00E52CC0" w:rsidRPr="00F00D94">
                <w:rPr>
                  <w:rStyle w:val="Hyperlink"/>
                  <w:rFonts w:cs="Arial"/>
                  <w:sz w:val="20"/>
                </w:rPr>
                <w:t>2 CFR 180.300</w:t>
              </w:r>
            </w:hyperlink>
            <w:r w:rsidRPr="00F00D94">
              <w:rPr>
                <w:rFonts w:ascii="Arial" w:hAnsi="Arial" w:cs="Arial"/>
                <w:sz w:val="20"/>
              </w:rPr>
              <w:t xml:space="preserve">; </w:t>
            </w:r>
            <w:hyperlink r:id="rId107"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 xml:space="preserve">Select a sample of procurements and subawards and test whether the non-Federal entity followed its procedures before </w:t>
            </w:r>
            <w:proofErr w:type="gramStart"/>
            <w:r w:rsidR="00BF5750" w:rsidRPr="00F00D94">
              <w:rPr>
                <w:rFonts w:ascii="Arial" w:hAnsi="Arial" w:cs="Arial"/>
                <w:sz w:val="20"/>
              </w:rPr>
              <w:t>entering into</w:t>
            </w:r>
            <w:proofErr w:type="gramEnd"/>
            <w:r w:rsidR="00BF5750" w:rsidRPr="00F00D94">
              <w:rPr>
                <w:rFonts w:ascii="Arial" w:hAnsi="Arial" w:cs="Arial"/>
                <w:sz w:val="20"/>
              </w:rPr>
              <w:t xml:space="preserve">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lastRenderedPageBreak/>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74" w:name="_Toc177630960"/>
      <w:r w:rsidRPr="00220BD0">
        <w:rPr>
          <w:rFonts w:cs="Arial"/>
          <w:sz w:val="24"/>
          <w:szCs w:val="24"/>
        </w:rPr>
        <w:t>Audit Implications Summary</w:t>
      </w:r>
      <w:bookmarkEnd w:id="74"/>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2F1E029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08"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09"/>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75" w:name="J___PROGRAM_INCOME"/>
      <w:bookmarkStart w:id="76" w:name="L___REPORTING"/>
      <w:bookmarkStart w:id="77" w:name="_Toc442267701"/>
      <w:bookmarkStart w:id="78" w:name="_Toc177630961"/>
      <w:bookmarkEnd w:id="75"/>
      <w:bookmarkEnd w:id="76"/>
      <w:r w:rsidRPr="000706D1">
        <w:rPr>
          <w:rFonts w:cs="Arial"/>
          <w:sz w:val="24"/>
        </w:rPr>
        <w:lastRenderedPageBreak/>
        <w:t>L.  REPORTING</w:t>
      </w:r>
      <w:bookmarkEnd w:id="77"/>
      <w:bookmarkEnd w:id="78"/>
    </w:p>
    <w:p w14:paraId="13BAAFFB" w14:textId="16BE9FED" w:rsidR="007E5B12" w:rsidRPr="000706D1" w:rsidRDefault="00261D87" w:rsidP="006672EA">
      <w:pPr>
        <w:pStyle w:val="Heading3"/>
        <w:jc w:val="both"/>
        <w:rPr>
          <w:rFonts w:cs="Arial"/>
          <w:sz w:val="24"/>
          <w:szCs w:val="24"/>
        </w:rPr>
      </w:pPr>
      <w:bookmarkStart w:id="79" w:name="_Toc177630962"/>
      <w:r w:rsidRPr="000706D1">
        <w:rPr>
          <w:rFonts w:cs="Arial"/>
          <w:sz w:val="24"/>
          <w:szCs w:val="24"/>
        </w:rPr>
        <w:t xml:space="preserve">OMB </w:t>
      </w:r>
      <w:r w:rsidR="007E5B12" w:rsidRPr="000706D1">
        <w:rPr>
          <w:rFonts w:cs="Arial"/>
          <w:sz w:val="24"/>
          <w:szCs w:val="24"/>
        </w:rPr>
        <w:t>Compliance Requirements</w:t>
      </w:r>
      <w:bookmarkEnd w:id="7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w:t>
      </w:r>
      <w:proofErr w:type="gramStart"/>
      <w:r w:rsidRPr="00F00D94">
        <w:rPr>
          <w:rFonts w:ascii="Arial" w:hAnsi="Arial" w:cs="Arial"/>
        </w:rPr>
        <w:t>on the basis of</w:t>
      </w:r>
      <w:proofErr w:type="gramEnd"/>
      <w:r w:rsidRPr="00F00D94">
        <w:rPr>
          <w:rFonts w:ascii="Arial" w:hAnsi="Arial" w:cs="Arial"/>
        </w:rPr>
        <w:t xml:space="preserve">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financial reporting requirements for subrecipients are as specified by the pass-through entity.  In many cases, these will be the same as or </w:t>
      </w:r>
      <w:proofErr w:type="gramStart"/>
      <w:r w:rsidRPr="00F00D94">
        <w:rPr>
          <w:rFonts w:ascii="Arial" w:hAnsi="Arial" w:cs="Arial"/>
        </w:rPr>
        <w:t>similar to</w:t>
      </w:r>
      <w:proofErr w:type="gramEnd"/>
      <w:r w:rsidRPr="00F00D94">
        <w:rPr>
          <w:rFonts w:ascii="Arial" w:hAnsi="Arial" w:cs="Arial"/>
        </w:rPr>
        <w:t xml:space="preserve">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4CBA8D9" w:rsidR="00271D8B" w:rsidRPr="003E6341"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Cs/>
        </w:rPr>
      </w:pPr>
      <w:r w:rsidRPr="00F00D94">
        <w:rPr>
          <w:rFonts w:ascii="Arial" w:hAnsi="Arial" w:cs="Arial"/>
          <w:b/>
          <w:u w:val="single"/>
        </w:rPr>
        <w:t>Federal Funding Accountability and Transparency Act</w:t>
      </w:r>
      <w:r w:rsidR="003E6341">
        <w:rPr>
          <w:rFonts w:ascii="Arial" w:hAnsi="Arial" w:cs="Arial"/>
          <w:bCs/>
        </w:rPr>
        <w:t xml:space="preserve"> – </w:t>
      </w:r>
      <w:r w:rsidR="003E6341" w:rsidRPr="003E6341">
        <w:rPr>
          <w:rFonts w:ascii="Arial" w:hAnsi="Arial" w:cs="Arial"/>
          <w:bCs/>
          <w:i/>
          <w:iCs/>
          <w:color w:val="002060"/>
        </w:rPr>
        <w:t>Not Applicable for AL #21.027</w:t>
      </w: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 xml:space="preserve">For purposes of programs included in parts 4 and 5 of this Supplement, the designation “Not Applicable” in relation to “Financial Reporting,” “Performance Reporting,” and “Special Reporting” means that the auditor is not expected to audit anything in these categories, </w:t>
      </w:r>
      <w:proofErr w:type="gramStart"/>
      <w:r w:rsidRPr="00F00D94">
        <w:rPr>
          <w:rFonts w:ascii="Arial" w:hAnsi="Arial" w:cs="Arial"/>
          <w:szCs w:val="20"/>
        </w:rPr>
        <w:t>whether or not</w:t>
      </w:r>
      <w:proofErr w:type="gramEnd"/>
      <w:r w:rsidRPr="00F00D94">
        <w:rPr>
          <w:rFonts w:ascii="Arial" w:hAnsi="Arial" w:cs="Arial"/>
          <w:szCs w:val="20"/>
        </w:rPr>
        <w:t xml:space="preserve">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60FF9E5B" w14:textId="5BDC4517" w:rsidR="00256562" w:rsidRPr="00256562" w:rsidRDefault="00256562" w:rsidP="00256562">
      <w:pPr>
        <w:spacing w:after="240"/>
        <w:jc w:val="both"/>
        <w:rPr>
          <w:rFonts w:ascii="Arial" w:hAnsi="Arial" w:cs="Arial"/>
          <w:iCs/>
        </w:rPr>
      </w:pPr>
      <w:r w:rsidRPr="00280B66">
        <w:rPr>
          <w:rFonts w:ascii="Arial" w:hAnsi="Arial" w:cs="Arial"/>
          <w:b/>
          <w:iCs/>
        </w:rPr>
        <w:t>1.</w:t>
      </w:r>
      <w:r w:rsidRPr="00280B66">
        <w:rPr>
          <w:rFonts w:ascii="Arial" w:hAnsi="Arial" w:cs="Arial"/>
          <w:b/>
          <w:iCs/>
        </w:rPr>
        <w:tab/>
        <w:t>Financial Reporting</w:t>
      </w:r>
      <w:r w:rsidR="00280B66">
        <w:rPr>
          <w:rFonts w:ascii="Arial" w:hAnsi="Arial" w:cs="Arial"/>
          <w:iCs/>
        </w:rPr>
        <w:t xml:space="preserve"> – Not Applicable</w:t>
      </w:r>
    </w:p>
    <w:p w14:paraId="286AC6D8" w14:textId="54E6BD2B" w:rsidR="00256562" w:rsidRPr="00280B66" w:rsidRDefault="00256562" w:rsidP="00256562">
      <w:pPr>
        <w:spacing w:after="240"/>
        <w:jc w:val="both"/>
        <w:rPr>
          <w:rFonts w:ascii="Arial" w:hAnsi="Arial" w:cs="Arial"/>
          <w:b/>
          <w:bCs/>
          <w:iCs/>
        </w:rPr>
      </w:pPr>
      <w:r w:rsidRPr="00280B66">
        <w:rPr>
          <w:rFonts w:ascii="Arial" w:hAnsi="Arial" w:cs="Arial"/>
          <w:b/>
          <w:bCs/>
          <w:iCs/>
        </w:rPr>
        <w:t>2.</w:t>
      </w:r>
      <w:r w:rsidRPr="00280B66">
        <w:rPr>
          <w:rFonts w:ascii="Arial" w:hAnsi="Arial" w:cs="Arial"/>
          <w:b/>
          <w:bCs/>
          <w:iCs/>
        </w:rPr>
        <w:tab/>
        <w:t>Performance Reporting</w:t>
      </w:r>
    </w:p>
    <w:p w14:paraId="7E880B31" w14:textId="77777777" w:rsidR="00280B66" w:rsidRDefault="00256562" w:rsidP="00280B66">
      <w:pPr>
        <w:spacing w:after="240"/>
        <w:ind w:left="720"/>
        <w:jc w:val="both"/>
        <w:rPr>
          <w:rFonts w:ascii="Arial" w:hAnsi="Arial" w:cs="Arial"/>
          <w:iCs/>
        </w:rPr>
      </w:pPr>
      <w:r w:rsidRPr="00256562">
        <w:rPr>
          <w:rFonts w:ascii="Arial" w:hAnsi="Arial" w:cs="Arial"/>
          <w:iCs/>
        </w:rPr>
        <w:t xml:space="preserve">Title of Report: Project and Expenditure Report </w:t>
      </w:r>
    </w:p>
    <w:p w14:paraId="235B06D7" w14:textId="6D695FAB" w:rsidR="00256562" w:rsidRPr="00256562" w:rsidRDefault="00256562" w:rsidP="00280B66">
      <w:pPr>
        <w:spacing w:after="240"/>
        <w:ind w:left="720"/>
        <w:jc w:val="both"/>
        <w:rPr>
          <w:rFonts w:ascii="Arial" w:hAnsi="Arial" w:cs="Arial"/>
          <w:iCs/>
        </w:rPr>
      </w:pPr>
      <w:r w:rsidRPr="00256562">
        <w:rPr>
          <w:rFonts w:ascii="Arial" w:hAnsi="Arial" w:cs="Arial"/>
          <w:iCs/>
        </w:rPr>
        <w:t>PRA Number: 1505-0271</w:t>
      </w:r>
    </w:p>
    <w:p w14:paraId="181939D3" w14:textId="31DAEF9C" w:rsidR="00256562" w:rsidRPr="00256562" w:rsidRDefault="00256562" w:rsidP="00280B66">
      <w:pPr>
        <w:spacing w:after="240"/>
        <w:ind w:left="720"/>
        <w:jc w:val="both"/>
        <w:rPr>
          <w:rFonts w:ascii="Arial" w:hAnsi="Arial" w:cs="Arial"/>
          <w:iCs/>
        </w:rPr>
      </w:pPr>
      <w:r w:rsidRPr="00256562">
        <w:rPr>
          <w:rFonts w:ascii="Arial" w:hAnsi="Arial" w:cs="Arial"/>
          <w:iCs/>
        </w:rPr>
        <w:t xml:space="preserve">Reporting Cycle: Quarterly and Annual for more details see section B.1-B.2 in the </w:t>
      </w:r>
      <w:hyperlink r:id="rId110" w:history="1">
        <w:r w:rsidRPr="00280B66">
          <w:rPr>
            <w:rStyle w:val="Hyperlink"/>
            <w:rFonts w:cs="Arial"/>
            <w:iCs/>
          </w:rPr>
          <w:t>SLFRF Compliance and Reporting Guidance</w:t>
        </w:r>
      </w:hyperlink>
      <w:r w:rsidRPr="00256562">
        <w:rPr>
          <w:rFonts w:ascii="Arial" w:hAnsi="Arial" w:cs="Arial"/>
          <w:iCs/>
        </w:rPr>
        <w:t xml:space="preserve"> (pages 18-19).</w:t>
      </w:r>
    </w:p>
    <w:p w14:paraId="23A9E717" w14:textId="4C009F88" w:rsidR="00256562" w:rsidRPr="00256562" w:rsidRDefault="00256562" w:rsidP="00280B66">
      <w:pPr>
        <w:spacing w:after="240"/>
        <w:ind w:left="720"/>
        <w:jc w:val="both"/>
        <w:rPr>
          <w:rFonts w:ascii="Arial" w:hAnsi="Arial" w:cs="Arial"/>
          <w:iCs/>
        </w:rPr>
      </w:pPr>
      <w:r w:rsidRPr="00256562">
        <w:rPr>
          <w:rFonts w:ascii="Arial" w:hAnsi="Arial" w:cs="Arial"/>
          <w:iCs/>
        </w:rPr>
        <w:t xml:space="preserve">Authoritative Requirement: 2 CFR 200.328 and </w:t>
      </w:r>
      <w:hyperlink r:id="rId111" w:history="1">
        <w:r w:rsidRPr="00280B66">
          <w:rPr>
            <w:rStyle w:val="Hyperlink"/>
            <w:rFonts w:cs="Arial"/>
            <w:iCs/>
          </w:rPr>
          <w:t>31 CFR section 35.4(c) Reporting and requests for other information</w:t>
        </w:r>
      </w:hyperlink>
    </w:p>
    <w:p w14:paraId="1F26054B" w14:textId="163875AD" w:rsidR="00256562" w:rsidRPr="00256562" w:rsidRDefault="00256562" w:rsidP="00280B66">
      <w:pPr>
        <w:spacing w:after="240"/>
        <w:ind w:left="720"/>
        <w:jc w:val="both"/>
        <w:rPr>
          <w:rFonts w:ascii="Arial" w:hAnsi="Arial" w:cs="Arial"/>
          <w:iCs/>
        </w:rPr>
      </w:pPr>
      <w:r w:rsidRPr="00256562">
        <w:rPr>
          <w:rFonts w:ascii="Arial" w:hAnsi="Arial" w:cs="Arial"/>
          <w:iCs/>
        </w:rPr>
        <w:t xml:space="preserve">Recipient Compliance and Reporting responsibilities can be found at: </w:t>
      </w:r>
      <w:hyperlink r:id="rId112" w:history="1">
        <w:r w:rsidR="00280B66" w:rsidRPr="00FB60AD">
          <w:rPr>
            <w:rStyle w:val="Hyperlink"/>
            <w:rFonts w:cs="Arial"/>
            <w:iCs/>
          </w:rPr>
          <w:t>https://home.treasury.gov/policy-issues/coronavirus/assistance-for-state-local-and-tribal-</w:t>
        </w:r>
        <w:r w:rsidR="00280B66" w:rsidRPr="00FB60AD">
          <w:rPr>
            <w:rStyle w:val="Hyperlink"/>
            <w:rFonts w:cs="Arial"/>
            <w:iCs/>
          </w:rPr>
          <w:lastRenderedPageBreak/>
          <w:t>governments/state-and-local-fiscal-recovery-funds/recipient-compliance-and-reporting-responsibilities</w:t>
        </w:r>
      </w:hyperlink>
      <w:r w:rsidRPr="00256562">
        <w:rPr>
          <w:rFonts w:ascii="Arial" w:hAnsi="Arial" w:cs="Arial"/>
          <w:iCs/>
        </w:rPr>
        <w:t>.</w:t>
      </w:r>
    </w:p>
    <w:p w14:paraId="4524C3ED" w14:textId="5134254A" w:rsidR="00256562" w:rsidRPr="00256562" w:rsidRDefault="00256562" w:rsidP="00280B66">
      <w:pPr>
        <w:spacing w:after="240"/>
        <w:ind w:left="720"/>
        <w:jc w:val="both"/>
        <w:rPr>
          <w:rFonts w:ascii="Arial" w:hAnsi="Arial" w:cs="Arial"/>
          <w:iCs/>
        </w:rPr>
      </w:pPr>
      <w:r w:rsidRPr="00256562">
        <w:rPr>
          <w:rFonts w:ascii="Arial" w:hAnsi="Arial" w:cs="Arial"/>
          <w:iCs/>
        </w:rPr>
        <w:t xml:space="preserve">Report Instructions is located at: Reporting guidance is on pages 16 through 34 of </w:t>
      </w:r>
      <w:hyperlink r:id="rId113" w:history="1">
        <w:r w:rsidR="00B049FA">
          <w:rPr>
            <w:rStyle w:val="Hyperlink"/>
            <w:rFonts w:cs="Arial"/>
            <w:iCs/>
          </w:rPr>
          <w:t>https://home.treasury.gov/system/files/136/SLFRF-Compliance-and-Reporting-Guidance.pdf</w:t>
        </w:r>
      </w:hyperlink>
      <w:r w:rsidRPr="00256562">
        <w:rPr>
          <w:rFonts w:ascii="Arial" w:hAnsi="Arial" w:cs="Arial"/>
          <w:iCs/>
        </w:rPr>
        <w:t>.</w:t>
      </w:r>
    </w:p>
    <w:p w14:paraId="44DED144" w14:textId="2F80749F" w:rsidR="00256562" w:rsidRPr="00256562" w:rsidRDefault="00256562" w:rsidP="00280B66">
      <w:pPr>
        <w:spacing w:after="240"/>
        <w:ind w:left="720"/>
        <w:jc w:val="both"/>
        <w:rPr>
          <w:rFonts w:ascii="Arial" w:hAnsi="Arial" w:cs="Arial"/>
          <w:iCs/>
        </w:rPr>
      </w:pPr>
      <w:r w:rsidRPr="00256562">
        <w:rPr>
          <w:rFonts w:ascii="Arial" w:hAnsi="Arial" w:cs="Arial"/>
          <w:iCs/>
        </w:rPr>
        <w:t>Report Corrections: Recipients will have an opportunity to reopen and provide edits to their submitted Project and Expenditure Reports any time before the reporting deadline. Recipients will then be required to re-certify and submit the report again to properly reflect any edits made. After the reporting deadline,</w:t>
      </w:r>
      <w:r w:rsidR="00280B66">
        <w:rPr>
          <w:rFonts w:ascii="Arial" w:hAnsi="Arial" w:cs="Arial"/>
          <w:iCs/>
        </w:rPr>
        <w:t xml:space="preserve"> </w:t>
      </w:r>
      <w:r w:rsidRPr="00256562">
        <w:rPr>
          <w:rFonts w:ascii="Arial" w:hAnsi="Arial" w:cs="Arial"/>
          <w:iCs/>
        </w:rPr>
        <w:t>unless prompted by Treasury staff, recipients will not be able to edit their submitted report, any changes or revisions will need to be reflected in the next Project and Expenditure report.</w:t>
      </w:r>
    </w:p>
    <w:p w14:paraId="5ED6F134" w14:textId="433967DD" w:rsidR="00256562" w:rsidRPr="00256562" w:rsidRDefault="00256562" w:rsidP="00280B66">
      <w:pPr>
        <w:spacing w:after="240"/>
        <w:ind w:left="720"/>
        <w:jc w:val="both"/>
        <w:rPr>
          <w:rFonts w:ascii="Arial" w:hAnsi="Arial" w:cs="Arial"/>
          <w:iCs/>
        </w:rPr>
      </w:pPr>
      <w:r w:rsidRPr="00256562">
        <w:rPr>
          <w:rFonts w:ascii="Arial" w:hAnsi="Arial" w:cs="Arial"/>
          <w:iCs/>
        </w:rPr>
        <w:t>The Office of Recovery Program’s (ORP) reporting portal has built-in functionality to reopen a report and allow recipients to make edits after the reporting deadline. However, it is ORP’s policy that recipients may only make revisions if authorized by Treasury staff for a period of up to 60 days after the reporting deadline. After the revision period ends, the report is final. A resubmitted report becomes a recipient’s final report within ORP’s reporting portal. Recipients can generate PDFs of reports at any time.</w:t>
      </w:r>
    </w:p>
    <w:p w14:paraId="76F03D91" w14:textId="77777777" w:rsidR="00256562" w:rsidRPr="00256562" w:rsidRDefault="00256562" w:rsidP="00280B66">
      <w:pPr>
        <w:spacing w:after="240"/>
        <w:ind w:left="720"/>
        <w:jc w:val="both"/>
        <w:rPr>
          <w:rFonts w:ascii="Arial" w:hAnsi="Arial" w:cs="Arial"/>
          <w:iCs/>
        </w:rPr>
      </w:pPr>
      <w:r w:rsidRPr="00280B66">
        <w:rPr>
          <w:rFonts w:ascii="Arial" w:hAnsi="Arial" w:cs="Arial"/>
          <w:i/>
        </w:rPr>
        <w:t>Key Line Item(s)</w:t>
      </w:r>
      <w:r w:rsidRPr="00256562">
        <w:rPr>
          <w:rFonts w:ascii="Arial" w:hAnsi="Arial" w:cs="Arial"/>
          <w:iCs/>
        </w:rPr>
        <w:t>- The following line items contain critical information:</w:t>
      </w:r>
    </w:p>
    <w:p w14:paraId="5E1D026C" w14:textId="092096D5" w:rsidR="00256562" w:rsidRPr="00256562" w:rsidRDefault="00256562" w:rsidP="00280B66">
      <w:pPr>
        <w:spacing w:after="240"/>
        <w:ind w:left="1440" w:hanging="720"/>
        <w:jc w:val="both"/>
        <w:rPr>
          <w:rFonts w:ascii="Arial" w:hAnsi="Arial" w:cs="Arial"/>
          <w:iCs/>
        </w:rPr>
      </w:pPr>
      <w:r w:rsidRPr="00256562">
        <w:rPr>
          <w:rFonts w:ascii="Arial" w:hAnsi="Arial" w:cs="Arial"/>
          <w:iCs/>
        </w:rPr>
        <w:t>1.</w:t>
      </w:r>
      <w:r w:rsidRPr="00256562">
        <w:rPr>
          <w:rFonts w:ascii="Arial" w:hAnsi="Arial" w:cs="Arial"/>
          <w:iCs/>
        </w:rPr>
        <w:tab/>
        <w:t>Obligations and Expenditures- Quantifiable Objective Criteria:</w:t>
      </w:r>
      <w:r w:rsidR="00280B66">
        <w:rPr>
          <w:rFonts w:ascii="Arial" w:hAnsi="Arial" w:cs="Arial"/>
          <w:iCs/>
        </w:rPr>
        <w:t xml:space="preserve"> </w:t>
      </w:r>
      <w:r w:rsidRPr="00256562">
        <w:rPr>
          <w:rFonts w:ascii="Arial" w:hAnsi="Arial" w:cs="Arial"/>
          <w:iCs/>
        </w:rPr>
        <w:t>Reported obligations and expenditures. (See pages 16 and 17 of the above links.)</w:t>
      </w:r>
    </w:p>
    <w:p w14:paraId="19F2CC5E" w14:textId="77777777" w:rsidR="00256562" w:rsidRPr="00256562" w:rsidRDefault="00256562" w:rsidP="00280B66">
      <w:pPr>
        <w:spacing w:after="240"/>
        <w:ind w:left="1440"/>
        <w:jc w:val="both"/>
        <w:rPr>
          <w:rFonts w:ascii="Arial" w:hAnsi="Arial" w:cs="Arial"/>
          <w:iCs/>
        </w:rPr>
      </w:pPr>
      <w:r w:rsidRPr="00256562">
        <w:rPr>
          <w:rFonts w:ascii="Arial" w:hAnsi="Arial" w:cs="Arial"/>
          <w:iCs/>
        </w:rPr>
        <w:t>a.</w:t>
      </w:r>
      <w:r w:rsidRPr="00256562">
        <w:rPr>
          <w:rFonts w:ascii="Arial" w:hAnsi="Arial" w:cs="Arial"/>
          <w:iCs/>
        </w:rPr>
        <w:tab/>
        <w:t>Current period obligation</w:t>
      </w:r>
    </w:p>
    <w:p w14:paraId="1296F18A" w14:textId="77777777" w:rsidR="00256562" w:rsidRPr="00256562" w:rsidRDefault="00256562" w:rsidP="00280B66">
      <w:pPr>
        <w:spacing w:after="240"/>
        <w:ind w:left="1440"/>
        <w:jc w:val="both"/>
        <w:rPr>
          <w:rFonts w:ascii="Arial" w:hAnsi="Arial" w:cs="Arial"/>
          <w:iCs/>
        </w:rPr>
      </w:pPr>
      <w:r w:rsidRPr="00256562">
        <w:rPr>
          <w:rFonts w:ascii="Arial" w:hAnsi="Arial" w:cs="Arial"/>
          <w:iCs/>
        </w:rPr>
        <w:t>b.</w:t>
      </w:r>
      <w:r w:rsidRPr="00256562">
        <w:rPr>
          <w:rFonts w:ascii="Arial" w:hAnsi="Arial" w:cs="Arial"/>
          <w:iCs/>
        </w:rPr>
        <w:tab/>
        <w:t>Cumulative obligation</w:t>
      </w:r>
    </w:p>
    <w:p w14:paraId="43BD083C" w14:textId="77777777" w:rsidR="00256562" w:rsidRPr="00256562" w:rsidRDefault="00256562" w:rsidP="00280B66">
      <w:pPr>
        <w:spacing w:after="240"/>
        <w:ind w:left="1440"/>
        <w:jc w:val="both"/>
        <w:rPr>
          <w:rFonts w:ascii="Arial" w:hAnsi="Arial" w:cs="Arial"/>
          <w:iCs/>
        </w:rPr>
      </w:pPr>
      <w:r w:rsidRPr="00256562">
        <w:rPr>
          <w:rFonts w:ascii="Arial" w:hAnsi="Arial" w:cs="Arial"/>
          <w:iCs/>
        </w:rPr>
        <w:t>c.</w:t>
      </w:r>
      <w:r w:rsidRPr="00256562">
        <w:rPr>
          <w:rFonts w:ascii="Arial" w:hAnsi="Arial" w:cs="Arial"/>
          <w:iCs/>
        </w:rPr>
        <w:tab/>
        <w:t>Current period expenditure</w:t>
      </w:r>
    </w:p>
    <w:p w14:paraId="65CA87F7" w14:textId="60214634" w:rsidR="00256562" w:rsidRPr="00256562" w:rsidRDefault="00256562" w:rsidP="00280B66">
      <w:pPr>
        <w:spacing w:after="240"/>
        <w:ind w:left="1440"/>
        <w:jc w:val="both"/>
        <w:rPr>
          <w:rFonts w:ascii="Arial" w:hAnsi="Arial" w:cs="Arial"/>
          <w:iCs/>
        </w:rPr>
      </w:pPr>
      <w:r w:rsidRPr="00256562">
        <w:rPr>
          <w:rFonts w:ascii="Arial" w:hAnsi="Arial" w:cs="Arial"/>
          <w:iCs/>
        </w:rPr>
        <w:t>d.</w:t>
      </w:r>
      <w:r w:rsidRPr="00256562">
        <w:rPr>
          <w:rFonts w:ascii="Arial" w:hAnsi="Arial" w:cs="Arial"/>
          <w:iCs/>
        </w:rPr>
        <w:tab/>
        <w:t>Cumulative expenditure</w:t>
      </w:r>
    </w:p>
    <w:p w14:paraId="0DF39842" w14:textId="0E66B411" w:rsidR="00256562" w:rsidRPr="00256562" w:rsidRDefault="00256562" w:rsidP="003E6341">
      <w:pPr>
        <w:spacing w:after="240"/>
        <w:ind w:left="1440"/>
        <w:jc w:val="both"/>
        <w:rPr>
          <w:rFonts w:ascii="Arial" w:hAnsi="Arial" w:cs="Arial"/>
          <w:iCs/>
        </w:rPr>
      </w:pPr>
      <w:r w:rsidRPr="00256562">
        <w:rPr>
          <w:rFonts w:ascii="Arial" w:hAnsi="Arial" w:cs="Arial"/>
          <w:iCs/>
        </w:rPr>
        <w:t xml:space="preserve">Revenue loss calculation validation – Note-Recipients may elect a “standard allowance” of up to $10 million to spend on government services through the period of performance instead of using the full formula specified in the final rule. The standard allowance is available to all recipients. See page 30 for when recipients may modify their revenue loss election. Quantifiable Objective Criteria: Recipient’s application of the revenue loss calculation is accurate if they did not elect the standard allowance. Specific information regarding the revenue loss formula can be found in </w:t>
      </w:r>
      <w:hyperlink r:id="rId114" w:anchor="p-35.6(d)(2)" w:history="1">
        <w:r w:rsidRPr="00280B66">
          <w:rPr>
            <w:rStyle w:val="Hyperlink"/>
            <w:rFonts w:cs="Arial"/>
            <w:iCs/>
          </w:rPr>
          <w:t>paragraph (d)(2) of 31 CFR § 35.6</w:t>
        </w:r>
      </w:hyperlink>
      <w:r w:rsidRPr="00256562">
        <w:rPr>
          <w:rFonts w:ascii="Arial" w:hAnsi="Arial" w:cs="Arial"/>
          <w:iCs/>
        </w:rPr>
        <w:t>.</w:t>
      </w:r>
    </w:p>
    <w:p w14:paraId="5587738A" w14:textId="1CC3DC4E" w:rsidR="00256562" w:rsidRPr="00256562" w:rsidRDefault="00256562" w:rsidP="003E6341">
      <w:pPr>
        <w:spacing w:after="240"/>
        <w:ind w:left="1440" w:hanging="720"/>
        <w:jc w:val="both"/>
        <w:rPr>
          <w:rFonts w:ascii="Arial" w:hAnsi="Arial" w:cs="Arial"/>
          <w:iCs/>
        </w:rPr>
      </w:pPr>
      <w:r w:rsidRPr="00256562">
        <w:rPr>
          <w:rFonts w:ascii="Arial" w:hAnsi="Arial" w:cs="Arial"/>
          <w:iCs/>
        </w:rPr>
        <w:t>2.</w:t>
      </w:r>
      <w:r w:rsidRPr="00256562">
        <w:rPr>
          <w:rFonts w:ascii="Arial" w:hAnsi="Arial" w:cs="Arial"/>
          <w:iCs/>
        </w:rPr>
        <w:tab/>
        <w:t>Capital Expenditures- Quantifiable Objective Criteria: The recipient has the required written justification in their grant file if the total of the capital expenditures costs for a project within the public health and negative economic impact eligible use category described in the 2022 Final Rule is greater than or equal to $1 million and less than $10 million; or, the recipient submitted the required justification to Treasury if (1) a project has total capital expenditures costs greater than $10 million for capital expenditures enumerated by Treasury in the 2022 Final Rule; or (2) the total of a project’s capital expenditures costs is greater than $1 million for capital expenditures not enumerated by Treasury in the 2022 Final Rule. The recipient has submitted the required written justification to Treasury if the total of the capital expenditure costs for a project that is a mitigation activity within the emergency relief from natural disasters eligible use</w:t>
      </w:r>
      <w:r w:rsidR="003E6341">
        <w:rPr>
          <w:rFonts w:ascii="Arial" w:hAnsi="Arial" w:cs="Arial"/>
          <w:iCs/>
        </w:rPr>
        <w:t xml:space="preserve"> </w:t>
      </w:r>
      <w:r w:rsidRPr="00256562">
        <w:rPr>
          <w:rFonts w:ascii="Arial" w:hAnsi="Arial" w:cs="Arial"/>
          <w:iCs/>
        </w:rPr>
        <w:t>category described in the 2023 interim final rule is greater than $1 million. Note: Capital expenditures paid for using revenue replacement funds are not subject to this requirement. Tribal governments are not required to complete the written justification. (</w:t>
      </w:r>
      <w:hyperlink r:id="rId115" w:history="1">
        <w:r w:rsidRPr="003E6341">
          <w:rPr>
            <w:rStyle w:val="Hyperlink"/>
            <w:rFonts w:cs="Arial"/>
            <w:iCs/>
          </w:rPr>
          <w:t>See 31 CFR section 35.6(b)(4)</w:t>
        </w:r>
      </w:hyperlink>
      <w:r w:rsidRPr="00256562">
        <w:rPr>
          <w:rFonts w:ascii="Arial" w:hAnsi="Arial" w:cs="Arial"/>
          <w:iCs/>
        </w:rPr>
        <w:t>)</w:t>
      </w:r>
    </w:p>
    <w:p w14:paraId="22946FBD" w14:textId="1F12F0A7" w:rsidR="00256562" w:rsidRPr="00256562" w:rsidRDefault="00256562" w:rsidP="00256562">
      <w:pPr>
        <w:spacing w:after="240"/>
        <w:jc w:val="both"/>
        <w:rPr>
          <w:rFonts w:ascii="Arial" w:hAnsi="Arial" w:cs="Arial"/>
          <w:iCs/>
        </w:rPr>
      </w:pPr>
      <w:r w:rsidRPr="003E6341">
        <w:rPr>
          <w:rFonts w:ascii="Arial" w:hAnsi="Arial" w:cs="Arial"/>
          <w:b/>
          <w:bCs/>
          <w:iCs/>
        </w:rPr>
        <w:lastRenderedPageBreak/>
        <w:t>3.</w:t>
      </w:r>
      <w:r w:rsidRPr="003E6341">
        <w:rPr>
          <w:rFonts w:ascii="Arial" w:hAnsi="Arial" w:cs="Arial"/>
          <w:b/>
          <w:bCs/>
          <w:iCs/>
        </w:rPr>
        <w:tab/>
        <w:t>Special Reporting</w:t>
      </w:r>
      <w:r w:rsidR="00280B66">
        <w:rPr>
          <w:rFonts w:ascii="Arial" w:hAnsi="Arial" w:cs="Arial"/>
          <w:iCs/>
        </w:rPr>
        <w:t xml:space="preserve"> </w:t>
      </w:r>
      <w:r w:rsidR="003E6341">
        <w:rPr>
          <w:rFonts w:ascii="Arial" w:hAnsi="Arial" w:cs="Arial"/>
          <w:iCs/>
        </w:rPr>
        <w:t>– Not Applicable</w:t>
      </w:r>
    </w:p>
    <w:p w14:paraId="183EA326" w14:textId="6FCFA4D4" w:rsidR="00256562" w:rsidRPr="00256562" w:rsidRDefault="00256562" w:rsidP="003E6341">
      <w:pPr>
        <w:spacing w:after="240"/>
        <w:ind w:left="720" w:hanging="720"/>
        <w:jc w:val="both"/>
        <w:rPr>
          <w:rFonts w:ascii="Arial" w:hAnsi="Arial" w:cs="Arial"/>
          <w:iCs/>
        </w:rPr>
      </w:pPr>
      <w:r w:rsidRPr="003E6341">
        <w:rPr>
          <w:rFonts w:ascii="Arial" w:hAnsi="Arial" w:cs="Arial"/>
          <w:b/>
          <w:bCs/>
          <w:iCs/>
        </w:rPr>
        <w:t>4.</w:t>
      </w:r>
      <w:r w:rsidRPr="003E6341">
        <w:rPr>
          <w:rFonts w:ascii="Arial" w:hAnsi="Arial" w:cs="Arial"/>
          <w:b/>
          <w:bCs/>
          <w:iCs/>
        </w:rPr>
        <w:tab/>
        <w:t>Special Reporting for Federal Funding Accountability and Transparency Act (FFATA)</w:t>
      </w:r>
      <w:r w:rsidR="003E6341">
        <w:rPr>
          <w:rFonts w:ascii="Arial" w:hAnsi="Arial" w:cs="Arial"/>
          <w:iCs/>
        </w:rPr>
        <w:t xml:space="preserve"> – Not Applicable</w:t>
      </w:r>
    </w:p>
    <w:p w14:paraId="1206D3C9" w14:textId="6461B319" w:rsidR="00256562" w:rsidRPr="00256562" w:rsidRDefault="00256562" w:rsidP="003E6341">
      <w:pPr>
        <w:spacing w:after="240"/>
        <w:ind w:left="1440" w:hanging="720"/>
        <w:jc w:val="both"/>
        <w:rPr>
          <w:rFonts w:ascii="Arial" w:hAnsi="Arial" w:cs="Arial"/>
          <w:iCs/>
        </w:rPr>
      </w:pPr>
      <w:r w:rsidRPr="00256562">
        <w:rPr>
          <w:rFonts w:ascii="Arial" w:hAnsi="Arial" w:cs="Arial"/>
          <w:iCs/>
        </w:rPr>
        <w:t>a.</w:t>
      </w:r>
      <w:r w:rsidRPr="00256562">
        <w:rPr>
          <w:rFonts w:ascii="Arial" w:hAnsi="Arial" w:cs="Arial"/>
          <w:iCs/>
        </w:rPr>
        <w:tab/>
        <w:t>Treasury received approval from the Office of Management and Budget (OMB) to increase the subaward reporting threshold outlined in 2 CFR Part 170 from $30,000 to $50,000 for CSLFRF.</w:t>
      </w:r>
    </w:p>
    <w:p w14:paraId="72D6BB32" w14:textId="2AF78676" w:rsidR="00256562" w:rsidRPr="00256562" w:rsidRDefault="00256562" w:rsidP="003E6341">
      <w:pPr>
        <w:spacing w:after="240"/>
        <w:ind w:left="1440" w:hanging="720"/>
        <w:jc w:val="both"/>
        <w:rPr>
          <w:rFonts w:ascii="Arial" w:hAnsi="Arial" w:cs="Arial"/>
          <w:iCs/>
        </w:rPr>
      </w:pPr>
      <w:r w:rsidRPr="00256562">
        <w:rPr>
          <w:rFonts w:ascii="Arial" w:hAnsi="Arial" w:cs="Arial"/>
          <w:iCs/>
        </w:rPr>
        <w:t>b.</w:t>
      </w:r>
      <w:r w:rsidRPr="00256562">
        <w:rPr>
          <w:rFonts w:ascii="Arial" w:hAnsi="Arial" w:cs="Arial"/>
          <w:iCs/>
        </w:rPr>
        <w:tab/>
        <w:t>Although reporting on subaward information is applicable to SLFRF recipients pursuant to the award term set forth in Appendix A to 2 CFR Part 170, which is incorporated by reference in the SLFRF Financial Assistance Agreement, SLFRF recipients’ compliance with FFATA reporting requirements is not subject to audit.</w:t>
      </w:r>
    </w:p>
    <w:p w14:paraId="2C2442AA" w14:textId="223F5619" w:rsidR="00256562" w:rsidRPr="00256562" w:rsidRDefault="00256562" w:rsidP="00D74E6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5979A865" w14:textId="77777777" w:rsidR="00703F98" w:rsidRPr="000706D1" w:rsidRDefault="00703F98" w:rsidP="006672EA">
      <w:pPr>
        <w:pStyle w:val="Heading3"/>
        <w:jc w:val="both"/>
        <w:rPr>
          <w:rFonts w:cs="Arial"/>
          <w:sz w:val="24"/>
          <w:szCs w:val="24"/>
        </w:rPr>
      </w:pPr>
      <w:bookmarkStart w:id="80" w:name="_Toc177630963"/>
      <w:r w:rsidRPr="000706D1">
        <w:rPr>
          <w:rFonts w:cs="Arial"/>
          <w:sz w:val="24"/>
          <w:szCs w:val="24"/>
        </w:rPr>
        <w:t>Additional Program Specific Information</w:t>
      </w:r>
      <w:bookmarkEnd w:id="80"/>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6B8088" w14:textId="354E7AC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0E59B531" w14:textId="2166DFEF" w:rsidR="0007083A" w:rsidRDefault="0007083A" w:rsidP="0007083A">
      <w:pPr>
        <w:spacing w:after="240"/>
        <w:jc w:val="both"/>
        <w:rPr>
          <w:rFonts w:ascii="Arial" w:hAnsi="Arial" w:cs="Arial"/>
          <w:bCs/>
          <w:i/>
          <w:iCs/>
          <w:color w:val="002060"/>
        </w:rPr>
      </w:pPr>
      <w:r>
        <w:rPr>
          <w:rFonts w:ascii="Arial" w:hAnsi="Arial" w:cs="Arial"/>
          <w:bCs/>
          <w:i/>
          <w:iCs/>
          <w:color w:val="002060"/>
        </w:rPr>
        <w:t xml:space="preserve">Treasury’s Compliance and Reporting Guidance provides key information regarding reporting frequency by recipient type and required report content. </w:t>
      </w:r>
    </w:p>
    <w:p w14:paraId="606588A1" w14:textId="4F65C595" w:rsidR="0007083A" w:rsidRDefault="0007083A" w:rsidP="0007083A">
      <w:pPr>
        <w:spacing w:after="240"/>
        <w:jc w:val="both"/>
        <w:rPr>
          <w:rFonts w:ascii="Arial" w:hAnsi="Arial" w:cs="Arial"/>
          <w:bCs/>
          <w:i/>
          <w:iCs/>
          <w:color w:val="002060"/>
        </w:rPr>
      </w:pPr>
      <w:r>
        <w:rPr>
          <w:rFonts w:ascii="Arial" w:hAnsi="Arial" w:cs="Arial"/>
          <w:bCs/>
          <w:i/>
          <w:iCs/>
          <w:color w:val="002060"/>
        </w:rPr>
        <w:t>Annual Project and Expenditure Report Timeline:</w:t>
      </w:r>
    </w:p>
    <w:p w14:paraId="621DBBE0" w14:textId="6668DCDE" w:rsidR="0007083A" w:rsidRDefault="0007083A" w:rsidP="0007083A">
      <w:pPr>
        <w:spacing w:after="240"/>
        <w:jc w:val="center"/>
        <w:rPr>
          <w:rFonts w:ascii="Arial" w:hAnsi="Arial" w:cs="Arial"/>
          <w:bCs/>
          <w:i/>
          <w:iCs/>
          <w:color w:val="002060"/>
        </w:rPr>
      </w:pPr>
      <w:r>
        <w:rPr>
          <w:noProof/>
        </w:rPr>
        <w:drawing>
          <wp:inline distT="0" distB="0" distL="0" distR="0" wp14:anchorId="5FEE0E02" wp14:editId="7C7FFBC3">
            <wp:extent cx="5224007" cy="1266933"/>
            <wp:effectExtent l="0" t="0" r="0" b="0"/>
            <wp:docPr id="2064801858"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01858" name="Picture 1" descr="Table&#10;&#10;Description automatically generated"/>
                    <pic:cNvPicPr/>
                  </pic:nvPicPr>
                  <pic:blipFill>
                    <a:blip r:embed="rId116"/>
                    <a:stretch>
                      <a:fillRect/>
                    </a:stretch>
                  </pic:blipFill>
                  <pic:spPr>
                    <a:xfrm>
                      <a:off x="0" y="0"/>
                      <a:ext cx="5246395" cy="1272363"/>
                    </a:xfrm>
                    <a:prstGeom prst="rect">
                      <a:avLst/>
                    </a:prstGeom>
                  </pic:spPr>
                </pic:pic>
              </a:graphicData>
            </a:graphic>
          </wp:inline>
        </w:drawing>
      </w:r>
    </w:p>
    <w:p w14:paraId="7B126EFF" w14:textId="77777777" w:rsidR="0007083A" w:rsidRDefault="0007083A" w:rsidP="00CD5DC7">
      <w:pPr>
        <w:spacing w:after="240"/>
        <w:jc w:val="both"/>
        <w:rPr>
          <w:rFonts w:ascii="Arial" w:hAnsi="Arial" w:cs="Arial"/>
          <w:bCs/>
          <w:i/>
          <w:iCs/>
          <w:color w:val="002060"/>
        </w:rPr>
      </w:pPr>
    </w:p>
    <w:p w14:paraId="1BF743A0" w14:textId="77777777" w:rsidR="0007083A" w:rsidRDefault="0007083A" w:rsidP="00CD5DC7">
      <w:pPr>
        <w:spacing w:after="240"/>
        <w:jc w:val="both"/>
        <w:rPr>
          <w:rFonts w:ascii="Arial" w:hAnsi="Arial" w:cs="Arial"/>
          <w:bCs/>
          <w:i/>
          <w:iCs/>
          <w:color w:val="002060"/>
        </w:rPr>
      </w:pPr>
    </w:p>
    <w:p w14:paraId="1CE89334" w14:textId="77777777" w:rsidR="0007083A" w:rsidRDefault="0007083A" w:rsidP="00CD5DC7">
      <w:pPr>
        <w:spacing w:after="240"/>
        <w:jc w:val="both"/>
        <w:rPr>
          <w:rFonts w:ascii="Arial" w:hAnsi="Arial" w:cs="Arial"/>
          <w:bCs/>
          <w:i/>
          <w:iCs/>
          <w:color w:val="002060"/>
        </w:rPr>
      </w:pPr>
    </w:p>
    <w:p w14:paraId="2A79FEC3" w14:textId="77777777" w:rsidR="0007083A" w:rsidRDefault="0007083A" w:rsidP="00CD5DC7">
      <w:pPr>
        <w:spacing w:after="240"/>
        <w:jc w:val="both"/>
        <w:rPr>
          <w:rFonts w:ascii="Arial" w:hAnsi="Arial" w:cs="Arial"/>
          <w:bCs/>
          <w:i/>
          <w:iCs/>
          <w:color w:val="002060"/>
        </w:rPr>
      </w:pPr>
    </w:p>
    <w:p w14:paraId="290B7ECF" w14:textId="77777777" w:rsidR="0007083A" w:rsidRDefault="0007083A" w:rsidP="00CD5DC7">
      <w:pPr>
        <w:spacing w:after="240"/>
        <w:jc w:val="both"/>
        <w:rPr>
          <w:rFonts w:ascii="Arial" w:hAnsi="Arial" w:cs="Arial"/>
          <w:bCs/>
          <w:i/>
          <w:iCs/>
          <w:color w:val="002060"/>
        </w:rPr>
      </w:pPr>
    </w:p>
    <w:p w14:paraId="6E64100B" w14:textId="5BECDDF2" w:rsidR="0007083A" w:rsidRDefault="0007083A" w:rsidP="00CD5DC7">
      <w:pPr>
        <w:spacing w:after="240"/>
        <w:jc w:val="both"/>
        <w:rPr>
          <w:rFonts w:ascii="Arial" w:hAnsi="Arial" w:cs="Arial"/>
          <w:bCs/>
          <w:i/>
          <w:iCs/>
          <w:color w:val="002060"/>
        </w:rPr>
      </w:pPr>
      <w:r>
        <w:rPr>
          <w:rFonts w:ascii="Arial" w:hAnsi="Arial" w:cs="Arial"/>
          <w:bCs/>
          <w:i/>
          <w:iCs/>
          <w:color w:val="002060"/>
        </w:rPr>
        <w:lastRenderedPageBreak/>
        <w:t>Quarterly Project and Expenditure Report Timeline:</w:t>
      </w:r>
    </w:p>
    <w:p w14:paraId="438FC620" w14:textId="0081859E" w:rsidR="0007083A" w:rsidRDefault="0007083A" w:rsidP="0007083A">
      <w:pPr>
        <w:spacing w:after="240"/>
        <w:jc w:val="center"/>
        <w:rPr>
          <w:rFonts w:ascii="Arial" w:hAnsi="Arial" w:cs="Arial"/>
          <w:bCs/>
          <w:i/>
          <w:iCs/>
          <w:color w:val="002060"/>
        </w:rPr>
      </w:pPr>
      <w:r>
        <w:rPr>
          <w:noProof/>
        </w:rPr>
        <w:drawing>
          <wp:inline distT="0" distB="0" distL="0" distR="0" wp14:anchorId="03EFB2C7" wp14:editId="19C3D3F6">
            <wp:extent cx="5208104" cy="3591144"/>
            <wp:effectExtent l="0" t="0" r="0" b="0"/>
            <wp:docPr id="21427845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8451" name="Picture 1" descr="Table&#10;&#10;Description automatically generated"/>
                    <pic:cNvPicPr/>
                  </pic:nvPicPr>
                  <pic:blipFill>
                    <a:blip r:embed="rId117"/>
                    <a:stretch>
                      <a:fillRect/>
                    </a:stretch>
                  </pic:blipFill>
                  <pic:spPr>
                    <a:xfrm>
                      <a:off x="0" y="0"/>
                      <a:ext cx="5213209" cy="3594664"/>
                    </a:xfrm>
                    <a:prstGeom prst="rect">
                      <a:avLst/>
                    </a:prstGeom>
                  </pic:spPr>
                </pic:pic>
              </a:graphicData>
            </a:graphic>
          </wp:inline>
        </w:drawing>
      </w:r>
    </w:p>
    <w:p w14:paraId="69004E0B" w14:textId="67128C1F" w:rsidR="0007083A" w:rsidRPr="0007083A" w:rsidRDefault="0007083A" w:rsidP="0007083A">
      <w:pPr>
        <w:spacing w:after="240"/>
        <w:rPr>
          <w:rFonts w:ascii="Arial" w:hAnsi="Arial" w:cs="Arial"/>
          <w:bCs/>
          <w:i/>
          <w:iCs/>
          <w:color w:val="002060"/>
        </w:rPr>
      </w:pPr>
      <w:r>
        <w:rPr>
          <w:rFonts w:ascii="Arial" w:hAnsi="Arial" w:cs="Arial"/>
          <w:bCs/>
          <w:i/>
          <w:iCs/>
          <w:color w:val="002060"/>
        </w:rPr>
        <w:t xml:space="preserve">(Source: </w:t>
      </w:r>
      <w:hyperlink r:id="rId118" w:history="1">
        <w:r w:rsidRPr="0007083A">
          <w:rPr>
            <w:rStyle w:val="Hyperlink"/>
            <w:rFonts w:cs="Arial"/>
            <w:bCs/>
            <w:i/>
            <w:iCs/>
          </w:rPr>
          <w:t>Compliance and Reporting Guidance</w:t>
        </w:r>
      </w:hyperlink>
      <w:r>
        <w:rPr>
          <w:rFonts w:ascii="Arial" w:hAnsi="Arial" w:cs="Arial"/>
          <w:bCs/>
          <w:i/>
          <w:iCs/>
          <w:color w:val="002060"/>
        </w:rPr>
        <w:t>, US Department of Treasury)</w:t>
      </w:r>
    </w:p>
    <w:p w14:paraId="3289C082" w14:textId="77777777" w:rsidR="00F87F25" w:rsidRPr="000706D1" w:rsidRDefault="00A55B64" w:rsidP="006672EA">
      <w:pPr>
        <w:pStyle w:val="Heading3"/>
        <w:jc w:val="both"/>
        <w:rPr>
          <w:rFonts w:cs="Arial"/>
          <w:bCs/>
          <w:sz w:val="24"/>
          <w:szCs w:val="24"/>
        </w:rPr>
      </w:pPr>
      <w:bookmarkStart w:id="81" w:name="_Toc177630964"/>
      <w:r w:rsidRPr="000706D1">
        <w:rPr>
          <w:rFonts w:cs="Arial"/>
          <w:sz w:val="24"/>
          <w:szCs w:val="24"/>
        </w:rPr>
        <w:t>Audit Objectives</w:t>
      </w:r>
      <w:r w:rsidR="00F87F25" w:rsidRPr="000706D1">
        <w:rPr>
          <w:rFonts w:cs="Arial"/>
          <w:sz w:val="24"/>
          <w:szCs w:val="24"/>
        </w:rPr>
        <w:t xml:space="preserve"> and Control Testing</w:t>
      </w:r>
      <w:bookmarkEnd w:id="8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82" w:name="_Toc177630965"/>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8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E1B9F3" w14:textId="295CD972" w:rsidR="00B049FA" w:rsidRPr="00B049FA" w:rsidRDefault="00B049FA" w:rsidP="00AC7B25">
            <w:pPr>
              <w:spacing w:after="240"/>
              <w:jc w:val="both"/>
              <w:rPr>
                <w:rFonts w:ascii="Arial" w:hAnsi="Arial" w:cs="Arial"/>
                <w:bCs/>
                <w:i/>
                <w:iCs/>
                <w:color w:val="002060"/>
                <w:sz w:val="20"/>
                <w:szCs w:val="20"/>
              </w:rPr>
            </w:pPr>
            <w:r w:rsidRPr="00152373">
              <w:rPr>
                <w:rFonts w:ascii="Arial" w:hAnsi="Arial" w:cs="Arial"/>
                <w:bCs/>
                <w:i/>
                <w:iCs/>
                <w:color w:val="002060"/>
                <w:sz w:val="20"/>
                <w:szCs w:val="20"/>
              </w:rPr>
              <w:t xml:space="preserve">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Pr>
                <w:rFonts w:ascii="Arial" w:hAnsi="Arial" w:cs="Arial"/>
                <w:bCs/>
                <w:i/>
                <w:iCs/>
                <w:color w:val="002060"/>
                <w:sz w:val="20"/>
                <w:szCs w:val="20"/>
              </w:rPr>
              <w:t>SLFRF Testing Template</w:t>
            </w:r>
            <w:r w:rsidRPr="002B1229">
              <w:rPr>
                <w:rFonts w:ascii="Arial" w:hAnsi="Arial" w:cs="Arial"/>
                <w:bCs/>
                <w:i/>
                <w:iCs/>
                <w:color w:val="002060"/>
                <w:sz w:val="20"/>
                <w:szCs w:val="20"/>
              </w:rPr>
              <w:t xml:space="preserve"> available on the Intranet</w:t>
            </w:r>
            <w:r>
              <w:rPr>
                <w:rFonts w:ascii="Arial" w:hAnsi="Arial" w:cs="Arial"/>
                <w:bCs/>
                <w:i/>
                <w:iCs/>
                <w:color w:val="002060"/>
                <w:sz w:val="20"/>
                <w:szCs w:val="20"/>
              </w:rPr>
              <w:t xml:space="preserve"> (AOS Auditors) and Internet (IPAs). </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lastRenderedPageBreak/>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61FEA123"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r w:rsidR="003E6341">
              <w:rPr>
                <w:rFonts w:ascii="Arial" w:hAnsi="Arial" w:cs="Arial"/>
                <w:i/>
                <w:sz w:val="20"/>
              </w:rPr>
              <w:t xml:space="preserve"> – </w:t>
            </w:r>
            <w:r w:rsidR="003E6341" w:rsidRPr="003E6341">
              <w:rPr>
                <w:rFonts w:ascii="Arial" w:hAnsi="Arial" w:cs="Arial"/>
                <w:b/>
                <w:bCs/>
                <w:i/>
                <w:sz w:val="20"/>
              </w:rPr>
              <w:t>Not Applicable</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59DFBE2" w:rsidR="00FB3B37" w:rsidRPr="00F00D94" w:rsidRDefault="00B049FA"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Pr>
                <w:rFonts w:ascii="Arial" w:hAnsi="Arial" w:cs="Arial"/>
                <w:sz w:val="20"/>
              </w:rPr>
              <w:t>*</w:t>
            </w:r>
            <w:r w:rsidR="00FB3B37" w:rsidRPr="00F00D94">
              <w:rPr>
                <w:rFonts w:ascii="Arial" w:hAnsi="Arial" w:cs="Arial"/>
                <w:sz w:val="20"/>
              </w:rPr>
              <w:t>(1)</w:t>
            </w:r>
            <w:r w:rsidR="00FB3B37"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00FB3B37" w:rsidRPr="00F00D94">
              <w:rPr>
                <w:rFonts w:ascii="Arial" w:hAnsi="Arial" w:cs="Arial"/>
                <w:sz w:val="20"/>
              </w:rPr>
              <w:t>applicable data elements were included in the sampled reports.  Trace the reported data to records that accumulate and summarize data.</w:t>
            </w:r>
          </w:p>
          <w:p w14:paraId="6AF8CE85" w14:textId="569ABA39" w:rsidR="00FB3B37" w:rsidRPr="00F00D94" w:rsidRDefault="00B049FA"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Pr>
                <w:rFonts w:ascii="Arial" w:hAnsi="Arial" w:cs="Arial"/>
                <w:sz w:val="20"/>
              </w:rPr>
              <w:t>*</w:t>
            </w:r>
            <w:r w:rsidR="00FB3B37" w:rsidRPr="00F00D94">
              <w:rPr>
                <w:rFonts w:ascii="Arial" w:hAnsi="Arial" w:cs="Arial"/>
                <w:sz w:val="20"/>
              </w:rPr>
              <w:t>(2)</w:t>
            </w:r>
            <w:r w:rsidR="00FB3B37"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546B4FE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3E6341">
              <w:rPr>
                <w:rFonts w:ascii="Arial" w:hAnsi="Arial" w:cs="Arial"/>
                <w:i/>
                <w:iCs/>
                <w:color w:val="002060"/>
                <w:sz w:val="20"/>
              </w:rPr>
              <w:t xml:space="preserve"> – </w:t>
            </w:r>
            <w:r w:rsidR="003E6341" w:rsidRPr="003E6341">
              <w:rPr>
                <w:rFonts w:ascii="Arial" w:hAnsi="Arial" w:cs="Arial"/>
                <w:b/>
                <w:bCs/>
                <w:i/>
                <w:iCs/>
                <w:sz w:val="20"/>
              </w:rPr>
              <w:t>Not Applicable</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83" w:name="_Toc177630966"/>
      <w:r w:rsidRPr="000706D1">
        <w:rPr>
          <w:rFonts w:cs="Arial"/>
          <w:sz w:val="24"/>
          <w:szCs w:val="24"/>
        </w:rPr>
        <w:t>Audit Implications Summary</w:t>
      </w:r>
      <w:bookmarkEnd w:id="8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1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lastRenderedPageBreak/>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20"/>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84" w:name="M___SUBRECIPIENT_MONITORING__"/>
      <w:bookmarkStart w:id="85" w:name="_Toc442267702"/>
      <w:bookmarkStart w:id="86" w:name="_Toc177630967"/>
      <w:bookmarkEnd w:id="84"/>
      <w:r w:rsidRPr="000706D1">
        <w:rPr>
          <w:rFonts w:cs="Arial"/>
          <w:sz w:val="24"/>
        </w:rPr>
        <w:lastRenderedPageBreak/>
        <w:t>M.  SUBRECIPIENT MONITORING</w:t>
      </w:r>
      <w:bookmarkEnd w:id="85"/>
      <w:bookmarkEnd w:id="86"/>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87" w:name="_Toc177630968"/>
      <w:r w:rsidRPr="000706D1">
        <w:rPr>
          <w:rFonts w:cs="Arial"/>
          <w:sz w:val="24"/>
          <w:szCs w:val="24"/>
        </w:rPr>
        <w:t xml:space="preserve">OMB </w:t>
      </w:r>
      <w:r w:rsidR="00B57D2E" w:rsidRPr="000706D1">
        <w:rPr>
          <w:rFonts w:cs="Arial"/>
          <w:sz w:val="24"/>
          <w:szCs w:val="24"/>
        </w:rPr>
        <w:t>Compliance Requirements</w:t>
      </w:r>
      <w:bookmarkEnd w:id="87"/>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t>
      </w:r>
      <w:proofErr w:type="gramStart"/>
      <w:r w:rsidRPr="00F00D94">
        <w:rPr>
          <w:rFonts w:ascii="Arial" w:hAnsi="Arial" w:cs="Arial"/>
        </w:rPr>
        <w:t xml:space="preserve">whether or </w:t>
      </w:r>
      <w:r w:rsidR="0005172C" w:rsidRPr="00F00D94">
        <w:rPr>
          <w:rFonts w:ascii="Arial" w:hAnsi="Arial" w:cs="Arial"/>
        </w:rPr>
        <w:t>not</w:t>
      </w:r>
      <w:proofErr w:type="gramEnd"/>
      <w:r w:rsidR="0005172C" w:rsidRPr="00F00D94">
        <w:rPr>
          <w:rFonts w:ascii="Arial" w:hAnsi="Arial" w:cs="Arial"/>
        </w:rPr>
        <w:t xml:space="preserve">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ABC5E33" w14:textId="1DC2B4D2" w:rsidR="003E6341" w:rsidRPr="003E6341" w:rsidRDefault="003E6341" w:rsidP="003E6341">
      <w:pPr>
        <w:spacing w:after="240"/>
        <w:jc w:val="both"/>
        <w:rPr>
          <w:rFonts w:ascii="Arial" w:hAnsi="Arial" w:cs="Arial"/>
          <w:bCs/>
        </w:rPr>
      </w:pPr>
      <w:r w:rsidRPr="003E6341">
        <w:rPr>
          <w:rFonts w:ascii="Arial" w:hAnsi="Arial" w:cs="Arial"/>
          <w:bCs/>
        </w:rPr>
        <w:t>See Part 3, Section M, “Subrecipient Monitoring” for a general description of the compliance requirements, the related audit objectives, and suggested audit procedures. Note that subrecipient monitoring is not required for entities deemed to be beneficiaries. Because NEUs are considered by Treasury to be direct recipients of SLFRF (and not subrecipients or beneficiaries), states have no subrecipient monitoring responsibilities related to the funds distributed to NEUs.</w:t>
      </w:r>
    </w:p>
    <w:p w14:paraId="3C6A28E2" w14:textId="14843865" w:rsidR="003E6341" w:rsidRPr="003E6341" w:rsidRDefault="003E6341" w:rsidP="003E6341">
      <w:pPr>
        <w:spacing w:after="240"/>
        <w:jc w:val="both"/>
        <w:rPr>
          <w:rFonts w:ascii="Arial" w:hAnsi="Arial" w:cs="Arial"/>
          <w:bCs/>
        </w:rPr>
      </w:pPr>
      <w:r w:rsidRPr="003E6341">
        <w:rPr>
          <w:rFonts w:ascii="Arial" w:hAnsi="Arial" w:cs="Arial"/>
          <w:bCs/>
        </w:rPr>
        <w:t xml:space="preserve">Subrecipient monitoring is required by pass-through entities for all SLFRF funded projects. For broadband infrastructure investment projects, auditors should refer to Treasury’s </w:t>
      </w:r>
      <w:hyperlink r:id="rId121" w:history="1">
        <w:r w:rsidRPr="003E6341">
          <w:rPr>
            <w:rStyle w:val="Hyperlink"/>
            <w:rFonts w:cs="Arial"/>
            <w:bCs/>
          </w:rPr>
          <w:t>SLFRF and CPF Supplementary Broadband Guidance</w:t>
        </w:r>
      </w:hyperlink>
      <w:r w:rsidRPr="003E6341">
        <w:rPr>
          <w:rFonts w:ascii="Arial" w:hAnsi="Arial" w:cs="Arial"/>
          <w:bCs/>
        </w:rPr>
        <w:t xml:space="preserve"> for special applicability considerations of the following 2 CFR 200 requirements to ISP subrecipients implementing broadband projects:</w:t>
      </w:r>
    </w:p>
    <w:p w14:paraId="4FAF39B9" w14:textId="77777777" w:rsidR="003E6341" w:rsidRPr="003E6341" w:rsidRDefault="003E6341" w:rsidP="003E6341">
      <w:pPr>
        <w:spacing w:after="240"/>
        <w:jc w:val="both"/>
        <w:rPr>
          <w:rFonts w:ascii="Arial" w:hAnsi="Arial" w:cs="Arial"/>
          <w:bCs/>
        </w:rPr>
      </w:pPr>
      <w:r w:rsidRPr="003E6341">
        <w:rPr>
          <w:rFonts w:ascii="Arial" w:hAnsi="Arial" w:cs="Arial"/>
          <w:bCs/>
        </w:rPr>
        <w:t>•</w:t>
      </w:r>
      <w:r w:rsidRPr="003E6341">
        <w:rPr>
          <w:rFonts w:ascii="Arial" w:hAnsi="Arial" w:cs="Arial"/>
          <w:bCs/>
        </w:rPr>
        <w:tab/>
        <w:t>Program income</w:t>
      </w:r>
    </w:p>
    <w:p w14:paraId="10463CF6" w14:textId="77777777" w:rsidR="003E6341" w:rsidRPr="003E6341" w:rsidRDefault="003E6341" w:rsidP="003E6341">
      <w:pPr>
        <w:spacing w:after="240"/>
        <w:jc w:val="both"/>
        <w:rPr>
          <w:rFonts w:ascii="Arial" w:hAnsi="Arial" w:cs="Arial"/>
          <w:bCs/>
        </w:rPr>
      </w:pPr>
      <w:r w:rsidRPr="003E6341">
        <w:rPr>
          <w:rFonts w:ascii="Arial" w:hAnsi="Arial" w:cs="Arial"/>
          <w:bCs/>
        </w:rPr>
        <w:t>•</w:t>
      </w:r>
      <w:r w:rsidRPr="003E6341">
        <w:rPr>
          <w:rFonts w:ascii="Arial" w:hAnsi="Arial" w:cs="Arial"/>
          <w:bCs/>
        </w:rPr>
        <w:tab/>
        <w:t>Cost principles, procurement practices and fixed amount subawards</w:t>
      </w:r>
    </w:p>
    <w:p w14:paraId="719D592B" w14:textId="77777777" w:rsidR="003E6341" w:rsidRPr="003E6341" w:rsidRDefault="003E6341" w:rsidP="003E6341">
      <w:pPr>
        <w:spacing w:after="240"/>
        <w:jc w:val="both"/>
        <w:rPr>
          <w:rFonts w:ascii="Arial" w:hAnsi="Arial" w:cs="Arial"/>
          <w:bCs/>
        </w:rPr>
      </w:pPr>
      <w:r w:rsidRPr="003E6341">
        <w:rPr>
          <w:rFonts w:ascii="Arial" w:hAnsi="Arial" w:cs="Arial"/>
          <w:bCs/>
        </w:rPr>
        <w:t>•</w:t>
      </w:r>
      <w:r w:rsidRPr="003E6341">
        <w:rPr>
          <w:rFonts w:ascii="Arial" w:hAnsi="Arial" w:cs="Arial"/>
          <w:bCs/>
        </w:rPr>
        <w:tab/>
        <w:t>Ownership of Infrastructure</w:t>
      </w:r>
    </w:p>
    <w:p w14:paraId="199BA5E7" w14:textId="32D6C528" w:rsidR="003E6341" w:rsidRPr="003E6341" w:rsidRDefault="003E6341" w:rsidP="003E6341">
      <w:pPr>
        <w:spacing w:after="240"/>
        <w:jc w:val="both"/>
        <w:rPr>
          <w:rFonts w:ascii="Arial" w:hAnsi="Arial" w:cs="Arial"/>
          <w:bCs/>
        </w:rPr>
      </w:pPr>
      <w:r w:rsidRPr="003E6341">
        <w:rPr>
          <w:rFonts w:ascii="Arial" w:hAnsi="Arial" w:cs="Arial"/>
          <w:bCs/>
        </w:rPr>
        <w:t>•</w:t>
      </w:r>
      <w:r w:rsidRPr="003E6341">
        <w:rPr>
          <w:rFonts w:ascii="Arial" w:hAnsi="Arial" w:cs="Arial"/>
          <w:bCs/>
        </w:rPr>
        <w:tab/>
        <w:t>Audit and monitoring requirements</w:t>
      </w:r>
    </w:p>
    <w:p w14:paraId="36C30AC4" w14:textId="6BA16D46" w:rsidR="003E6341" w:rsidRPr="003E6341" w:rsidRDefault="003E6341" w:rsidP="003E6341">
      <w:pPr>
        <w:spacing w:after="240"/>
        <w:jc w:val="both"/>
        <w:rPr>
          <w:rFonts w:ascii="Arial" w:hAnsi="Arial" w:cs="Arial"/>
          <w:bCs/>
        </w:rPr>
      </w:pPr>
      <w:r w:rsidRPr="003E6341">
        <w:rPr>
          <w:rFonts w:ascii="Arial" w:hAnsi="Arial" w:cs="Arial"/>
          <w:bCs/>
        </w:rPr>
        <w:t>The subrecipient or beneficiary designation is an important distinction as funding provided to beneficiaries is not subject to audit pursuant to the Single Audit Act and 2 CFR Part 200, Subpart F, but funding provided to subrecipients is subject to those audit</w:t>
      </w:r>
      <w:r>
        <w:rPr>
          <w:rFonts w:ascii="Arial" w:hAnsi="Arial" w:cs="Arial"/>
          <w:bCs/>
        </w:rPr>
        <w:t xml:space="preserve"> </w:t>
      </w:r>
      <w:r w:rsidRPr="003E6341">
        <w:rPr>
          <w:rFonts w:ascii="Arial" w:hAnsi="Arial" w:cs="Arial"/>
          <w:bCs/>
        </w:rPr>
        <w:t>requirements. For example, when recipients of SLFRF provide award funds to entities to respond to the negative economic impacts of COVID-19 as end users, and not for the purpose of carrying out program requirements, the entities receiving such funding are beneficiaries of SLFRF. Alternatively, when recipients of SLFRF provide award funds to an entity to carry out a program on behalf of the SLFRF recipient, the entities receiving such funding are subrecipients.</w:t>
      </w:r>
    </w:p>
    <w:p w14:paraId="272E28D7" w14:textId="4218A496" w:rsidR="003E6341" w:rsidRPr="003E6341" w:rsidRDefault="003E6341" w:rsidP="003E6341">
      <w:pPr>
        <w:spacing w:after="240"/>
        <w:jc w:val="both"/>
        <w:rPr>
          <w:rFonts w:ascii="Arial" w:hAnsi="Arial" w:cs="Arial"/>
          <w:bCs/>
        </w:rPr>
      </w:pPr>
      <w:r w:rsidRPr="003E6341">
        <w:rPr>
          <w:rFonts w:ascii="Arial" w:hAnsi="Arial" w:cs="Arial"/>
          <w:bCs/>
        </w:rPr>
        <w:t>Recipients may permit for-profit subrecipients to submit a consolidated audit that reflects their SLFRF expenditures across subawards and programs.</w:t>
      </w:r>
    </w:p>
    <w:p w14:paraId="5640F419" w14:textId="657DCB00" w:rsidR="003E6341" w:rsidRPr="003E6341" w:rsidRDefault="003E6341" w:rsidP="003E6341">
      <w:pPr>
        <w:spacing w:after="240"/>
        <w:jc w:val="both"/>
        <w:rPr>
          <w:rFonts w:ascii="Arial" w:hAnsi="Arial" w:cs="Arial"/>
          <w:bCs/>
        </w:rPr>
      </w:pPr>
      <w:r w:rsidRPr="003E6341">
        <w:rPr>
          <w:rFonts w:ascii="Arial" w:hAnsi="Arial" w:cs="Arial"/>
          <w:bCs/>
        </w:rPr>
        <w:t xml:space="preserve">Also as discussed in </w:t>
      </w:r>
      <w:hyperlink r:id="rId122" w:history="1">
        <w:r w:rsidRPr="003E6341">
          <w:rPr>
            <w:rStyle w:val="Hyperlink"/>
            <w:rFonts w:cs="Arial"/>
            <w:bCs/>
          </w:rPr>
          <w:t>SLFRF FAQ 13.14</w:t>
        </w:r>
      </w:hyperlink>
      <w:r w:rsidRPr="003E6341">
        <w:rPr>
          <w:rFonts w:ascii="Arial" w:hAnsi="Arial" w:cs="Arial"/>
          <w:bCs/>
        </w:rPr>
        <w:t xml:space="preserve">, Treasury has determined that there are no subawards under the revenue loss eligible use category because a recipients’ use of revenue loss funds does not give rise to subrecipient relationships given that there is no federal program or purpose to carry out in the case of the revenue loss portion of the award. Therefore, subrecipient monitoring is not applicable to Expenditure Category Group 6 “Revenue Replacement.” However, projects undertaken via revenue loss do not lose their federal character. </w:t>
      </w:r>
      <w:hyperlink r:id="rId123" w:history="1">
        <w:r w:rsidRPr="003E6341">
          <w:rPr>
            <w:rStyle w:val="Hyperlink"/>
            <w:rFonts w:cs="Arial"/>
            <w:bCs/>
          </w:rPr>
          <w:t>FAQ 13.15</w:t>
        </w:r>
      </w:hyperlink>
      <w:r w:rsidRPr="003E6341">
        <w:rPr>
          <w:rFonts w:ascii="Arial" w:hAnsi="Arial" w:cs="Arial"/>
          <w:bCs/>
        </w:rPr>
        <w:t xml:space="preserve"> specifies which requirements of the Uniformed Guidance apply to revenue loss funds.</w:t>
      </w:r>
    </w:p>
    <w:p w14:paraId="5BACAC9D" w14:textId="14E14EFB" w:rsidR="003E6341" w:rsidRPr="003E6341" w:rsidRDefault="003E6341" w:rsidP="003E6341">
      <w:pPr>
        <w:spacing w:after="240"/>
        <w:jc w:val="both"/>
        <w:rPr>
          <w:rFonts w:ascii="Arial" w:hAnsi="Arial" w:cs="Arial"/>
          <w:bCs/>
          <w:highlight w:val="yellow"/>
        </w:rPr>
      </w:pPr>
      <w:r w:rsidRPr="003E6341">
        <w:rPr>
          <w:rFonts w:ascii="Arial" w:hAnsi="Arial" w:cs="Arial"/>
          <w:bCs/>
        </w:rPr>
        <w:t xml:space="preserve">Treasury has determined that there are no subawards under this eligible use category. The definition of subrecipient in the Uniform Guidance provides that a subaward is provided for the purpose of “carrying out” </w:t>
      </w:r>
      <w:r w:rsidRPr="003E6341">
        <w:rPr>
          <w:rFonts w:ascii="Arial" w:hAnsi="Arial" w:cs="Arial"/>
          <w:bCs/>
        </w:rPr>
        <w:lastRenderedPageBreak/>
        <w:t>a portion of a federal award. Recipients’ use of revenue loss funds does not give rise to subrecipient relationships.</w:t>
      </w:r>
    </w:p>
    <w:p w14:paraId="5C498C3C" w14:textId="77B3CF25" w:rsidR="003E6341" w:rsidRPr="003E6341" w:rsidRDefault="003E6341" w:rsidP="00D74E6A">
      <w:pPr>
        <w:spacing w:after="240"/>
        <w:jc w:val="both"/>
        <w:rPr>
          <w:rFonts w:ascii="Arial" w:hAnsi="Arial" w:cs="Arial"/>
          <w:bCs/>
        </w:rPr>
      </w:pPr>
      <w:r w:rsidRPr="00E02569">
        <w:rPr>
          <w:rFonts w:ascii="Arial" w:hAnsi="Arial" w:cs="Arial"/>
          <w:i/>
        </w:rPr>
        <w:t>(Source: 202</w:t>
      </w:r>
      <w:r>
        <w:rPr>
          <w:rFonts w:ascii="Arial" w:hAnsi="Arial" w:cs="Arial"/>
          <w:i/>
        </w:rPr>
        <w:t>4</w:t>
      </w:r>
      <w:r w:rsidRPr="00E02569">
        <w:rPr>
          <w:rFonts w:ascii="Arial" w:hAnsi="Arial" w:cs="Arial"/>
          <w:i/>
        </w:rPr>
        <w:t xml:space="preserve"> OMB Compliance Supplement, Part 4, Treasury, </w:t>
      </w:r>
      <w:r>
        <w:rPr>
          <w:rFonts w:ascii="Arial" w:hAnsi="Arial" w:cs="Arial"/>
          <w:i/>
        </w:rPr>
        <w:t>#</w:t>
      </w:r>
      <w:r w:rsidRPr="00E02569">
        <w:rPr>
          <w:rFonts w:ascii="Arial" w:hAnsi="Arial" w:cs="Arial"/>
          <w:i/>
        </w:rPr>
        <w:t xml:space="preserve">21.027 Coronavirus </w:t>
      </w:r>
      <w:r>
        <w:rPr>
          <w:rFonts w:ascii="Arial" w:hAnsi="Arial" w:cs="Arial"/>
          <w:i/>
        </w:rPr>
        <w:t>SLFRF</w:t>
      </w:r>
      <w:r w:rsidRPr="00E02569">
        <w:rPr>
          <w:rFonts w:ascii="Arial" w:hAnsi="Arial" w:cs="Arial"/>
          <w:i/>
        </w:rPr>
        <w:t>)</w:t>
      </w:r>
    </w:p>
    <w:p w14:paraId="3DCB2EC4" w14:textId="77777777" w:rsidR="00B30107" w:rsidRPr="000706D1" w:rsidRDefault="00B30107" w:rsidP="006672EA">
      <w:pPr>
        <w:pStyle w:val="Heading3"/>
        <w:jc w:val="both"/>
        <w:rPr>
          <w:rFonts w:cs="Arial"/>
          <w:sz w:val="24"/>
          <w:szCs w:val="24"/>
        </w:rPr>
      </w:pPr>
      <w:bookmarkStart w:id="88" w:name="_Toc177630969"/>
      <w:r w:rsidRPr="000706D1">
        <w:rPr>
          <w:rFonts w:cs="Arial"/>
          <w:sz w:val="24"/>
          <w:szCs w:val="24"/>
        </w:rPr>
        <w:t>Additional Program Specific Information</w:t>
      </w:r>
      <w:bookmarkEnd w:id="88"/>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3F1ECA3F"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89" w:name="_Toc177630970"/>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89"/>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90" w:name="_Toc177630971"/>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90"/>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6334456B"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w:t>
            </w:r>
            <w:r w:rsidR="00B049FA" w:rsidRPr="002B1229">
              <w:rPr>
                <w:rFonts w:ascii="Arial" w:hAnsi="Arial" w:cs="Arial"/>
                <w:bCs/>
                <w:i/>
                <w:iCs/>
                <w:color w:val="002060"/>
                <w:sz w:val="20"/>
                <w:szCs w:val="20"/>
              </w:rPr>
              <w:t xml:space="preserve">in the </w:t>
            </w:r>
            <w:r w:rsidR="00B049FA">
              <w:rPr>
                <w:rFonts w:ascii="Arial" w:hAnsi="Arial" w:cs="Arial"/>
                <w:bCs/>
                <w:i/>
                <w:iCs/>
                <w:color w:val="002060"/>
                <w:sz w:val="20"/>
                <w:szCs w:val="20"/>
              </w:rPr>
              <w:t>SLFRF Testing Template</w:t>
            </w:r>
            <w:r w:rsidR="00B049FA" w:rsidRPr="002B1229">
              <w:rPr>
                <w:rFonts w:ascii="Arial" w:hAnsi="Arial" w:cs="Arial"/>
                <w:bCs/>
                <w:i/>
                <w:iCs/>
                <w:color w:val="002060"/>
                <w:sz w:val="20"/>
                <w:szCs w:val="20"/>
              </w:rPr>
              <w:t xml:space="preserve"> available on the Intranet</w:t>
            </w:r>
            <w:r w:rsidR="00B049FA">
              <w:rPr>
                <w:rFonts w:ascii="Arial" w:hAnsi="Arial" w:cs="Arial"/>
                <w:bCs/>
                <w:i/>
                <w:iCs/>
                <w:color w:val="002060"/>
                <w:sz w:val="20"/>
                <w:szCs w:val="20"/>
              </w:rPr>
              <w:t xml:space="preserve"> (AOS Auditors) and Internet (IPAs).</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91" w:name="_Toc177630972"/>
      <w:r w:rsidRPr="000706D1">
        <w:rPr>
          <w:rFonts w:cs="Arial"/>
          <w:sz w:val="24"/>
          <w:szCs w:val="24"/>
        </w:rPr>
        <w:t>Audit Implications Summary</w:t>
      </w:r>
      <w:bookmarkEnd w:id="91"/>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05B26FE5"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2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 xml:space="preserve">for a discussion on how to cite non-compliance exceptions based on </w:t>
            </w:r>
            <w:r w:rsidRPr="006E46AD">
              <w:rPr>
                <w:rFonts w:ascii="Arial" w:hAnsi="Arial" w:cs="Arial"/>
                <w:i/>
                <w:iCs/>
                <w:color w:val="002060"/>
                <w:sz w:val="20"/>
                <w:szCs w:val="20"/>
              </w:rPr>
              <w:lastRenderedPageBreak/>
              <w:t>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25"/>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92" w:name="_Toc442267704"/>
      <w:bookmarkStart w:id="93" w:name="_Toc177630973"/>
      <w:r w:rsidRPr="000706D1">
        <w:rPr>
          <w:rStyle w:val="PageNumber"/>
          <w:rFonts w:cs="Arial"/>
          <w:sz w:val="24"/>
        </w:rPr>
        <w:lastRenderedPageBreak/>
        <w:t>Program Testing Conclusion</w:t>
      </w:r>
      <w:bookmarkEnd w:id="92"/>
      <w:bookmarkEnd w:id="93"/>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26"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26" tgtFrame="&quot;content&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DA563A" w:rsidP="006672EA">
      <w:pPr>
        <w:spacing w:after="240"/>
        <w:jc w:val="both"/>
        <w:rPr>
          <w:rFonts w:ascii="Arial" w:hAnsi="Arial" w:cs="Arial"/>
        </w:rPr>
      </w:pPr>
      <w:hyperlink r:id="rId128"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29"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94" w:name="AICPAIGS:767.2670-1"/>
      <w:bookmarkEnd w:id="94"/>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w:t>
      </w:r>
      <w:proofErr w:type="gramStart"/>
      <w:r w:rsidRPr="0019492E">
        <w:rPr>
          <w:rFonts w:ascii="Arial" w:hAnsi="Arial" w:cs="Arial"/>
          <w:bCs/>
          <w:color w:val="000000"/>
        </w:rPr>
        <w:t>in order to</w:t>
      </w:r>
      <w:proofErr w:type="gramEnd"/>
      <w:r w:rsidRPr="0019492E">
        <w:rPr>
          <w:rFonts w:ascii="Arial" w:hAnsi="Arial" w:cs="Arial"/>
          <w:bCs/>
          <w:color w:val="000000"/>
        </w:rPr>
        <w:t xml:space="preserve">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49E341CF"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036E805E"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9E3B44">
      <w:rPr>
        <w:sz w:val="18"/>
      </w:rPr>
      <w:t>FACCR #21.027 Coronavirus SLFRF</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5"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1"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87726AC"/>
    <w:multiLevelType w:val="hybridMultilevel"/>
    <w:tmpl w:val="B5A2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4"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2"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5178F9"/>
    <w:multiLevelType w:val="hybridMultilevel"/>
    <w:tmpl w:val="2A5089CC"/>
    <w:lvl w:ilvl="0" w:tplc="04090017">
      <w:start w:val="1"/>
      <w:numFmt w:val="lowerLetter"/>
      <w:lvlText w:val="%1)"/>
      <w:lvlJc w:val="left"/>
      <w:pPr>
        <w:ind w:left="1421" w:hanging="360"/>
      </w:pPr>
    </w:lvl>
    <w:lvl w:ilvl="1" w:tplc="0409000F">
      <w:start w:val="1"/>
      <w:numFmt w:val="decimal"/>
      <w:lvlText w:val="%2."/>
      <w:lvlJc w:val="left"/>
      <w:pPr>
        <w:ind w:left="2141" w:hanging="360"/>
      </w:pPr>
    </w:lvl>
    <w:lvl w:ilvl="2" w:tplc="0409001B">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34"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3"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4"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4B240EF"/>
    <w:multiLevelType w:val="hybridMultilevel"/>
    <w:tmpl w:val="4FBE80C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60"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62"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0"/>
  </w:num>
  <w:num w:numId="3" w16cid:durableId="845168209">
    <w:abstractNumId w:val="20"/>
  </w:num>
  <w:num w:numId="4" w16cid:durableId="495266702">
    <w:abstractNumId w:val="28"/>
  </w:num>
  <w:num w:numId="5" w16cid:durableId="1496074526">
    <w:abstractNumId w:val="53"/>
  </w:num>
  <w:num w:numId="6" w16cid:durableId="1894850701">
    <w:abstractNumId w:val="26"/>
  </w:num>
  <w:num w:numId="7" w16cid:durableId="1851287688">
    <w:abstractNumId w:val="62"/>
  </w:num>
  <w:num w:numId="8" w16cid:durableId="169563015">
    <w:abstractNumId w:val="49"/>
  </w:num>
  <w:num w:numId="9" w16cid:durableId="829565744">
    <w:abstractNumId w:val="16"/>
  </w:num>
  <w:num w:numId="10" w16cid:durableId="1649020827">
    <w:abstractNumId w:val="3"/>
  </w:num>
  <w:num w:numId="11" w16cid:durableId="404687173">
    <w:abstractNumId w:val="13"/>
  </w:num>
  <w:num w:numId="12" w16cid:durableId="812450053">
    <w:abstractNumId w:val="59"/>
  </w:num>
  <w:num w:numId="13" w16cid:durableId="208225967">
    <w:abstractNumId w:val="42"/>
  </w:num>
  <w:num w:numId="14" w16cid:durableId="1448885931">
    <w:abstractNumId w:val="37"/>
  </w:num>
  <w:num w:numId="15" w16cid:durableId="652417121">
    <w:abstractNumId w:val="46"/>
  </w:num>
  <w:num w:numId="16" w16cid:durableId="1348169212">
    <w:abstractNumId w:val="34"/>
  </w:num>
  <w:num w:numId="17" w16cid:durableId="1730111816">
    <w:abstractNumId w:val="55"/>
  </w:num>
  <w:num w:numId="18" w16cid:durableId="1262647388">
    <w:abstractNumId w:val="25"/>
  </w:num>
  <w:num w:numId="19" w16cid:durableId="917205237">
    <w:abstractNumId w:val="41"/>
  </w:num>
  <w:num w:numId="20" w16cid:durableId="1467968856">
    <w:abstractNumId w:val="60"/>
  </w:num>
  <w:num w:numId="21" w16cid:durableId="1337074581">
    <w:abstractNumId w:val="58"/>
  </w:num>
  <w:num w:numId="22" w16cid:durableId="1028799297">
    <w:abstractNumId w:val="18"/>
  </w:num>
  <w:num w:numId="23" w16cid:durableId="1386678689">
    <w:abstractNumId w:val="9"/>
  </w:num>
  <w:num w:numId="24" w16cid:durableId="505556187">
    <w:abstractNumId w:val="50"/>
  </w:num>
  <w:num w:numId="25" w16cid:durableId="1151486989">
    <w:abstractNumId w:val="17"/>
  </w:num>
  <w:num w:numId="26" w16cid:durableId="431709311">
    <w:abstractNumId w:val="29"/>
  </w:num>
  <w:num w:numId="27" w16cid:durableId="137292458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3"/>
  </w:num>
  <w:num w:numId="30" w16cid:durableId="1726903200">
    <w:abstractNumId w:val="11"/>
  </w:num>
  <w:num w:numId="31" w16cid:durableId="884410781">
    <w:abstractNumId w:val="6"/>
  </w:num>
  <w:num w:numId="32" w16cid:durableId="810370577">
    <w:abstractNumId w:val="38"/>
  </w:num>
  <w:num w:numId="33" w16cid:durableId="1178009640">
    <w:abstractNumId w:val="2"/>
  </w:num>
  <w:num w:numId="34" w16cid:durableId="1151754974">
    <w:abstractNumId w:val="63"/>
  </w:num>
  <w:num w:numId="35" w16cid:durableId="554588920">
    <w:abstractNumId w:val="54"/>
  </w:num>
  <w:num w:numId="36" w16cid:durableId="2056466201">
    <w:abstractNumId w:val="19"/>
  </w:num>
  <w:num w:numId="37" w16cid:durableId="81878645">
    <w:abstractNumId w:val="30"/>
  </w:num>
  <w:num w:numId="38" w16cid:durableId="754401759">
    <w:abstractNumId w:val="32"/>
  </w:num>
  <w:num w:numId="39" w16cid:durableId="697851989">
    <w:abstractNumId w:val="56"/>
  </w:num>
  <w:num w:numId="40" w16cid:durableId="368649401">
    <w:abstractNumId w:val="1"/>
  </w:num>
  <w:num w:numId="41" w16cid:durableId="1478910963">
    <w:abstractNumId w:val="57"/>
  </w:num>
  <w:num w:numId="42" w16cid:durableId="1939830332">
    <w:abstractNumId w:val="12"/>
  </w:num>
  <w:num w:numId="43" w16cid:durableId="516505364">
    <w:abstractNumId w:val="44"/>
  </w:num>
  <w:num w:numId="44" w16cid:durableId="710107432">
    <w:abstractNumId w:val="35"/>
  </w:num>
  <w:num w:numId="45" w16cid:durableId="629016447">
    <w:abstractNumId w:val="15"/>
  </w:num>
  <w:num w:numId="46" w16cid:durableId="1352143524">
    <w:abstractNumId w:val="23"/>
  </w:num>
  <w:num w:numId="47" w16cid:durableId="2034109230">
    <w:abstractNumId w:val="36"/>
  </w:num>
  <w:num w:numId="48" w16cid:durableId="752432378">
    <w:abstractNumId w:val="31"/>
  </w:num>
  <w:num w:numId="49" w16cid:durableId="1766726706">
    <w:abstractNumId w:val="10"/>
  </w:num>
  <w:num w:numId="50" w16cid:durableId="848107073">
    <w:abstractNumId w:val="24"/>
  </w:num>
  <w:num w:numId="51" w16cid:durableId="1123234674">
    <w:abstractNumId w:val="4"/>
  </w:num>
  <w:num w:numId="52" w16cid:durableId="1056511850">
    <w:abstractNumId w:val="52"/>
  </w:num>
  <w:num w:numId="53" w16cid:durableId="1317146710">
    <w:abstractNumId w:val="47"/>
  </w:num>
  <w:num w:numId="54" w16cid:durableId="1101756761">
    <w:abstractNumId w:val="39"/>
  </w:num>
  <w:num w:numId="55" w16cid:durableId="1244534831">
    <w:abstractNumId w:val="45"/>
  </w:num>
  <w:num w:numId="56" w16cid:durableId="120655483">
    <w:abstractNumId w:val="22"/>
  </w:num>
  <w:num w:numId="57" w16cid:durableId="894855469">
    <w:abstractNumId w:val="14"/>
  </w:num>
  <w:num w:numId="58" w16cid:durableId="667756309">
    <w:abstractNumId w:val="5"/>
  </w:num>
  <w:num w:numId="59" w16cid:durableId="142236087">
    <w:abstractNumId w:val="27"/>
  </w:num>
  <w:num w:numId="60" w16cid:durableId="2005356031">
    <w:abstractNumId w:val="8"/>
  </w:num>
  <w:num w:numId="61" w16cid:durableId="196281328">
    <w:abstractNumId w:val="48"/>
  </w:num>
  <w:num w:numId="62" w16cid:durableId="867914171">
    <w:abstractNumId w:val="21"/>
  </w:num>
  <w:num w:numId="63" w16cid:durableId="858158125">
    <w:abstractNumId w:val="33"/>
  </w:num>
  <w:num w:numId="64" w16cid:durableId="1905531679">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7E4"/>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180"/>
    <w:rsid w:val="00065A67"/>
    <w:rsid w:val="00065FD1"/>
    <w:rsid w:val="000666D4"/>
    <w:rsid w:val="000679E5"/>
    <w:rsid w:val="000700C3"/>
    <w:rsid w:val="0007063F"/>
    <w:rsid w:val="000706D1"/>
    <w:rsid w:val="0007083A"/>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5F36"/>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152D"/>
    <w:rsid w:val="001D227B"/>
    <w:rsid w:val="001D301E"/>
    <w:rsid w:val="001D3E83"/>
    <w:rsid w:val="001D3EDF"/>
    <w:rsid w:val="001D478E"/>
    <w:rsid w:val="001D4B2E"/>
    <w:rsid w:val="001D4DBE"/>
    <w:rsid w:val="001D666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84"/>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6562"/>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0B66"/>
    <w:rsid w:val="002812FC"/>
    <w:rsid w:val="00281491"/>
    <w:rsid w:val="00282B50"/>
    <w:rsid w:val="00283392"/>
    <w:rsid w:val="0028384F"/>
    <w:rsid w:val="002839CB"/>
    <w:rsid w:val="00283D52"/>
    <w:rsid w:val="0028486A"/>
    <w:rsid w:val="00284AD1"/>
    <w:rsid w:val="00284CCC"/>
    <w:rsid w:val="0028542B"/>
    <w:rsid w:val="00286662"/>
    <w:rsid w:val="0028737C"/>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D55"/>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4231"/>
    <w:rsid w:val="002F581A"/>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E6341"/>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8F8"/>
    <w:rsid w:val="004D7AAA"/>
    <w:rsid w:val="004E23CE"/>
    <w:rsid w:val="004E25D7"/>
    <w:rsid w:val="004E2981"/>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A58"/>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3854"/>
    <w:rsid w:val="006E46AD"/>
    <w:rsid w:val="006E5246"/>
    <w:rsid w:val="006E5F2D"/>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21C6"/>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68C7"/>
    <w:rsid w:val="00716CAF"/>
    <w:rsid w:val="00717916"/>
    <w:rsid w:val="0072012C"/>
    <w:rsid w:val="007205DF"/>
    <w:rsid w:val="00721387"/>
    <w:rsid w:val="007221BB"/>
    <w:rsid w:val="00723298"/>
    <w:rsid w:val="0072338C"/>
    <w:rsid w:val="00723AD1"/>
    <w:rsid w:val="00724AAA"/>
    <w:rsid w:val="0072599E"/>
    <w:rsid w:val="00725C91"/>
    <w:rsid w:val="00725E25"/>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773E0"/>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BA2"/>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87C58"/>
    <w:rsid w:val="009900B7"/>
    <w:rsid w:val="009916CB"/>
    <w:rsid w:val="009932A9"/>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3B44"/>
    <w:rsid w:val="009E43CF"/>
    <w:rsid w:val="009E4F3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286A"/>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30C"/>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49FA"/>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33AA"/>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3844"/>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563A"/>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C47"/>
    <w:rsid w:val="00E20479"/>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49D7"/>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image" Target="media/image4.png"/><Relationship Id="rId21" Type="http://schemas.openxmlformats.org/officeDocument/2006/relationships/hyperlink" Target="https://ohauditor.sharepoint.com/:f:/r/sites/Intranet/Shared%20Documents/Audit_Resources/Federal/Other%20Federal%20Resources?csf=1&amp;web=1&amp;e=RtVw5R" TargetMode="External"/><Relationship Id="rId42" Type="http://schemas.openxmlformats.org/officeDocument/2006/relationships/hyperlink" Target="https://home.treasury.gov/system/files/136/Overview-of-the-2023-Interim-Final-Rule.pdf" TargetMode="External"/><Relationship Id="rId47" Type="http://schemas.openxmlformats.org/officeDocument/2006/relationships/hyperlink" Target="https://home.treasury.gov/policy-issues/coronavirus/assistance-for-state-local-and-tribal-governments/state-and-local-fiscal-recovery-fund/request-funding" TargetMode="External"/><Relationship Id="rId63" Type="http://schemas.openxmlformats.org/officeDocument/2006/relationships/hyperlink" Target="https://ohioauditor.gov/references/practiceaids/faccrs.html" TargetMode="External"/><Relationship Id="rId68" Type="http://schemas.openxmlformats.org/officeDocument/2006/relationships/hyperlink" Target="Agency_Adoption_of_the_UG_and_Example_Citations.pdf" TargetMode="External"/><Relationship Id="rId84" Type="http://schemas.openxmlformats.org/officeDocument/2006/relationships/hyperlink" Target="48_CFR_Part_3.pdf" TargetMode="External"/><Relationship Id="rId89" Type="http://schemas.openxmlformats.org/officeDocument/2006/relationships/hyperlink" Target="2_CFR_Part_180.pdf" TargetMode="External"/><Relationship Id="rId112"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16" Type="http://schemas.openxmlformats.org/officeDocument/2006/relationships/hyperlink" Target="https://www.gao.gov/assets/gao-14-704g.pdf" TargetMode="External"/><Relationship Id="rId107" Type="http://schemas.openxmlformats.org/officeDocument/2006/relationships/hyperlink" Target="48_CFR_Part_52.pdf" TargetMode="External"/><Relationship Id="rId11" Type="http://schemas.openxmlformats.org/officeDocument/2006/relationships/hyperlink" Target="OMB_Appendix_VII.pdf" TargetMode="External"/><Relationship Id="rId32" Type="http://schemas.openxmlformats.org/officeDocument/2006/relationships/hyperlink" Target="https://home.treasury.gov/system/files/136/Overview-of-the-2023-Interim-Final-Rule.pdf" TargetMode="External"/><Relationship Id="rId37" Type="http://schemas.openxmlformats.org/officeDocument/2006/relationships/hyperlink" Target="https://home.treasury.gov/system/files/136/Obligation_Interim_Final_Rule_2023.pdf" TargetMode="External"/><Relationship Id="rId53" Type="http://schemas.openxmlformats.org/officeDocument/2006/relationships/hyperlink" Target="http://www.ohioauditor.gov/references/practiceaids.html" TargetMode="External"/><Relationship Id="rId58" Type="http://schemas.openxmlformats.org/officeDocument/2006/relationships/hyperlink" Target="https://home.treasury.gov/system/files/136/SLFRF-Final-Rule-Overview.pdf" TargetMode="External"/><Relationship Id="rId74" Type="http://schemas.openxmlformats.org/officeDocument/2006/relationships/header" Target="header9.xml"/><Relationship Id="rId79" Type="http://schemas.openxmlformats.org/officeDocument/2006/relationships/hyperlink" Target="2_CFR_Part_184.pdf" TargetMode="External"/><Relationship Id="rId102" Type="http://schemas.openxmlformats.org/officeDocument/2006/relationships/hyperlink" Target="48_CFR_Part_52.pdf" TargetMode="External"/><Relationship Id="rId123" Type="http://schemas.openxmlformats.org/officeDocument/2006/relationships/hyperlink" Target="https://home.treasury.gov/system/files/136/SLFRF-Final-Rule-FAQ.pdf" TargetMode="External"/><Relationship Id="rId128" Type="http://schemas.openxmlformats.org/officeDocument/2006/relationships/hyperlink" Target="2_CFR_Part_200.pdf" TargetMode="External"/><Relationship Id="rId5" Type="http://schemas.openxmlformats.org/officeDocument/2006/relationships/numbering" Target="numbering.xml"/><Relationship Id="rId90" Type="http://schemas.openxmlformats.org/officeDocument/2006/relationships/hyperlink" Target="2_CFR_Part_180.pdf" TargetMode="External"/><Relationship Id="rId95" Type="http://schemas.openxmlformats.org/officeDocument/2006/relationships/hyperlink" Target="OMB_Appendix_II.pdf" TargetMode="External"/><Relationship Id="rId19" Type="http://schemas.openxmlformats.org/officeDocument/2006/relationships/hyperlink" Target="OMB_Appendix_II.pdf" TargetMode="External"/><Relationship Id="rId14" Type="http://schemas.openxmlformats.org/officeDocument/2006/relationships/hyperlink" Target="OMB_Part_6.pdf" TargetMode="External"/><Relationship Id="rId22" Type="http://schemas.openxmlformats.org/officeDocument/2006/relationships/hyperlink" Target="Agency_Adoption_of_the_UG_and_Example_Citations.pdf" TargetMode="External"/><Relationship Id="rId27" Type="http://schemas.openxmlformats.org/officeDocument/2006/relationships/footer" Target="footer3.xml"/><Relationship Id="rId30" Type="http://schemas.openxmlformats.org/officeDocument/2006/relationships/hyperlink" Target="OMB_Part_6.pdf" TargetMode="External"/><Relationship Id="rId35" Type="http://schemas.openxmlformats.org/officeDocument/2006/relationships/hyperlink" Target="https://www.govinfo.gov/content/pkg/FR-2022-01-27/pdf/2022-00292.pdf" TargetMode="External"/><Relationship Id="rId43" Type="http://schemas.openxmlformats.org/officeDocument/2006/relationships/hyperlink" Target="https://home.treasury.gov/system/files/136/Obligation_Interim_Final_Rule_2023.pdf" TargetMode="External"/><Relationship Id="rId48" Type="http://schemas.openxmlformats.org/officeDocument/2006/relationships/hyperlink" Target="https://home.treasury.gov/policy-issues/coronavirus/assistance-for-state-local-and-tribal-governments/state-and-local-fiscal-recovery-funds" TargetMode="External"/><Relationship Id="rId56" Type="http://schemas.openxmlformats.org/officeDocument/2006/relationships/hyperlink" Target="https://home.treasury.gov/system/files/136/Overview-of-the-2023-Interim-Final-Rule.pdf" TargetMode="External"/><Relationship Id="rId64" Type="http://schemas.openxmlformats.org/officeDocument/2006/relationships/hyperlink" Target="45_CFR_Part_75.pdf" TargetMode="External"/><Relationship Id="rId69" Type="http://schemas.openxmlformats.org/officeDocument/2006/relationships/header" Target="header8.xml"/><Relationship Id="rId77" Type="http://schemas.openxmlformats.org/officeDocument/2006/relationships/header" Target="header10.xml"/><Relationship Id="rId100" Type="http://schemas.openxmlformats.org/officeDocument/2006/relationships/hyperlink" Target="48_CFR_Part_44.pdf" TargetMode="External"/><Relationship Id="rId105" Type="http://schemas.openxmlformats.org/officeDocument/2006/relationships/hyperlink" Target="48_CFR_Part_52.pdf" TargetMode="External"/><Relationship Id="rId113" Type="http://schemas.openxmlformats.org/officeDocument/2006/relationships/hyperlink" Target="https://home.treasury.gov/system/files/136/SLFRF-Compliance-and-Reporting-Guidance.pdf" TargetMode="External"/><Relationship Id="rId118" Type="http://schemas.openxmlformats.org/officeDocument/2006/relationships/hyperlink" Target="https://home.treasury.gov/system/files/136/SLFRF-Compliance-and-Reporting-Guidance.pdf" TargetMode="External"/><Relationship Id="rId126" Type="http://schemas.openxmlformats.org/officeDocument/2006/relationships/hyperlink" Target="https://checkpoint.riag.com/app/view/docPermaLink?DocID=iAICPAIGS:767.2440&amp;docTid=T0AICPAIGS:767.2440-1&amp;feature=ttoc&amp;lastCpReqId=97899&amp;tlltype=AICPAIGS:767.2668" TargetMode="External"/><Relationship Id="rId8" Type="http://schemas.openxmlformats.org/officeDocument/2006/relationships/webSettings" Target="webSettings.xml"/><Relationship Id="rId51" Type="http://schemas.openxmlformats.org/officeDocument/2006/relationships/header" Target="header5.xml"/><Relationship Id="rId72" Type="http://schemas.openxmlformats.org/officeDocument/2006/relationships/package" Target="embeddings/Microsoft_Excel_Worksheet.xlsx"/><Relationship Id="rId80" Type="http://schemas.openxmlformats.org/officeDocument/2006/relationships/hyperlink" Target="M-24-02_Buy-America-Implementation-Guidance-Update.pdf" TargetMode="External"/><Relationship Id="rId85" Type="http://schemas.openxmlformats.org/officeDocument/2006/relationships/hyperlink" Target="48_CFR_Part_15.pdf" TargetMode="External"/><Relationship Id="rId93" Type="http://schemas.openxmlformats.org/officeDocument/2006/relationships/hyperlink" Target="48_CFR_Part_52.pdf" TargetMode="External"/><Relationship Id="rId98" Type="http://schemas.openxmlformats.org/officeDocument/2006/relationships/hyperlink" Target="48_CFR_Part_52.pdf" TargetMode="External"/><Relationship Id="rId121" Type="http://schemas.openxmlformats.org/officeDocument/2006/relationships/hyperlink" Target="https://home.treasury.gov/system/files/136/SLFRF-and-CPF-Supplementary-Broadband-Guidance.pdf" TargetMode="External"/><Relationship Id="rId3" Type="http://schemas.openxmlformats.org/officeDocument/2006/relationships/customXml" Target="../customXml/item3.xml"/><Relationship Id="rId12" Type="http://schemas.openxmlformats.org/officeDocument/2006/relationships/hyperlink" Target="mailto:AOSFederal@ohioauditor.gov" TargetMode="External"/><Relationship Id="rId17" Type="http://schemas.openxmlformats.org/officeDocument/2006/relationships/hyperlink" Target="2_CFR_Part_200.pdf" TargetMode="External"/><Relationship Id="rId25" Type="http://schemas.openxmlformats.org/officeDocument/2006/relationships/footer" Target="footer2.xml"/><Relationship Id="rId33" Type="http://schemas.openxmlformats.org/officeDocument/2006/relationships/hyperlink" Target="https://home.treasury.gov/system/files/136/Overview-of-the-2023-Interim-Final-Rule.pdf" TargetMode="External"/><Relationship Id="rId38" Type="http://schemas.openxmlformats.org/officeDocument/2006/relationships/hyperlink" Target="https://home.treasury.gov/system/files/136/SLFRF-Compliance-Statement.pdf" TargetMode="External"/><Relationship Id="rId46"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59" Type="http://schemas.openxmlformats.org/officeDocument/2006/relationships/hyperlink" Target="https://ohioauditor.gov/resources/covid19_assistance.html" TargetMode="External"/><Relationship Id="rId67" Type="http://schemas.openxmlformats.org/officeDocument/2006/relationships/hyperlink" Target="Testing_the_ICRP_discussion.pdf" TargetMode="External"/><Relationship Id="rId103" Type="http://schemas.openxmlformats.org/officeDocument/2006/relationships/hyperlink" Target="48_CFR_Part_52.pdf" TargetMode="External"/><Relationship Id="rId108" Type="http://schemas.openxmlformats.org/officeDocument/2006/relationships/hyperlink" Target="Agency_Adoption_of_the_UG_and_Example_Citations.pdf" TargetMode="External"/><Relationship Id="rId116" Type="http://schemas.openxmlformats.org/officeDocument/2006/relationships/image" Target="media/image3.png"/><Relationship Id="rId124" Type="http://schemas.openxmlformats.org/officeDocument/2006/relationships/hyperlink" Target="Agency_Adoption_of_the_UG_and_Example_Citations.pdf" TargetMode="External"/><Relationship Id="rId129" Type="http://schemas.openxmlformats.org/officeDocument/2006/relationships/hyperlink" Target="Agency_Adoption_of_the_UG_and_Example_Citations.pdf" TargetMode="External"/><Relationship Id="rId20" Type="http://schemas.openxmlformats.org/officeDocument/2006/relationships/hyperlink" Target="https://www.cfo.gov/wp-content/uploads/2014/12/Agency-Exceptions.pdf" TargetMode="External"/><Relationship Id="rId41" Type="http://schemas.openxmlformats.org/officeDocument/2006/relationships/hyperlink" Target="https://home.treasury.gov/system/files/136/2023-Interim-Final-Rule.pdf" TargetMode="External"/><Relationship Id="rId54" Type="http://schemas.openxmlformats.org/officeDocument/2006/relationships/hyperlink" Target="https://home.treasury.gov/system/files/136/SLFRF-Final-Rule-FAQ.pdf" TargetMode="External"/><Relationship Id="rId62"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0" Type="http://schemas.openxmlformats.org/officeDocument/2006/relationships/hyperlink" Target="https://home.treasury.gov/policy-issues/coronavirus/assistance-for-state-local-and-tribal-governments/state-and-local-fiscal-recovery-funds" TargetMode="External"/><Relationship Id="rId75" Type="http://schemas.openxmlformats.org/officeDocument/2006/relationships/hyperlink" Target="https://home.treasury.gov/system/files/136/Obligation_Interim_Final_Rule_2023.pdf" TargetMode="External"/><Relationship Id="rId83" Type="http://schemas.openxmlformats.org/officeDocument/2006/relationships/hyperlink" Target="48_CFR_Part_52.pdf" TargetMode="External"/><Relationship Id="rId88" Type="http://schemas.openxmlformats.org/officeDocument/2006/relationships/hyperlink" Target="2_CFR_Part_180.pdf" TargetMode="External"/><Relationship Id="rId91" Type="http://schemas.openxmlformats.org/officeDocument/2006/relationships/hyperlink" Target="https://www.sam.gov/" TargetMode="External"/><Relationship Id="rId96" Type="http://schemas.openxmlformats.org/officeDocument/2006/relationships/hyperlink" Target="48_CFR_9.405-2.pdf" TargetMode="External"/><Relationship Id="rId111" Type="http://schemas.openxmlformats.org/officeDocument/2006/relationships/hyperlink" Target="https://www.govinfo.gov/content/pkg/FR-2022-01-27/pdf/2022-00292.pdf"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so.org/_files/ugd/3059fc_61ea5985b03c4293960642fdce408eaa.pdf" TargetMode="External"/><Relationship Id="rId23" Type="http://schemas.openxmlformats.org/officeDocument/2006/relationships/header" Target="header1.xml"/><Relationship Id="rId28" Type="http://schemas.openxmlformats.org/officeDocument/2006/relationships/hyperlink" Target="https://www.whitehouse.gov/omb/office-federal-financial-management/" TargetMode="External"/><Relationship Id="rId36" Type="http://schemas.openxmlformats.org/officeDocument/2006/relationships/hyperlink" Target="https://home.treasury.gov/system/files/136/2023-Interim-Final-Rule.pdf" TargetMode="External"/><Relationship Id="rId49" Type="http://schemas.openxmlformats.org/officeDocument/2006/relationships/hyperlink" Target="https://home.treasury.gov/system/files/136/SLFRF-Compliance-Statement.pdf" TargetMode="External"/><Relationship Id="rId57" Type="http://schemas.openxmlformats.org/officeDocument/2006/relationships/hyperlink" Target="https://home.treasury.gov/system/files/136/Overview-of-the-2023-Interim-Final-Rule.pdf" TargetMode="External"/><Relationship Id="rId106" Type="http://schemas.openxmlformats.org/officeDocument/2006/relationships/hyperlink" Target="2_CFR_Part_180.pdf" TargetMode="External"/><Relationship Id="rId114" Type="http://schemas.openxmlformats.org/officeDocument/2006/relationships/hyperlink" Target="https://www.ecfr.gov/current/title-31/subtitle-A/part-35/subpart-A/section-35.6" TargetMode="External"/><Relationship Id="rId119" Type="http://schemas.openxmlformats.org/officeDocument/2006/relationships/hyperlink" Target="Agency_Adoption_of_the_UG_and_Example_Citations.pdf" TargetMode="External"/><Relationship Id="rId127" Type="http://schemas.openxmlformats.org/officeDocument/2006/relationships/image" Target="media/image5.gif"/><Relationship Id="rId10" Type="http://schemas.openxmlformats.org/officeDocument/2006/relationships/endnotes" Target="endnotes.xml"/><Relationship Id="rId31" Type="http://schemas.openxmlformats.org/officeDocument/2006/relationships/hyperlink" Target="https://home.treasury.gov/system/files/136/Overview-of-the-2023-Interim-Final-Rule.pdf" TargetMode="External"/><Relationship Id="rId44" Type="http://schemas.openxmlformats.org/officeDocument/2006/relationships/hyperlink" Target="https://home.treasury.gov/system/files/136/SLFRF-Final-Rule-FAQ.pdf" TargetMode="External"/><Relationship Id="rId52" Type="http://schemas.openxmlformats.org/officeDocument/2006/relationships/header" Target="header6.xml"/><Relationship Id="rId60" Type="http://schemas.openxmlformats.org/officeDocument/2006/relationships/hyperlink" Target="Agency_Adoption_of_the_UG_and_Example_Citations.pdf" TargetMode="External"/><Relationship Id="rId65" Type="http://schemas.openxmlformats.org/officeDocument/2006/relationships/hyperlink" Target="Selected_Items_of_Cost_Part_3_ComplianceSupplement.pdf" TargetMode="External"/><Relationship Id="rId73" Type="http://schemas.openxmlformats.org/officeDocument/2006/relationships/hyperlink" Target="Agency_Adoption_of_the_UG_and_Example_Citations.pdf" TargetMode="External"/><Relationship Id="rId78" Type="http://schemas.openxmlformats.org/officeDocument/2006/relationships/hyperlink" Target="IIJA_PublicLaw_117-58.pdf" TargetMode="External"/><Relationship Id="rId81" Type="http://schemas.openxmlformats.org/officeDocument/2006/relationships/hyperlink" Target="https://www.madeinamerica.gov/waivers/financial-assistance" TargetMode="External"/><Relationship Id="rId86" Type="http://schemas.openxmlformats.org/officeDocument/2006/relationships/hyperlink" Target="48_CFR_Part_44.pdf" TargetMode="External"/><Relationship Id="rId94" Type="http://schemas.openxmlformats.org/officeDocument/2006/relationships/hyperlink" Target="2_CFR_Part_180.pdf" TargetMode="External"/><Relationship Id="rId99" Type="http://schemas.openxmlformats.org/officeDocument/2006/relationships/hyperlink" Target="48_CFR_Part_52.pdf" TargetMode="External"/><Relationship Id="rId101" Type="http://schemas.openxmlformats.org/officeDocument/2006/relationships/hyperlink" Target="48_CFR_Part_52.pdf" TargetMode="External"/><Relationship Id="rId122" Type="http://schemas.openxmlformats.org/officeDocument/2006/relationships/hyperlink" Target="https://home.treasury.gov/system/files/136/SLFRF-Final-Rule-FAQ.pdf" TargetMode="External"/><Relationship Id="rId130"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hioauditor.gov/references/practiceaids.html" TargetMode="External"/><Relationship Id="rId18" Type="http://schemas.openxmlformats.org/officeDocument/2006/relationships/footer" Target="footer1.xml"/><Relationship Id="rId39" Type="http://schemas.openxmlformats.org/officeDocument/2006/relationships/hyperlink" Target="https://home.treasury.gov/system/files/136/SLFRF-Final-Rule-FAQ.pdf" TargetMode="External"/><Relationship Id="rId109" Type="http://schemas.openxmlformats.org/officeDocument/2006/relationships/header" Target="header11.xml"/><Relationship Id="rId34" Type="http://schemas.openxmlformats.org/officeDocument/2006/relationships/hyperlink" Target="https://www.govinfo.gov/content/pkg/FR-2021-05-17/pdf/2021-10283.pdf" TargetMode="External"/><Relationship Id="rId50" Type="http://schemas.openxmlformats.org/officeDocument/2006/relationships/hyperlink" Target="https://home.treasury.gov/system/files/136/Overview-of-the-2023-Interim-Final-Rule.pdf" TargetMode="External"/><Relationship Id="rId55" Type="http://schemas.openxmlformats.org/officeDocument/2006/relationships/hyperlink" Target="https://home.treasury.gov/system/files/136/Overview-of-the-2023-Interim-Final-Rule.pdf" TargetMode="External"/><Relationship Id="rId76" Type="http://schemas.openxmlformats.org/officeDocument/2006/relationships/hyperlink" Target="Agency_Adoption_of_the_UG_and_Example_Citations.pdf" TargetMode="External"/><Relationship Id="rId97" Type="http://schemas.openxmlformats.org/officeDocument/2006/relationships/hyperlink" Target="48_CFR_Part_52.pdf" TargetMode="External"/><Relationship Id="rId104" Type="http://schemas.openxmlformats.org/officeDocument/2006/relationships/hyperlink" Target="48_CFR_Part_15.pdf" TargetMode="External"/><Relationship Id="rId120" Type="http://schemas.openxmlformats.org/officeDocument/2006/relationships/header" Target="header12.xml"/><Relationship Id="rId125" Type="http://schemas.openxmlformats.org/officeDocument/2006/relationships/header" Target="header13.xml"/><Relationship Id="rId7" Type="http://schemas.openxmlformats.org/officeDocument/2006/relationships/settings" Target="settings.xml"/><Relationship Id="rId71" Type="http://schemas.openxmlformats.org/officeDocument/2006/relationships/image" Target="media/image2.emf"/><Relationship Id="rId92" Type="http://schemas.openxmlformats.org/officeDocument/2006/relationships/hyperlink" Target="2_CFR_Part_180.pdf"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eader" Target="header2.xml"/><Relationship Id="rId40" Type="http://schemas.openxmlformats.org/officeDocument/2006/relationships/hyperlink" Target="https://www.congress.gov/117/bills/hr2617/BILLS-117hr2617enr.pdf" TargetMode="External"/><Relationship Id="rId45" Type="http://schemas.openxmlformats.org/officeDocument/2006/relationships/hyperlink" Target="https://home.treasury.gov/policy-issues/coronavirus/assistance-for-state-local-and-tribal-governments/state-and-local-fiscal-recovery-funds" TargetMode="External"/><Relationship Id="rId66" Type="http://schemas.openxmlformats.org/officeDocument/2006/relationships/hyperlink" Target="https://home.treasury.gov/system/files/136/SLFRF-and-CPF-Supplementary-Broadband-Guidance.pdf" TargetMode="External"/><Relationship Id="rId87" Type="http://schemas.openxmlformats.org/officeDocument/2006/relationships/hyperlink" Target="48_CFR_Part_52.pdf" TargetMode="External"/><Relationship Id="rId110" Type="http://schemas.openxmlformats.org/officeDocument/2006/relationships/hyperlink" Target="https://home.treasury.gov/system/files/136/SLFRF-Compliance-and-Reporting-Guidance.pdf" TargetMode="External"/><Relationship Id="rId115" Type="http://schemas.openxmlformats.org/officeDocument/2006/relationships/hyperlink" Target="https://www.ecfr.gov/current/title-31/subtitle-A/part-35/subpart-A/section-35.6" TargetMode="External"/><Relationship Id="rId131" Type="http://schemas.openxmlformats.org/officeDocument/2006/relationships/fontTable" Target="fontTable.xml"/><Relationship Id="rId61" Type="http://schemas.openxmlformats.org/officeDocument/2006/relationships/header" Target="header7.xml"/><Relationship Id="rId82" Type="http://schemas.openxmlformats.org/officeDocument/2006/relationships/hyperlink" Target="https://www.madeinamerica.gov/waiv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2.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68</Pages>
  <Words>24838</Words>
  <Characters>151973</Characters>
  <Application>Microsoft Office Word</Application>
  <DocSecurity>0</DocSecurity>
  <Lines>1266</Lines>
  <Paragraphs>352</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176459</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25</cp:revision>
  <cp:lastPrinted>2015-07-01T17:39:00Z</cp:lastPrinted>
  <dcterms:created xsi:type="dcterms:W3CDTF">2024-07-16T11:58:00Z</dcterms:created>
  <dcterms:modified xsi:type="dcterms:W3CDTF">2024-09-19T13:36:00Z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