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22E7AB21" w:rsidR="007814B6" w:rsidRPr="00A0464C" w:rsidRDefault="00230FA4" w:rsidP="006672EA">
            <w:pPr>
              <w:jc w:val="both"/>
              <w:rPr>
                <w:rFonts w:ascii="Arial" w:hAnsi="Arial" w:cs="Arial"/>
                <w:sz w:val="24"/>
                <w:szCs w:val="24"/>
              </w:rPr>
            </w:pPr>
            <w:r>
              <w:rPr>
                <w:rFonts w:ascii="Arial" w:hAnsi="Arial" w:cs="Arial"/>
                <w:sz w:val="24"/>
                <w:szCs w:val="24"/>
              </w:rPr>
              <w:t xml:space="preserve">Public Housing Capital Fund </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45DE8318" w:rsidR="007814B6" w:rsidRPr="00A0464C" w:rsidRDefault="00230FA4" w:rsidP="006672EA">
            <w:pPr>
              <w:jc w:val="both"/>
              <w:rPr>
                <w:rFonts w:ascii="Arial" w:hAnsi="Arial" w:cs="Arial"/>
                <w:sz w:val="24"/>
                <w:szCs w:val="24"/>
              </w:rPr>
            </w:pPr>
            <w:r>
              <w:rPr>
                <w:rFonts w:ascii="Arial" w:hAnsi="Arial" w:cs="Arial"/>
                <w:sz w:val="24"/>
                <w:szCs w:val="24"/>
              </w:rPr>
              <w:t>14.872</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4635336"/>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w:t>
        </w:r>
        <w:r w:rsidR="007E4875" w:rsidRPr="007E4875">
          <w:rPr>
            <w:rStyle w:val="Hyperlink"/>
            <w:rFonts w:cs="Arial"/>
            <w:bCs/>
          </w:rPr>
          <w:t>p</w:t>
        </w:r>
        <w:r w:rsidR="007E4875" w:rsidRPr="007E4875">
          <w:rPr>
            <w:rStyle w:val="Hyperlink"/>
            <w:rFonts w:cs="Arial"/>
            <w:bCs/>
          </w:rPr>
          <w:t>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2B1E66"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2B1E66"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2B1E66"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Pr="00F00D94" w:rsidRDefault="002B1E66"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4635337"/>
      <w:bookmarkEnd w:id="2"/>
      <w:r w:rsidRPr="00A0464C">
        <w:rPr>
          <w:rFonts w:cs="Arial"/>
          <w:sz w:val="24"/>
        </w:rPr>
        <w:lastRenderedPageBreak/>
        <w:t>A</w:t>
      </w:r>
      <w:r w:rsidR="00A0464C">
        <w:rPr>
          <w:rFonts w:cs="Arial"/>
          <w:sz w:val="24"/>
        </w:rPr>
        <w:t>gency Adoption of the UG and Example Citations</w:t>
      </w:r>
      <w:bookmarkEnd w:id="3"/>
    </w:p>
    <w:p w14:paraId="35D2AAD9" w14:textId="5B059A15" w:rsidR="00EF77DC" w:rsidRDefault="002B1E66"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4635338"/>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7C776716" w14:textId="298CB814" w:rsidR="00BF5EB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4635336" w:history="1">
            <w:r w:rsidR="00BF5EB7" w:rsidRPr="00F93CEB">
              <w:rPr>
                <w:rStyle w:val="Hyperlink"/>
                <w:rFonts w:cs="Arial"/>
                <w:noProof/>
              </w:rPr>
              <w:t>Important Information</w:t>
            </w:r>
            <w:r w:rsidR="00BF5EB7">
              <w:rPr>
                <w:noProof/>
                <w:webHidden/>
              </w:rPr>
              <w:tab/>
            </w:r>
            <w:r w:rsidR="00BF5EB7">
              <w:rPr>
                <w:noProof/>
                <w:webHidden/>
              </w:rPr>
              <w:fldChar w:fldCharType="begin"/>
            </w:r>
            <w:r w:rsidR="00BF5EB7">
              <w:rPr>
                <w:noProof/>
                <w:webHidden/>
              </w:rPr>
              <w:instrText xml:space="preserve"> PAGEREF _Toc174635336 \h </w:instrText>
            </w:r>
            <w:r w:rsidR="00BF5EB7">
              <w:rPr>
                <w:noProof/>
                <w:webHidden/>
              </w:rPr>
            </w:r>
            <w:r w:rsidR="00BF5EB7">
              <w:rPr>
                <w:noProof/>
                <w:webHidden/>
              </w:rPr>
              <w:fldChar w:fldCharType="separate"/>
            </w:r>
            <w:r w:rsidR="00BF5EB7">
              <w:rPr>
                <w:noProof/>
                <w:webHidden/>
              </w:rPr>
              <w:t>1</w:t>
            </w:r>
            <w:r w:rsidR="00BF5EB7">
              <w:rPr>
                <w:noProof/>
                <w:webHidden/>
              </w:rPr>
              <w:fldChar w:fldCharType="end"/>
            </w:r>
          </w:hyperlink>
        </w:p>
        <w:p w14:paraId="0BBAAE5B" w14:textId="7DA25947"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37" w:history="1">
            <w:r w:rsidRPr="00F93CEB">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_Toc174635337 \h </w:instrText>
            </w:r>
            <w:r>
              <w:rPr>
                <w:noProof/>
                <w:webHidden/>
              </w:rPr>
            </w:r>
            <w:r>
              <w:rPr>
                <w:noProof/>
                <w:webHidden/>
              </w:rPr>
              <w:fldChar w:fldCharType="separate"/>
            </w:r>
            <w:r>
              <w:rPr>
                <w:noProof/>
                <w:webHidden/>
              </w:rPr>
              <w:t>2</w:t>
            </w:r>
            <w:r>
              <w:rPr>
                <w:noProof/>
                <w:webHidden/>
              </w:rPr>
              <w:fldChar w:fldCharType="end"/>
            </w:r>
          </w:hyperlink>
        </w:p>
        <w:p w14:paraId="13BF9A2D" w14:textId="657556DE"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38" w:history="1">
            <w:r w:rsidRPr="00F93CEB">
              <w:rPr>
                <w:rStyle w:val="Hyperlink"/>
                <w:rFonts w:cs="Arial"/>
                <w:noProof/>
              </w:rPr>
              <w:t>Table of Contents</w:t>
            </w:r>
            <w:r>
              <w:rPr>
                <w:noProof/>
                <w:webHidden/>
              </w:rPr>
              <w:tab/>
            </w:r>
            <w:r>
              <w:rPr>
                <w:noProof/>
                <w:webHidden/>
              </w:rPr>
              <w:fldChar w:fldCharType="begin"/>
            </w:r>
            <w:r>
              <w:rPr>
                <w:noProof/>
                <w:webHidden/>
              </w:rPr>
              <w:instrText xml:space="preserve"> PAGEREF _Toc174635338 \h </w:instrText>
            </w:r>
            <w:r>
              <w:rPr>
                <w:noProof/>
                <w:webHidden/>
              </w:rPr>
            </w:r>
            <w:r>
              <w:rPr>
                <w:noProof/>
                <w:webHidden/>
              </w:rPr>
              <w:fldChar w:fldCharType="separate"/>
            </w:r>
            <w:r>
              <w:rPr>
                <w:noProof/>
                <w:webHidden/>
              </w:rPr>
              <w:t>3</w:t>
            </w:r>
            <w:r>
              <w:rPr>
                <w:noProof/>
                <w:webHidden/>
              </w:rPr>
              <w:fldChar w:fldCharType="end"/>
            </w:r>
          </w:hyperlink>
        </w:p>
        <w:p w14:paraId="388A5DE8" w14:textId="38F2923E"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39" w:history="1">
            <w:r w:rsidRPr="00F93CEB">
              <w:rPr>
                <w:rStyle w:val="Hyperlink"/>
                <w:rFonts w:cs="Arial"/>
                <w:noProof/>
              </w:rPr>
              <w:t>Compliance Requirement Matrix</w:t>
            </w:r>
            <w:r>
              <w:rPr>
                <w:noProof/>
                <w:webHidden/>
              </w:rPr>
              <w:tab/>
            </w:r>
            <w:r>
              <w:rPr>
                <w:noProof/>
                <w:webHidden/>
              </w:rPr>
              <w:fldChar w:fldCharType="begin"/>
            </w:r>
            <w:r>
              <w:rPr>
                <w:noProof/>
                <w:webHidden/>
              </w:rPr>
              <w:instrText xml:space="preserve"> PAGEREF _Toc174635339 \h </w:instrText>
            </w:r>
            <w:r>
              <w:rPr>
                <w:noProof/>
                <w:webHidden/>
              </w:rPr>
            </w:r>
            <w:r>
              <w:rPr>
                <w:noProof/>
                <w:webHidden/>
              </w:rPr>
              <w:fldChar w:fldCharType="separate"/>
            </w:r>
            <w:r>
              <w:rPr>
                <w:noProof/>
                <w:webHidden/>
              </w:rPr>
              <w:t>5</w:t>
            </w:r>
            <w:r>
              <w:rPr>
                <w:noProof/>
                <w:webHidden/>
              </w:rPr>
              <w:fldChar w:fldCharType="end"/>
            </w:r>
          </w:hyperlink>
        </w:p>
        <w:p w14:paraId="2F41518B" w14:textId="6A124EF0"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40" w:history="1">
            <w:r w:rsidRPr="00F93CEB">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_Toc174635340 \h </w:instrText>
            </w:r>
            <w:r>
              <w:rPr>
                <w:noProof/>
                <w:webHidden/>
              </w:rPr>
            </w:r>
            <w:r>
              <w:rPr>
                <w:noProof/>
                <w:webHidden/>
              </w:rPr>
              <w:fldChar w:fldCharType="separate"/>
            </w:r>
            <w:r>
              <w:rPr>
                <w:noProof/>
                <w:webHidden/>
              </w:rPr>
              <w:t>9</w:t>
            </w:r>
            <w:r>
              <w:rPr>
                <w:noProof/>
                <w:webHidden/>
              </w:rPr>
              <w:fldChar w:fldCharType="end"/>
            </w:r>
          </w:hyperlink>
        </w:p>
        <w:p w14:paraId="77E2072D" w14:textId="114E8191"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1" w:history="1">
            <w:r w:rsidRPr="00F93CEB">
              <w:rPr>
                <w:rStyle w:val="Hyperlink"/>
                <w:rFonts w:cs="Arial"/>
                <w:noProof/>
              </w:rPr>
              <w:t>I. Program Objectives</w:t>
            </w:r>
            <w:r>
              <w:rPr>
                <w:noProof/>
                <w:webHidden/>
              </w:rPr>
              <w:tab/>
            </w:r>
            <w:r>
              <w:rPr>
                <w:noProof/>
                <w:webHidden/>
              </w:rPr>
              <w:fldChar w:fldCharType="begin"/>
            </w:r>
            <w:r>
              <w:rPr>
                <w:noProof/>
                <w:webHidden/>
              </w:rPr>
              <w:instrText xml:space="preserve"> PAGEREF _Toc174635341 \h </w:instrText>
            </w:r>
            <w:r>
              <w:rPr>
                <w:noProof/>
                <w:webHidden/>
              </w:rPr>
            </w:r>
            <w:r>
              <w:rPr>
                <w:noProof/>
                <w:webHidden/>
              </w:rPr>
              <w:fldChar w:fldCharType="separate"/>
            </w:r>
            <w:r>
              <w:rPr>
                <w:noProof/>
                <w:webHidden/>
              </w:rPr>
              <w:t>9</w:t>
            </w:r>
            <w:r>
              <w:rPr>
                <w:noProof/>
                <w:webHidden/>
              </w:rPr>
              <w:fldChar w:fldCharType="end"/>
            </w:r>
          </w:hyperlink>
        </w:p>
        <w:p w14:paraId="353A46B4" w14:textId="22AF2E65"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2" w:history="1">
            <w:r w:rsidRPr="00F93CEB">
              <w:rPr>
                <w:rStyle w:val="Hyperlink"/>
                <w:rFonts w:cs="Arial"/>
                <w:noProof/>
              </w:rPr>
              <w:t>II. Program Procedures</w:t>
            </w:r>
            <w:r>
              <w:rPr>
                <w:noProof/>
                <w:webHidden/>
              </w:rPr>
              <w:tab/>
            </w:r>
            <w:r>
              <w:rPr>
                <w:noProof/>
                <w:webHidden/>
              </w:rPr>
              <w:fldChar w:fldCharType="begin"/>
            </w:r>
            <w:r>
              <w:rPr>
                <w:noProof/>
                <w:webHidden/>
              </w:rPr>
              <w:instrText xml:space="preserve"> PAGEREF _Toc174635342 \h </w:instrText>
            </w:r>
            <w:r>
              <w:rPr>
                <w:noProof/>
                <w:webHidden/>
              </w:rPr>
            </w:r>
            <w:r>
              <w:rPr>
                <w:noProof/>
                <w:webHidden/>
              </w:rPr>
              <w:fldChar w:fldCharType="separate"/>
            </w:r>
            <w:r>
              <w:rPr>
                <w:noProof/>
                <w:webHidden/>
              </w:rPr>
              <w:t>9</w:t>
            </w:r>
            <w:r>
              <w:rPr>
                <w:noProof/>
                <w:webHidden/>
              </w:rPr>
              <w:fldChar w:fldCharType="end"/>
            </w:r>
          </w:hyperlink>
        </w:p>
        <w:p w14:paraId="17B73CE3" w14:textId="1E359D0E"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3" w:history="1">
            <w:r w:rsidRPr="00F93CEB">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_Toc174635343 \h </w:instrText>
            </w:r>
            <w:r>
              <w:rPr>
                <w:noProof/>
                <w:webHidden/>
              </w:rPr>
            </w:r>
            <w:r>
              <w:rPr>
                <w:noProof/>
                <w:webHidden/>
              </w:rPr>
              <w:fldChar w:fldCharType="separate"/>
            </w:r>
            <w:r>
              <w:rPr>
                <w:noProof/>
                <w:webHidden/>
              </w:rPr>
              <w:t>11</w:t>
            </w:r>
            <w:r>
              <w:rPr>
                <w:noProof/>
                <w:webHidden/>
              </w:rPr>
              <w:fldChar w:fldCharType="end"/>
            </w:r>
          </w:hyperlink>
        </w:p>
        <w:p w14:paraId="6BA78D9B" w14:textId="376E98D3"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4" w:history="1">
            <w:r w:rsidRPr="00F93CEB">
              <w:rPr>
                <w:rStyle w:val="Hyperlink"/>
                <w:rFonts w:cs="Arial"/>
                <w:noProof/>
              </w:rPr>
              <w:t>IV. Other Information</w:t>
            </w:r>
            <w:r>
              <w:rPr>
                <w:noProof/>
                <w:webHidden/>
              </w:rPr>
              <w:tab/>
            </w:r>
            <w:r>
              <w:rPr>
                <w:noProof/>
                <w:webHidden/>
              </w:rPr>
              <w:fldChar w:fldCharType="begin"/>
            </w:r>
            <w:r>
              <w:rPr>
                <w:noProof/>
                <w:webHidden/>
              </w:rPr>
              <w:instrText xml:space="preserve"> PAGEREF _Toc174635344 \h </w:instrText>
            </w:r>
            <w:r>
              <w:rPr>
                <w:noProof/>
                <w:webHidden/>
              </w:rPr>
            </w:r>
            <w:r>
              <w:rPr>
                <w:noProof/>
                <w:webHidden/>
              </w:rPr>
              <w:fldChar w:fldCharType="separate"/>
            </w:r>
            <w:r>
              <w:rPr>
                <w:noProof/>
                <w:webHidden/>
              </w:rPr>
              <w:t>11</w:t>
            </w:r>
            <w:r>
              <w:rPr>
                <w:noProof/>
                <w:webHidden/>
              </w:rPr>
              <w:fldChar w:fldCharType="end"/>
            </w:r>
          </w:hyperlink>
        </w:p>
        <w:p w14:paraId="15F0558B" w14:textId="3296F621"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45" w:history="1">
            <w:r w:rsidRPr="00F93CEB">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_Toc174635345 \h </w:instrText>
            </w:r>
            <w:r>
              <w:rPr>
                <w:noProof/>
                <w:webHidden/>
              </w:rPr>
            </w:r>
            <w:r>
              <w:rPr>
                <w:noProof/>
                <w:webHidden/>
              </w:rPr>
              <w:fldChar w:fldCharType="separate"/>
            </w:r>
            <w:r>
              <w:rPr>
                <w:noProof/>
                <w:webHidden/>
              </w:rPr>
              <w:t>13</w:t>
            </w:r>
            <w:r>
              <w:rPr>
                <w:noProof/>
                <w:webHidden/>
              </w:rPr>
              <w:fldChar w:fldCharType="end"/>
            </w:r>
          </w:hyperlink>
        </w:p>
        <w:p w14:paraId="400E6E11" w14:textId="42A0A4E9"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6" w:history="1">
            <w:r w:rsidRPr="00F93CEB">
              <w:rPr>
                <w:rStyle w:val="Hyperlink"/>
                <w:rFonts w:cs="Arial"/>
                <w:noProof/>
              </w:rPr>
              <w:t>Program Overview</w:t>
            </w:r>
            <w:r>
              <w:rPr>
                <w:noProof/>
                <w:webHidden/>
              </w:rPr>
              <w:tab/>
            </w:r>
            <w:r>
              <w:rPr>
                <w:noProof/>
                <w:webHidden/>
              </w:rPr>
              <w:fldChar w:fldCharType="begin"/>
            </w:r>
            <w:r>
              <w:rPr>
                <w:noProof/>
                <w:webHidden/>
              </w:rPr>
              <w:instrText xml:space="preserve"> PAGEREF _Toc174635346 \h </w:instrText>
            </w:r>
            <w:r>
              <w:rPr>
                <w:noProof/>
                <w:webHidden/>
              </w:rPr>
            </w:r>
            <w:r>
              <w:rPr>
                <w:noProof/>
                <w:webHidden/>
              </w:rPr>
              <w:fldChar w:fldCharType="separate"/>
            </w:r>
            <w:r>
              <w:rPr>
                <w:noProof/>
                <w:webHidden/>
              </w:rPr>
              <w:t>13</w:t>
            </w:r>
            <w:r>
              <w:rPr>
                <w:noProof/>
                <w:webHidden/>
              </w:rPr>
              <w:fldChar w:fldCharType="end"/>
            </w:r>
          </w:hyperlink>
        </w:p>
        <w:p w14:paraId="04A16157" w14:textId="7C317C26"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7" w:history="1">
            <w:r w:rsidRPr="00F93CEB">
              <w:rPr>
                <w:rStyle w:val="Hyperlink"/>
                <w:rFonts w:cs="Arial"/>
                <w:noProof/>
              </w:rPr>
              <w:t>Testing Considerations</w:t>
            </w:r>
            <w:r>
              <w:rPr>
                <w:noProof/>
                <w:webHidden/>
              </w:rPr>
              <w:tab/>
            </w:r>
            <w:r>
              <w:rPr>
                <w:noProof/>
                <w:webHidden/>
              </w:rPr>
              <w:fldChar w:fldCharType="begin"/>
            </w:r>
            <w:r>
              <w:rPr>
                <w:noProof/>
                <w:webHidden/>
              </w:rPr>
              <w:instrText xml:space="preserve"> PAGEREF _Toc174635347 \h </w:instrText>
            </w:r>
            <w:r>
              <w:rPr>
                <w:noProof/>
                <w:webHidden/>
              </w:rPr>
            </w:r>
            <w:r>
              <w:rPr>
                <w:noProof/>
                <w:webHidden/>
              </w:rPr>
              <w:fldChar w:fldCharType="separate"/>
            </w:r>
            <w:r>
              <w:rPr>
                <w:noProof/>
                <w:webHidden/>
              </w:rPr>
              <w:t>13</w:t>
            </w:r>
            <w:r>
              <w:rPr>
                <w:noProof/>
                <w:webHidden/>
              </w:rPr>
              <w:fldChar w:fldCharType="end"/>
            </w:r>
          </w:hyperlink>
        </w:p>
        <w:p w14:paraId="3E1FEDF1" w14:textId="0C9052E0"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48" w:history="1">
            <w:r w:rsidRPr="00F93CEB">
              <w:rPr>
                <w:rStyle w:val="Hyperlink"/>
                <w:rFonts w:cs="Arial"/>
                <w:noProof/>
              </w:rPr>
              <w:t>Reporting</w:t>
            </w:r>
            <w:r>
              <w:rPr>
                <w:noProof/>
                <w:webHidden/>
              </w:rPr>
              <w:tab/>
            </w:r>
            <w:r>
              <w:rPr>
                <w:noProof/>
                <w:webHidden/>
              </w:rPr>
              <w:fldChar w:fldCharType="begin"/>
            </w:r>
            <w:r>
              <w:rPr>
                <w:noProof/>
                <w:webHidden/>
              </w:rPr>
              <w:instrText xml:space="preserve"> PAGEREF _Toc174635348 \h </w:instrText>
            </w:r>
            <w:r>
              <w:rPr>
                <w:noProof/>
                <w:webHidden/>
              </w:rPr>
            </w:r>
            <w:r>
              <w:rPr>
                <w:noProof/>
                <w:webHidden/>
              </w:rPr>
              <w:fldChar w:fldCharType="separate"/>
            </w:r>
            <w:r>
              <w:rPr>
                <w:noProof/>
                <w:webHidden/>
              </w:rPr>
              <w:t>13</w:t>
            </w:r>
            <w:r>
              <w:rPr>
                <w:noProof/>
                <w:webHidden/>
              </w:rPr>
              <w:fldChar w:fldCharType="end"/>
            </w:r>
          </w:hyperlink>
        </w:p>
        <w:p w14:paraId="69F81E40" w14:textId="44DD09D0" w:rsidR="00BF5EB7" w:rsidRDefault="00BF5EB7">
          <w:pPr>
            <w:pStyle w:val="TOC1"/>
            <w:rPr>
              <w:rFonts w:asciiTheme="minorHAnsi" w:eastAsiaTheme="minorEastAsia" w:hAnsiTheme="minorHAnsi" w:cstheme="minorBidi"/>
              <w:noProof/>
              <w:kern w:val="2"/>
              <w:sz w:val="24"/>
              <w:szCs w:val="24"/>
              <w14:ligatures w14:val="standardContextual"/>
            </w:rPr>
          </w:pPr>
          <w:hyperlink w:anchor="_Toc174635349" w:history="1">
            <w:r w:rsidRPr="00F93CEB">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_Toc174635349 \h </w:instrText>
            </w:r>
            <w:r>
              <w:rPr>
                <w:noProof/>
                <w:webHidden/>
              </w:rPr>
            </w:r>
            <w:r>
              <w:rPr>
                <w:noProof/>
                <w:webHidden/>
              </w:rPr>
              <w:fldChar w:fldCharType="separate"/>
            </w:r>
            <w:r>
              <w:rPr>
                <w:noProof/>
                <w:webHidden/>
              </w:rPr>
              <w:t>14</w:t>
            </w:r>
            <w:r>
              <w:rPr>
                <w:noProof/>
                <w:webHidden/>
              </w:rPr>
              <w:fldChar w:fldCharType="end"/>
            </w:r>
          </w:hyperlink>
        </w:p>
        <w:p w14:paraId="6EAD6612" w14:textId="0A9748A8" w:rsidR="00BF5EB7" w:rsidRDefault="00BF5EB7">
          <w:pPr>
            <w:pStyle w:val="TOC2"/>
            <w:rPr>
              <w:rFonts w:asciiTheme="minorHAnsi" w:eastAsiaTheme="minorEastAsia" w:hAnsiTheme="minorHAnsi" w:cstheme="minorBidi"/>
              <w:bCs w:val="0"/>
              <w:kern w:val="2"/>
              <w:sz w:val="24"/>
              <w14:ligatures w14:val="standardContextual"/>
            </w:rPr>
          </w:pPr>
          <w:hyperlink w:anchor="_Toc174635350" w:history="1">
            <w:r w:rsidRPr="00F93CEB">
              <w:rPr>
                <w:rStyle w:val="Hyperlink"/>
              </w:rPr>
              <w:t>A.  ACTIVITIES ALLOWED OR UNALLOWED</w:t>
            </w:r>
            <w:r>
              <w:rPr>
                <w:webHidden/>
              </w:rPr>
              <w:tab/>
            </w:r>
            <w:r>
              <w:rPr>
                <w:webHidden/>
              </w:rPr>
              <w:fldChar w:fldCharType="begin"/>
            </w:r>
            <w:r>
              <w:rPr>
                <w:webHidden/>
              </w:rPr>
              <w:instrText xml:space="preserve"> PAGEREF _Toc174635350 \h </w:instrText>
            </w:r>
            <w:r>
              <w:rPr>
                <w:webHidden/>
              </w:rPr>
            </w:r>
            <w:r>
              <w:rPr>
                <w:webHidden/>
              </w:rPr>
              <w:fldChar w:fldCharType="separate"/>
            </w:r>
            <w:r>
              <w:rPr>
                <w:webHidden/>
              </w:rPr>
              <w:t>14</w:t>
            </w:r>
            <w:r>
              <w:rPr>
                <w:webHidden/>
              </w:rPr>
              <w:fldChar w:fldCharType="end"/>
            </w:r>
          </w:hyperlink>
        </w:p>
        <w:p w14:paraId="0D31C52A" w14:textId="7EBA3E33"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1" w:history="1">
            <w:r w:rsidRPr="00F93CEB">
              <w:rPr>
                <w:rStyle w:val="Hyperlink"/>
                <w:rFonts w:cs="Arial"/>
                <w:noProof/>
              </w:rPr>
              <w:t>OMB Compliance Requirements</w:t>
            </w:r>
            <w:r>
              <w:rPr>
                <w:noProof/>
                <w:webHidden/>
              </w:rPr>
              <w:tab/>
            </w:r>
            <w:r>
              <w:rPr>
                <w:noProof/>
                <w:webHidden/>
              </w:rPr>
              <w:fldChar w:fldCharType="begin"/>
            </w:r>
            <w:r>
              <w:rPr>
                <w:noProof/>
                <w:webHidden/>
              </w:rPr>
              <w:instrText xml:space="preserve"> PAGEREF _Toc174635351 \h </w:instrText>
            </w:r>
            <w:r>
              <w:rPr>
                <w:noProof/>
                <w:webHidden/>
              </w:rPr>
            </w:r>
            <w:r>
              <w:rPr>
                <w:noProof/>
                <w:webHidden/>
              </w:rPr>
              <w:fldChar w:fldCharType="separate"/>
            </w:r>
            <w:r>
              <w:rPr>
                <w:noProof/>
                <w:webHidden/>
              </w:rPr>
              <w:t>14</w:t>
            </w:r>
            <w:r>
              <w:rPr>
                <w:noProof/>
                <w:webHidden/>
              </w:rPr>
              <w:fldChar w:fldCharType="end"/>
            </w:r>
          </w:hyperlink>
        </w:p>
        <w:p w14:paraId="4965A337" w14:textId="1904A9E6"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2" w:history="1">
            <w:r w:rsidRPr="00F93CE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_Toc174635352 \h </w:instrText>
            </w:r>
            <w:r>
              <w:rPr>
                <w:noProof/>
                <w:webHidden/>
              </w:rPr>
            </w:r>
            <w:r>
              <w:rPr>
                <w:noProof/>
                <w:webHidden/>
              </w:rPr>
              <w:fldChar w:fldCharType="separate"/>
            </w:r>
            <w:r>
              <w:rPr>
                <w:noProof/>
                <w:webHidden/>
              </w:rPr>
              <w:t>16</w:t>
            </w:r>
            <w:r>
              <w:rPr>
                <w:noProof/>
                <w:webHidden/>
              </w:rPr>
              <w:fldChar w:fldCharType="end"/>
            </w:r>
          </w:hyperlink>
        </w:p>
        <w:p w14:paraId="5B334F58" w14:textId="23958422"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3" w:history="1">
            <w:r w:rsidRPr="00F93CEB">
              <w:rPr>
                <w:rStyle w:val="Hyperlink"/>
                <w:noProof/>
              </w:rPr>
              <w:t>Audit Objectives and Control Testing</w:t>
            </w:r>
            <w:r>
              <w:rPr>
                <w:noProof/>
                <w:webHidden/>
              </w:rPr>
              <w:tab/>
            </w:r>
            <w:r>
              <w:rPr>
                <w:noProof/>
                <w:webHidden/>
              </w:rPr>
              <w:fldChar w:fldCharType="begin"/>
            </w:r>
            <w:r>
              <w:rPr>
                <w:noProof/>
                <w:webHidden/>
              </w:rPr>
              <w:instrText xml:space="preserve"> PAGEREF _Toc174635353 \h </w:instrText>
            </w:r>
            <w:r>
              <w:rPr>
                <w:noProof/>
                <w:webHidden/>
              </w:rPr>
            </w:r>
            <w:r>
              <w:rPr>
                <w:noProof/>
                <w:webHidden/>
              </w:rPr>
              <w:fldChar w:fldCharType="separate"/>
            </w:r>
            <w:r>
              <w:rPr>
                <w:noProof/>
                <w:webHidden/>
              </w:rPr>
              <w:t>16</w:t>
            </w:r>
            <w:r>
              <w:rPr>
                <w:noProof/>
                <w:webHidden/>
              </w:rPr>
              <w:fldChar w:fldCharType="end"/>
            </w:r>
          </w:hyperlink>
        </w:p>
        <w:p w14:paraId="5A77BF0E" w14:textId="3056A622"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4" w:history="1">
            <w:r w:rsidRPr="00F93CE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_Toc174635354 \h </w:instrText>
            </w:r>
            <w:r>
              <w:rPr>
                <w:noProof/>
                <w:webHidden/>
              </w:rPr>
            </w:r>
            <w:r>
              <w:rPr>
                <w:noProof/>
                <w:webHidden/>
              </w:rPr>
              <w:fldChar w:fldCharType="separate"/>
            </w:r>
            <w:r>
              <w:rPr>
                <w:noProof/>
                <w:webHidden/>
              </w:rPr>
              <w:t>17</w:t>
            </w:r>
            <w:r>
              <w:rPr>
                <w:noProof/>
                <w:webHidden/>
              </w:rPr>
              <w:fldChar w:fldCharType="end"/>
            </w:r>
          </w:hyperlink>
        </w:p>
        <w:p w14:paraId="3EE95EFE" w14:textId="4E8E4A47"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5" w:history="1">
            <w:r w:rsidRPr="00F93CEB">
              <w:rPr>
                <w:rStyle w:val="Hyperlink"/>
                <w:rFonts w:cs="Arial"/>
                <w:noProof/>
              </w:rPr>
              <w:t>Audit Implications Summary</w:t>
            </w:r>
            <w:r>
              <w:rPr>
                <w:noProof/>
                <w:webHidden/>
              </w:rPr>
              <w:tab/>
            </w:r>
            <w:r>
              <w:rPr>
                <w:noProof/>
                <w:webHidden/>
              </w:rPr>
              <w:fldChar w:fldCharType="begin"/>
            </w:r>
            <w:r>
              <w:rPr>
                <w:noProof/>
                <w:webHidden/>
              </w:rPr>
              <w:instrText xml:space="preserve"> PAGEREF _Toc174635355 \h </w:instrText>
            </w:r>
            <w:r>
              <w:rPr>
                <w:noProof/>
                <w:webHidden/>
              </w:rPr>
            </w:r>
            <w:r>
              <w:rPr>
                <w:noProof/>
                <w:webHidden/>
              </w:rPr>
              <w:fldChar w:fldCharType="separate"/>
            </w:r>
            <w:r>
              <w:rPr>
                <w:noProof/>
                <w:webHidden/>
              </w:rPr>
              <w:t>18</w:t>
            </w:r>
            <w:r>
              <w:rPr>
                <w:noProof/>
                <w:webHidden/>
              </w:rPr>
              <w:fldChar w:fldCharType="end"/>
            </w:r>
          </w:hyperlink>
        </w:p>
        <w:p w14:paraId="19EE0720" w14:textId="24F681B7" w:rsidR="00BF5EB7" w:rsidRDefault="00BF5EB7">
          <w:pPr>
            <w:pStyle w:val="TOC2"/>
            <w:rPr>
              <w:rFonts w:asciiTheme="minorHAnsi" w:eastAsiaTheme="minorEastAsia" w:hAnsiTheme="minorHAnsi" w:cstheme="minorBidi"/>
              <w:bCs w:val="0"/>
              <w:kern w:val="2"/>
              <w:sz w:val="24"/>
              <w14:ligatures w14:val="standardContextual"/>
            </w:rPr>
          </w:pPr>
          <w:hyperlink w:anchor="_Toc174635356" w:history="1">
            <w:r w:rsidRPr="00F93CEB">
              <w:rPr>
                <w:rStyle w:val="Hyperlink"/>
              </w:rPr>
              <w:t>B.  ALLOWABLE COSTS/COST PRINCIPLES</w:t>
            </w:r>
            <w:r>
              <w:rPr>
                <w:webHidden/>
              </w:rPr>
              <w:tab/>
            </w:r>
            <w:r>
              <w:rPr>
                <w:webHidden/>
              </w:rPr>
              <w:fldChar w:fldCharType="begin"/>
            </w:r>
            <w:r>
              <w:rPr>
                <w:webHidden/>
              </w:rPr>
              <w:instrText xml:space="preserve"> PAGEREF _Toc174635356 \h </w:instrText>
            </w:r>
            <w:r>
              <w:rPr>
                <w:webHidden/>
              </w:rPr>
            </w:r>
            <w:r>
              <w:rPr>
                <w:webHidden/>
              </w:rPr>
              <w:fldChar w:fldCharType="separate"/>
            </w:r>
            <w:r>
              <w:rPr>
                <w:webHidden/>
              </w:rPr>
              <w:t>19</w:t>
            </w:r>
            <w:r>
              <w:rPr>
                <w:webHidden/>
              </w:rPr>
              <w:fldChar w:fldCharType="end"/>
            </w:r>
          </w:hyperlink>
        </w:p>
        <w:p w14:paraId="5B9409BA" w14:textId="4E124465"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7" w:history="1">
            <w:r w:rsidRPr="00F93CEB">
              <w:rPr>
                <w:rStyle w:val="Hyperlink"/>
                <w:rFonts w:cs="Arial"/>
                <w:noProof/>
              </w:rPr>
              <w:t>Applicability of Cost Principles</w:t>
            </w:r>
            <w:r>
              <w:rPr>
                <w:noProof/>
                <w:webHidden/>
              </w:rPr>
              <w:tab/>
            </w:r>
            <w:r>
              <w:rPr>
                <w:noProof/>
                <w:webHidden/>
              </w:rPr>
              <w:fldChar w:fldCharType="begin"/>
            </w:r>
            <w:r>
              <w:rPr>
                <w:noProof/>
                <w:webHidden/>
              </w:rPr>
              <w:instrText xml:space="preserve"> PAGEREF _Toc174635357 \h </w:instrText>
            </w:r>
            <w:r>
              <w:rPr>
                <w:noProof/>
                <w:webHidden/>
              </w:rPr>
            </w:r>
            <w:r>
              <w:rPr>
                <w:noProof/>
                <w:webHidden/>
              </w:rPr>
              <w:fldChar w:fldCharType="separate"/>
            </w:r>
            <w:r>
              <w:rPr>
                <w:noProof/>
                <w:webHidden/>
              </w:rPr>
              <w:t>20</w:t>
            </w:r>
            <w:r>
              <w:rPr>
                <w:noProof/>
                <w:webHidden/>
              </w:rPr>
              <w:fldChar w:fldCharType="end"/>
            </w:r>
          </w:hyperlink>
        </w:p>
        <w:p w14:paraId="5945F9C3" w14:textId="44559567"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8" w:history="1">
            <w:r w:rsidRPr="00F93CE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_Toc174635358 \h </w:instrText>
            </w:r>
            <w:r>
              <w:rPr>
                <w:noProof/>
                <w:webHidden/>
              </w:rPr>
            </w:r>
            <w:r>
              <w:rPr>
                <w:noProof/>
                <w:webHidden/>
              </w:rPr>
              <w:fldChar w:fldCharType="separate"/>
            </w:r>
            <w:r>
              <w:rPr>
                <w:noProof/>
                <w:webHidden/>
              </w:rPr>
              <w:t>23</w:t>
            </w:r>
            <w:r>
              <w:rPr>
                <w:noProof/>
                <w:webHidden/>
              </w:rPr>
              <w:fldChar w:fldCharType="end"/>
            </w:r>
          </w:hyperlink>
        </w:p>
        <w:p w14:paraId="6C8B9BD5" w14:textId="69085C4F"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59" w:history="1">
            <w:r w:rsidRPr="00F93CEB">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_Toc174635359 \h </w:instrText>
            </w:r>
            <w:r>
              <w:rPr>
                <w:noProof/>
                <w:webHidden/>
              </w:rPr>
            </w:r>
            <w:r>
              <w:rPr>
                <w:noProof/>
                <w:webHidden/>
              </w:rPr>
              <w:fldChar w:fldCharType="separate"/>
            </w:r>
            <w:r>
              <w:rPr>
                <w:noProof/>
                <w:webHidden/>
              </w:rPr>
              <w:t>23</w:t>
            </w:r>
            <w:r>
              <w:rPr>
                <w:noProof/>
                <w:webHidden/>
              </w:rPr>
              <w:fldChar w:fldCharType="end"/>
            </w:r>
          </w:hyperlink>
        </w:p>
        <w:p w14:paraId="42E62D18" w14:textId="51575851"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0" w:history="1">
            <w:r w:rsidRPr="00F93CEB">
              <w:rPr>
                <w:rStyle w:val="Hyperlink"/>
                <w:rFonts w:cs="Arial"/>
                <w:noProof/>
              </w:rPr>
              <w:t>OMB Compliance Requirements</w:t>
            </w:r>
            <w:r>
              <w:rPr>
                <w:noProof/>
                <w:webHidden/>
              </w:rPr>
              <w:tab/>
            </w:r>
            <w:r>
              <w:rPr>
                <w:noProof/>
                <w:webHidden/>
              </w:rPr>
              <w:fldChar w:fldCharType="begin"/>
            </w:r>
            <w:r>
              <w:rPr>
                <w:noProof/>
                <w:webHidden/>
              </w:rPr>
              <w:instrText xml:space="preserve"> PAGEREF _Toc174635360 \h </w:instrText>
            </w:r>
            <w:r>
              <w:rPr>
                <w:noProof/>
                <w:webHidden/>
              </w:rPr>
            </w:r>
            <w:r>
              <w:rPr>
                <w:noProof/>
                <w:webHidden/>
              </w:rPr>
              <w:fldChar w:fldCharType="separate"/>
            </w:r>
            <w:r>
              <w:rPr>
                <w:noProof/>
                <w:webHidden/>
              </w:rPr>
              <w:t>23</w:t>
            </w:r>
            <w:r>
              <w:rPr>
                <w:noProof/>
                <w:webHidden/>
              </w:rPr>
              <w:fldChar w:fldCharType="end"/>
            </w:r>
          </w:hyperlink>
        </w:p>
        <w:p w14:paraId="135CCF28" w14:textId="7D8BACDE"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1" w:history="1">
            <w:r w:rsidRPr="00F93CEB">
              <w:rPr>
                <w:rStyle w:val="Hyperlink"/>
                <w:rFonts w:cs="Arial"/>
                <w:noProof/>
              </w:rPr>
              <w:t>Audit Implications Summary</w:t>
            </w:r>
            <w:r>
              <w:rPr>
                <w:noProof/>
                <w:webHidden/>
              </w:rPr>
              <w:tab/>
            </w:r>
            <w:r>
              <w:rPr>
                <w:noProof/>
                <w:webHidden/>
              </w:rPr>
              <w:fldChar w:fldCharType="begin"/>
            </w:r>
            <w:r>
              <w:rPr>
                <w:noProof/>
                <w:webHidden/>
              </w:rPr>
              <w:instrText xml:space="preserve"> PAGEREF _Toc174635361 \h </w:instrText>
            </w:r>
            <w:r>
              <w:rPr>
                <w:noProof/>
                <w:webHidden/>
              </w:rPr>
            </w:r>
            <w:r>
              <w:rPr>
                <w:noProof/>
                <w:webHidden/>
              </w:rPr>
              <w:fldChar w:fldCharType="separate"/>
            </w:r>
            <w:r>
              <w:rPr>
                <w:noProof/>
                <w:webHidden/>
              </w:rPr>
              <w:t>31</w:t>
            </w:r>
            <w:r>
              <w:rPr>
                <w:noProof/>
                <w:webHidden/>
              </w:rPr>
              <w:fldChar w:fldCharType="end"/>
            </w:r>
          </w:hyperlink>
        </w:p>
        <w:p w14:paraId="6A83F869" w14:textId="019034FF" w:rsidR="00BF5EB7" w:rsidRDefault="00BF5EB7">
          <w:pPr>
            <w:pStyle w:val="TOC2"/>
            <w:rPr>
              <w:rFonts w:asciiTheme="minorHAnsi" w:eastAsiaTheme="minorEastAsia" w:hAnsiTheme="minorHAnsi" w:cstheme="minorBidi"/>
              <w:bCs w:val="0"/>
              <w:kern w:val="2"/>
              <w:sz w:val="24"/>
              <w14:ligatures w14:val="standardContextual"/>
            </w:rPr>
          </w:pPr>
          <w:hyperlink w:anchor="_Toc174635362" w:history="1">
            <w:r w:rsidRPr="00F93CEB">
              <w:rPr>
                <w:rStyle w:val="Hyperlink"/>
              </w:rPr>
              <w:t>C. CASH MANAGEMENT</w:t>
            </w:r>
            <w:r>
              <w:rPr>
                <w:webHidden/>
              </w:rPr>
              <w:tab/>
            </w:r>
            <w:r>
              <w:rPr>
                <w:webHidden/>
              </w:rPr>
              <w:fldChar w:fldCharType="begin"/>
            </w:r>
            <w:r>
              <w:rPr>
                <w:webHidden/>
              </w:rPr>
              <w:instrText xml:space="preserve"> PAGEREF _Toc174635362 \h </w:instrText>
            </w:r>
            <w:r>
              <w:rPr>
                <w:webHidden/>
              </w:rPr>
            </w:r>
            <w:r>
              <w:rPr>
                <w:webHidden/>
              </w:rPr>
              <w:fldChar w:fldCharType="separate"/>
            </w:r>
            <w:r>
              <w:rPr>
                <w:webHidden/>
              </w:rPr>
              <w:t>33</w:t>
            </w:r>
            <w:r>
              <w:rPr>
                <w:webHidden/>
              </w:rPr>
              <w:fldChar w:fldCharType="end"/>
            </w:r>
          </w:hyperlink>
        </w:p>
        <w:p w14:paraId="63DDCDE7" w14:textId="18F0F7F0"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3" w:history="1">
            <w:r w:rsidRPr="00F93CEB">
              <w:rPr>
                <w:rStyle w:val="Hyperlink"/>
                <w:rFonts w:cs="Arial"/>
                <w:noProof/>
              </w:rPr>
              <w:t>OMB Compliance Requirements</w:t>
            </w:r>
            <w:r>
              <w:rPr>
                <w:noProof/>
                <w:webHidden/>
              </w:rPr>
              <w:tab/>
            </w:r>
            <w:r>
              <w:rPr>
                <w:noProof/>
                <w:webHidden/>
              </w:rPr>
              <w:fldChar w:fldCharType="begin"/>
            </w:r>
            <w:r>
              <w:rPr>
                <w:noProof/>
                <w:webHidden/>
              </w:rPr>
              <w:instrText xml:space="preserve"> PAGEREF _Toc174635363 \h </w:instrText>
            </w:r>
            <w:r>
              <w:rPr>
                <w:noProof/>
                <w:webHidden/>
              </w:rPr>
            </w:r>
            <w:r>
              <w:rPr>
                <w:noProof/>
                <w:webHidden/>
              </w:rPr>
              <w:fldChar w:fldCharType="separate"/>
            </w:r>
            <w:r>
              <w:rPr>
                <w:noProof/>
                <w:webHidden/>
              </w:rPr>
              <w:t>33</w:t>
            </w:r>
            <w:r>
              <w:rPr>
                <w:noProof/>
                <w:webHidden/>
              </w:rPr>
              <w:fldChar w:fldCharType="end"/>
            </w:r>
          </w:hyperlink>
        </w:p>
        <w:p w14:paraId="4F30F720" w14:textId="4B6BDAF3"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4" w:history="1">
            <w:r w:rsidRPr="00F93CE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_Toc174635364 \h </w:instrText>
            </w:r>
            <w:r>
              <w:rPr>
                <w:noProof/>
                <w:webHidden/>
              </w:rPr>
            </w:r>
            <w:r>
              <w:rPr>
                <w:noProof/>
                <w:webHidden/>
              </w:rPr>
              <w:fldChar w:fldCharType="separate"/>
            </w:r>
            <w:r>
              <w:rPr>
                <w:noProof/>
                <w:webHidden/>
              </w:rPr>
              <w:t>35</w:t>
            </w:r>
            <w:r>
              <w:rPr>
                <w:noProof/>
                <w:webHidden/>
              </w:rPr>
              <w:fldChar w:fldCharType="end"/>
            </w:r>
          </w:hyperlink>
        </w:p>
        <w:p w14:paraId="24856928" w14:textId="47262CF5"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5" w:history="1">
            <w:r w:rsidRPr="00F93CE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_Toc174635365 \h </w:instrText>
            </w:r>
            <w:r>
              <w:rPr>
                <w:noProof/>
                <w:webHidden/>
              </w:rPr>
            </w:r>
            <w:r>
              <w:rPr>
                <w:noProof/>
                <w:webHidden/>
              </w:rPr>
              <w:fldChar w:fldCharType="separate"/>
            </w:r>
            <w:r>
              <w:rPr>
                <w:noProof/>
                <w:webHidden/>
              </w:rPr>
              <w:t>35</w:t>
            </w:r>
            <w:r>
              <w:rPr>
                <w:noProof/>
                <w:webHidden/>
              </w:rPr>
              <w:fldChar w:fldCharType="end"/>
            </w:r>
          </w:hyperlink>
        </w:p>
        <w:p w14:paraId="2D1FF7E7" w14:textId="53E1F413"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6" w:history="1">
            <w:r w:rsidRPr="00F93CE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_Toc174635366 \h </w:instrText>
            </w:r>
            <w:r>
              <w:rPr>
                <w:noProof/>
                <w:webHidden/>
              </w:rPr>
            </w:r>
            <w:r>
              <w:rPr>
                <w:noProof/>
                <w:webHidden/>
              </w:rPr>
              <w:fldChar w:fldCharType="separate"/>
            </w:r>
            <w:r>
              <w:rPr>
                <w:noProof/>
                <w:webHidden/>
              </w:rPr>
              <w:t>37</w:t>
            </w:r>
            <w:r>
              <w:rPr>
                <w:noProof/>
                <w:webHidden/>
              </w:rPr>
              <w:fldChar w:fldCharType="end"/>
            </w:r>
          </w:hyperlink>
        </w:p>
        <w:p w14:paraId="3E7620A0" w14:textId="38B95910"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7" w:history="1">
            <w:r w:rsidRPr="00F93CEB">
              <w:rPr>
                <w:rStyle w:val="Hyperlink"/>
                <w:rFonts w:cs="Arial"/>
                <w:noProof/>
              </w:rPr>
              <w:t>Audit Implications Summary</w:t>
            </w:r>
            <w:r>
              <w:rPr>
                <w:noProof/>
                <w:webHidden/>
              </w:rPr>
              <w:tab/>
            </w:r>
            <w:r>
              <w:rPr>
                <w:noProof/>
                <w:webHidden/>
              </w:rPr>
              <w:fldChar w:fldCharType="begin"/>
            </w:r>
            <w:r>
              <w:rPr>
                <w:noProof/>
                <w:webHidden/>
              </w:rPr>
              <w:instrText xml:space="preserve"> PAGEREF _Toc174635367 \h </w:instrText>
            </w:r>
            <w:r>
              <w:rPr>
                <w:noProof/>
                <w:webHidden/>
              </w:rPr>
            </w:r>
            <w:r>
              <w:rPr>
                <w:noProof/>
                <w:webHidden/>
              </w:rPr>
              <w:fldChar w:fldCharType="separate"/>
            </w:r>
            <w:r>
              <w:rPr>
                <w:noProof/>
                <w:webHidden/>
              </w:rPr>
              <w:t>38</w:t>
            </w:r>
            <w:r>
              <w:rPr>
                <w:noProof/>
                <w:webHidden/>
              </w:rPr>
              <w:fldChar w:fldCharType="end"/>
            </w:r>
          </w:hyperlink>
        </w:p>
        <w:p w14:paraId="54CE6D72" w14:textId="739562D4" w:rsidR="00BF5EB7" w:rsidRDefault="00BF5EB7">
          <w:pPr>
            <w:pStyle w:val="TOC2"/>
            <w:rPr>
              <w:rFonts w:asciiTheme="minorHAnsi" w:eastAsiaTheme="minorEastAsia" w:hAnsiTheme="minorHAnsi" w:cstheme="minorBidi"/>
              <w:bCs w:val="0"/>
              <w:kern w:val="2"/>
              <w:sz w:val="24"/>
              <w14:ligatures w14:val="standardContextual"/>
            </w:rPr>
          </w:pPr>
          <w:hyperlink w:anchor="_Toc174635368" w:history="1">
            <w:r w:rsidRPr="00F93CEB">
              <w:rPr>
                <w:rStyle w:val="Hyperlink"/>
              </w:rPr>
              <w:t>H.  PERIOD OF PERFORMANCE</w:t>
            </w:r>
            <w:r>
              <w:rPr>
                <w:webHidden/>
              </w:rPr>
              <w:tab/>
            </w:r>
            <w:r>
              <w:rPr>
                <w:webHidden/>
              </w:rPr>
              <w:fldChar w:fldCharType="begin"/>
            </w:r>
            <w:r>
              <w:rPr>
                <w:webHidden/>
              </w:rPr>
              <w:instrText xml:space="preserve"> PAGEREF _Toc174635368 \h </w:instrText>
            </w:r>
            <w:r>
              <w:rPr>
                <w:webHidden/>
              </w:rPr>
            </w:r>
            <w:r>
              <w:rPr>
                <w:webHidden/>
              </w:rPr>
              <w:fldChar w:fldCharType="separate"/>
            </w:r>
            <w:r>
              <w:rPr>
                <w:webHidden/>
              </w:rPr>
              <w:t>40</w:t>
            </w:r>
            <w:r>
              <w:rPr>
                <w:webHidden/>
              </w:rPr>
              <w:fldChar w:fldCharType="end"/>
            </w:r>
          </w:hyperlink>
        </w:p>
        <w:p w14:paraId="0E4987A8" w14:textId="6E5887C4"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69" w:history="1">
            <w:r w:rsidRPr="00F93CEB">
              <w:rPr>
                <w:rStyle w:val="Hyperlink"/>
                <w:rFonts w:cs="Arial"/>
                <w:noProof/>
              </w:rPr>
              <w:t>OMB Compliance Requirements</w:t>
            </w:r>
            <w:r>
              <w:rPr>
                <w:noProof/>
                <w:webHidden/>
              </w:rPr>
              <w:tab/>
            </w:r>
            <w:r>
              <w:rPr>
                <w:noProof/>
                <w:webHidden/>
              </w:rPr>
              <w:fldChar w:fldCharType="begin"/>
            </w:r>
            <w:r>
              <w:rPr>
                <w:noProof/>
                <w:webHidden/>
              </w:rPr>
              <w:instrText xml:space="preserve"> PAGEREF _Toc174635369 \h </w:instrText>
            </w:r>
            <w:r>
              <w:rPr>
                <w:noProof/>
                <w:webHidden/>
              </w:rPr>
            </w:r>
            <w:r>
              <w:rPr>
                <w:noProof/>
                <w:webHidden/>
              </w:rPr>
              <w:fldChar w:fldCharType="separate"/>
            </w:r>
            <w:r>
              <w:rPr>
                <w:noProof/>
                <w:webHidden/>
              </w:rPr>
              <w:t>40</w:t>
            </w:r>
            <w:r>
              <w:rPr>
                <w:noProof/>
                <w:webHidden/>
              </w:rPr>
              <w:fldChar w:fldCharType="end"/>
            </w:r>
          </w:hyperlink>
        </w:p>
        <w:p w14:paraId="35E5F852" w14:textId="0CAC73AD"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0" w:history="1">
            <w:r w:rsidRPr="00F93CE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_Toc174635370 \h </w:instrText>
            </w:r>
            <w:r>
              <w:rPr>
                <w:noProof/>
                <w:webHidden/>
              </w:rPr>
            </w:r>
            <w:r>
              <w:rPr>
                <w:noProof/>
                <w:webHidden/>
              </w:rPr>
              <w:fldChar w:fldCharType="separate"/>
            </w:r>
            <w:r>
              <w:rPr>
                <w:noProof/>
                <w:webHidden/>
              </w:rPr>
              <w:t>41</w:t>
            </w:r>
            <w:r>
              <w:rPr>
                <w:noProof/>
                <w:webHidden/>
              </w:rPr>
              <w:fldChar w:fldCharType="end"/>
            </w:r>
          </w:hyperlink>
        </w:p>
        <w:p w14:paraId="527435C8" w14:textId="5E0DEF69"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1" w:history="1">
            <w:r w:rsidRPr="00F93CE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_Toc174635371 \h </w:instrText>
            </w:r>
            <w:r>
              <w:rPr>
                <w:noProof/>
                <w:webHidden/>
              </w:rPr>
            </w:r>
            <w:r>
              <w:rPr>
                <w:noProof/>
                <w:webHidden/>
              </w:rPr>
              <w:fldChar w:fldCharType="separate"/>
            </w:r>
            <w:r>
              <w:rPr>
                <w:noProof/>
                <w:webHidden/>
              </w:rPr>
              <w:t>41</w:t>
            </w:r>
            <w:r>
              <w:rPr>
                <w:noProof/>
                <w:webHidden/>
              </w:rPr>
              <w:fldChar w:fldCharType="end"/>
            </w:r>
          </w:hyperlink>
        </w:p>
        <w:p w14:paraId="4F402B3F" w14:textId="19016294"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2" w:history="1">
            <w:r w:rsidRPr="00F93CE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_Toc174635372 \h </w:instrText>
            </w:r>
            <w:r>
              <w:rPr>
                <w:noProof/>
                <w:webHidden/>
              </w:rPr>
            </w:r>
            <w:r>
              <w:rPr>
                <w:noProof/>
                <w:webHidden/>
              </w:rPr>
              <w:fldChar w:fldCharType="separate"/>
            </w:r>
            <w:r>
              <w:rPr>
                <w:noProof/>
                <w:webHidden/>
              </w:rPr>
              <w:t>42</w:t>
            </w:r>
            <w:r>
              <w:rPr>
                <w:noProof/>
                <w:webHidden/>
              </w:rPr>
              <w:fldChar w:fldCharType="end"/>
            </w:r>
          </w:hyperlink>
        </w:p>
        <w:p w14:paraId="6BC7F7CF" w14:textId="42356CA6"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3" w:history="1">
            <w:r w:rsidRPr="00F93CEB">
              <w:rPr>
                <w:rStyle w:val="Hyperlink"/>
                <w:rFonts w:cs="Arial"/>
                <w:noProof/>
              </w:rPr>
              <w:t>Audit Implications Summary</w:t>
            </w:r>
            <w:r>
              <w:rPr>
                <w:noProof/>
                <w:webHidden/>
              </w:rPr>
              <w:tab/>
            </w:r>
            <w:r>
              <w:rPr>
                <w:noProof/>
                <w:webHidden/>
              </w:rPr>
              <w:fldChar w:fldCharType="begin"/>
            </w:r>
            <w:r>
              <w:rPr>
                <w:noProof/>
                <w:webHidden/>
              </w:rPr>
              <w:instrText xml:space="preserve"> PAGEREF _Toc174635373 \h </w:instrText>
            </w:r>
            <w:r>
              <w:rPr>
                <w:noProof/>
                <w:webHidden/>
              </w:rPr>
            </w:r>
            <w:r>
              <w:rPr>
                <w:noProof/>
                <w:webHidden/>
              </w:rPr>
              <w:fldChar w:fldCharType="separate"/>
            </w:r>
            <w:r>
              <w:rPr>
                <w:noProof/>
                <w:webHidden/>
              </w:rPr>
              <w:t>43</w:t>
            </w:r>
            <w:r>
              <w:rPr>
                <w:noProof/>
                <w:webHidden/>
              </w:rPr>
              <w:fldChar w:fldCharType="end"/>
            </w:r>
          </w:hyperlink>
        </w:p>
        <w:p w14:paraId="717ABDED" w14:textId="3088B25A" w:rsidR="00BF5EB7" w:rsidRDefault="00BF5EB7">
          <w:pPr>
            <w:pStyle w:val="TOC2"/>
            <w:rPr>
              <w:rFonts w:asciiTheme="minorHAnsi" w:eastAsiaTheme="minorEastAsia" w:hAnsiTheme="minorHAnsi" w:cstheme="minorBidi"/>
              <w:bCs w:val="0"/>
              <w:kern w:val="2"/>
              <w:sz w:val="24"/>
              <w14:ligatures w14:val="standardContextual"/>
            </w:rPr>
          </w:pPr>
          <w:hyperlink w:anchor="_Toc174635374" w:history="1">
            <w:r w:rsidRPr="00F93CEB">
              <w:rPr>
                <w:rStyle w:val="Hyperlink"/>
              </w:rPr>
              <w:t>L.  REPORTING</w:t>
            </w:r>
            <w:r>
              <w:rPr>
                <w:webHidden/>
              </w:rPr>
              <w:tab/>
            </w:r>
            <w:r>
              <w:rPr>
                <w:webHidden/>
              </w:rPr>
              <w:fldChar w:fldCharType="begin"/>
            </w:r>
            <w:r>
              <w:rPr>
                <w:webHidden/>
              </w:rPr>
              <w:instrText xml:space="preserve"> PAGEREF _Toc174635374 \h </w:instrText>
            </w:r>
            <w:r>
              <w:rPr>
                <w:webHidden/>
              </w:rPr>
            </w:r>
            <w:r>
              <w:rPr>
                <w:webHidden/>
              </w:rPr>
              <w:fldChar w:fldCharType="separate"/>
            </w:r>
            <w:r>
              <w:rPr>
                <w:webHidden/>
              </w:rPr>
              <w:t>44</w:t>
            </w:r>
            <w:r>
              <w:rPr>
                <w:webHidden/>
              </w:rPr>
              <w:fldChar w:fldCharType="end"/>
            </w:r>
          </w:hyperlink>
        </w:p>
        <w:p w14:paraId="0CD52583" w14:textId="1F0A0F80"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5" w:history="1">
            <w:r w:rsidRPr="00F93CEB">
              <w:rPr>
                <w:rStyle w:val="Hyperlink"/>
                <w:rFonts w:cs="Arial"/>
                <w:noProof/>
              </w:rPr>
              <w:t>OMB Compliance Requirements</w:t>
            </w:r>
            <w:r>
              <w:rPr>
                <w:noProof/>
                <w:webHidden/>
              </w:rPr>
              <w:tab/>
            </w:r>
            <w:r>
              <w:rPr>
                <w:noProof/>
                <w:webHidden/>
              </w:rPr>
              <w:fldChar w:fldCharType="begin"/>
            </w:r>
            <w:r>
              <w:rPr>
                <w:noProof/>
                <w:webHidden/>
              </w:rPr>
              <w:instrText xml:space="preserve"> PAGEREF _Toc174635375 \h </w:instrText>
            </w:r>
            <w:r>
              <w:rPr>
                <w:noProof/>
                <w:webHidden/>
              </w:rPr>
            </w:r>
            <w:r>
              <w:rPr>
                <w:noProof/>
                <w:webHidden/>
              </w:rPr>
              <w:fldChar w:fldCharType="separate"/>
            </w:r>
            <w:r>
              <w:rPr>
                <w:noProof/>
                <w:webHidden/>
              </w:rPr>
              <w:t>44</w:t>
            </w:r>
            <w:r>
              <w:rPr>
                <w:noProof/>
                <w:webHidden/>
              </w:rPr>
              <w:fldChar w:fldCharType="end"/>
            </w:r>
          </w:hyperlink>
        </w:p>
        <w:p w14:paraId="680CC22B" w14:textId="29A20472"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6" w:history="1">
            <w:r w:rsidRPr="00F93CE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_Toc174635376 \h </w:instrText>
            </w:r>
            <w:r>
              <w:rPr>
                <w:noProof/>
                <w:webHidden/>
              </w:rPr>
            </w:r>
            <w:r>
              <w:rPr>
                <w:noProof/>
                <w:webHidden/>
              </w:rPr>
              <w:fldChar w:fldCharType="separate"/>
            </w:r>
            <w:r>
              <w:rPr>
                <w:noProof/>
                <w:webHidden/>
              </w:rPr>
              <w:t>46</w:t>
            </w:r>
            <w:r>
              <w:rPr>
                <w:noProof/>
                <w:webHidden/>
              </w:rPr>
              <w:fldChar w:fldCharType="end"/>
            </w:r>
          </w:hyperlink>
        </w:p>
        <w:p w14:paraId="4C81D292" w14:textId="204C1D30"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7" w:history="1">
            <w:r w:rsidRPr="00F93CE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_Toc174635377 \h </w:instrText>
            </w:r>
            <w:r>
              <w:rPr>
                <w:noProof/>
                <w:webHidden/>
              </w:rPr>
            </w:r>
            <w:r>
              <w:rPr>
                <w:noProof/>
                <w:webHidden/>
              </w:rPr>
              <w:fldChar w:fldCharType="separate"/>
            </w:r>
            <w:r>
              <w:rPr>
                <w:noProof/>
                <w:webHidden/>
              </w:rPr>
              <w:t>46</w:t>
            </w:r>
            <w:r>
              <w:rPr>
                <w:noProof/>
                <w:webHidden/>
              </w:rPr>
              <w:fldChar w:fldCharType="end"/>
            </w:r>
          </w:hyperlink>
        </w:p>
        <w:p w14:paraId="2B781AE9" w14:textId="2BE948F7"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8" w:history="1">
            <w:r w:rsidRPr="00F93CE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_Toc174635378 \h </w:instrText>
            </w:r>
            <w:r>
              <w:rPr>
                <w:noProof/>
                <w:webHidden/>
              </w:rPr>
            </w:r>
            <w:r>
              <w:rPr>
                <w:noProof/>
                <w:webHidden/>
              </w:rPr>
              <w:fldChar w:fldCharType="separate"/>
            </w:r>
            <w:r>
              <w:rPr>
                <w:noProof/>
                <w:webHidden/>
              </w:rPr>
              <w:t>47</w:t>
            </w:r>
            <w:r>
              <w:rPr>
                <w:noProof/>
                <w:webHidden/>
              </w:rPr>
              <w:fldChar w:fldCharType="end"/>
            </w:r>
          </w:hyperlink>
        </w:p>
        <w:p w14:paraId="39AD1764" w14:textId="737C343E" w:rsidR="00BF5EB7" w:rsidRDefault="00BF5EB7">
          <w:pPr>
            <w:pStyle w:val="TOC3"/>
            <w:rPr>
              <w:rFonts w:asciiTheme="minorHAnsi" w:eastAsiaTheme="minorEastAsia" w:hAnsiTheme="minorHAnsi" w:cstheme="minorBidi"/>
              <w:b w:val="0"/>
              <w:noProof/>
              <w:kern w:val="2"/>
              <w:sz w:val="24"/>
              <w:szCs w:val="24"/>
              <w14:ligatures w14:val="standardContextual"/>
            </w:rPr>
          </w:pPr>
          <w:hyperlink w:anchor="_Toc174635379" w:history="1">
            <w:r w:rsidRPr="00F93CEB">
              <w:rPr>
                <w:rStyle w:val="Hyperlink"/>
                <w:rFonts w:cs="Arial"/>
                <w:noProof/>
              </w:rPr>
              <w:t>Audit Implications Summary</w:t>
            </w:r>
            <w:r>
              <w:rPr>
                <w:noProof/>
                <w:webHidden/>
              </w:rPr>
              <w:tab/>
            </w:r>
            <w:r>
              <w:rPr>
                <w:noProof/>
                <w:webHidden/>
              </w:rPr>
              <w:fldChar w:fldCharType="begin"/>
            </w:r>
            <w:r>
              <w:rPr>
                <w:noProof/>
                <w:webHidden/>
              </w:rPr>
              <w:instrText xml:space="preserve"> PAGEREF _Toc174635379 \h </w:instrText>
            </w:r>
            <w:r>
              <w:rPr>
                <w:noProof/>
                <w:webHidden/>
              </w:rPr>
            </w:r>
            <w:r>
              <w:rPr>
                <w:noProof/>
                <w:webHidden/>
              </w:rPr>
              <w:fldChar w:fldCharType="separate"/>
            </w:r>
            <w:r>
              <w:rPr>
                <w:noProof/>
                <w:webHidden/>
              </w:rPr>
              <w:t>49</w:t>
            </w:r>
            <w:r>
              <w:rPr>
                <w:noProof/>
                <w:webHidden/>
              </w:rPr>
              <w:fldChar w:fldCharType="end"/>
            </w:r>
          </w:hyperlink>
        </w:p>
        <w:p w14:paraId="40671A64" w14:textId="241A3EB2" w:rsidR="00BF5EB7" w:rsidRDefault="00BF5EB7">
          <w:pPr>
            <w:pStyle w:val="TOC2"/>
            <w:rPr>
              <w:rFonts w:asciiTheme="minorHAnsi" w:eastAsiaTheme="minorEastAsia" w:hAnsiTheme="minorHAnsi" w:cstheme="minorBidi"/>
              <w:bCs w:val="0"/>
              <w:kern w:val="2"/>
              <w:sz w:val="24"/>
              <w14:ligatures w14:val="standardContextual"/>
            </w:rPr>
          </w:pPr>
          <w:hyperlink w:anchor="_Toc174635380" w:history="1">
            <w:r w:rsidRPr="00F93CEB">
              <w:rPr>
                <w:rStyle w:val="Hyperlink"/>
              </w:rPr>
              <w:t>Program Testing Conclusion</w:t>
            </w:r>
            <w:r>
              <w:rPr>
                <w:webHidden/>
              </w:rPr>
              <w:tab/>
            </w:r>
            <w:r>
              <w:rPr>
                <w:webHidden/>
              </w:rPr>
              <w:fldChar w:fldCharType="begin"/>
            </w:r>
            <w:r>
              <w:rPr>
                <w:webHidden/>
              </w:rPr>
              <w:instrText xml:space="preserve"> PAGEREF _Toc174635380 \h </w:instrText>
            </w:r>
            <w:r>
              <w:rPr>
                <w:webHidden/>
              </w:rPr>
            </w:r>
            <w:r>
              <w:rPr>
                <w:webHidden/>
              </w:rPr>
              <w:fldChar w:fldCharType="separate"/>
            </w:r>
            <w:r>
              <w:rPr>
                <w:webHidden/>
              </w:rPr>
              <w:t>50</w:t>
            </w:r>
            <w:r>
              <w:rPr>
                <w:webHidden/>
              </w:rPr>
              <w:fldChar w:fldCharType="end"/>
            </w:r>
          </w:hyperlink>
        </w:p>
        <w:p w14:paraId="03C2BB18" w14:textId="79E56706"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4635339"/>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07E12FC0" w:rsidR="00A3491E" w:rsidRPr="00F00D94" w:rsidRDefault="00230FA4"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0BAFF5D0" w:rsidR="00A3491E" w:rsidRPr="00F00D94" w:rsidRDefault="00230FA4"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4C2CCFDB" w:rsidR="007C67FD" w:rsidRPr="00F00D94" w:rsidRDefault="00230FA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4D08A7B9"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39B307D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24404368" w:rsidR="007C67FD" w:rsidRPr="00F00D94" w:rsidRDefault="007C67FD" w:rsidP="007C67FD">
            <w:pPr>
              <w:jc w:val="center"/>
              <w:rPr>
                <w:rFonts w:ascii="Arial" w:hAnsi="Arial" w:cs="Arial"/>
                <w:i/>
                <w:iCs/>
              </w:rPr>
            </w:pPr>
          </w:p>
        </w:tc>
      </w:tr>
      <w:tr w:rsidR="007C67FD" w:rsidRPr="00F00D94" w14:paraId="75696477"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23B5D58F"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5066BC2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104C258B" w:rsidR="007C67FD" w:rsidRPr="00F00D94" w:rsidRDefault="007C67FD" w:rsidP="007C67FD">
            <w:pPr>
              <w:jc w:val="center"/>
              <w:rPr>
                <w:rFonts w:ascii="Arial" w:hAnsi="Arial" w:cs="Arial"/>
                <w:i/>
                <w:iCs/>
              </w:rPr>
            </w:pPr>
          </w:p>
        </w:tc>
      </w:tr>
      <w:tr w:rsidR="007C67FD" w:rsidRPr="00F00D94" w14:paraId="43A8818F"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37C7F9A1"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5448FA0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0EAC7852" w:rsidR="007C67FD" w:rsidRPr="00F00D94" w:rsidRDefault="007C67FD" w:rsidP="007C67FD">
            <w:pPr>
              <w:jc w:val="center"/>
              <w:rPr>
                <w:rFonts w:ascii="Arial" w:hAnsi="Arial" w:cs="Arial"/>
                <w:i/>
                <w:iCs/>
              </w:rPr>
            </w:pP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3EB9847D" w:rsidR="007C67FD" w:rsidRPr="00F00D94" w:rsidRDefault="00230FA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15158A2A"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0990A7D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0D84034E" w:rsidR="007C67FD" w:rsidRPr="00F00D94" w:rsidRDefault="007C67FD" w:rsidP="007C67FD">
            <w:pPr>
              <w:jc w:val="center"/>
              <w:rPr>
                <w:rFonts w:ascii="Arial" w:hAnsi="Arial" w:cs="Arial"/>
                <w:i/>
                <w:iCs/>
              </w:rPr>
            </w:pPr>
          </w:p>
        </w:tc>
      </w:tr>
      <w:tr w:rsidR="007C67FD" w:rsidRPr="00F00D94" w14:paraId="16987E1E"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F428C20"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1C7F882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6396F836"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01E6039B" w:rsidR="007C67FD" w:rsidRPr="00F00D94" w:rsidRDefault="00230FA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A1405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303ED814"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31BD2AB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411CE5C1" w:rsidR="007C67FD" w:rsidRPr="00F00D94" w:rsidRDefault="007C67FD" w:rsidP="007C67FD">
            <w:pPr>
              <w:jc w:val="center"/>
              <w:rPr>
                <w:rFonts w:ascii="Arial" w:hAnsi="Arial" w:cs="Arial"/>
                <w:i/>
                <w:iCs/>
              </w:rPr>
            </w:pPr>
          </w:p>
        </w:tc>
      </w:tr>
      <w:tr w:rsidR="007C67FD" w:rsidRPr="00F00D94" w14:paraId="6B68C39A" w14:textId="77777777" w:rsidTr="00A1405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nil"/>
              <w:left w:val="nil"/>
              <w:bottom w:val="single" w:sz="4" w:space="0" w:color="auto"/>
              <w:right w:val="single" w:sz="4" w:space="0" w:color="auto"/>
            </w:tcBorders>
          </w:tcPr>
          <w:p w14:paraId="24CFD221" w14:textId="4CA115D4" w:rsidR="007C67FD" w:rsidRPr="00F00D94" w:rsidRDefault="00230FA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0CA7023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7E0BECE9"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2B1E66"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 xml:space="preserve">Part </w:t>
        </w:r>
        <w:r w:rsidR="000104D2" w:rsidRPr="00F00D94">
          <w:rPr>
            <w:rStyle w:val="Hyperlink"/>
            <w:rFonts w:cs="Arial"/>
            <w:szCs w:val="20"/>
            <w:u w:color="0000FF"/>
          </w:rPr>
          <w:t>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4635340"/>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240AA8D7" w14:textId="77777777" w:rsidR="009656BB" w:rsidRPr="00A0464C" w:rsidRDefault="009656BB" w:rsidP="006672EA">
      <w:pPr>
        <w:pStyle w:val="Heading3"/>
        <w:jc w:val="both"/>
        <w:rPr>
          <w:rFonts w:cs="Arial"/>
          <w:sz w:val="24"/>
          <w:szCs w:val="24"/>
        </w:rPr>
      </w:pPr>
      <w:bookmarkStart w:id="16" w:name="_Toc174635341"/>
      <w:r w:rsidRPr="00A0464C">
        <w:rPr>
          <w:rFonts w:cs="Arial"/>
          <w:sz w:val="24"/>
          <w:szCs w:val="24"/>
        </w:rPr>
        <w:t>I. Program Objectives</w:t>
      </w:r>
      <w:bookmarkEnd w:id="16"/>
    </w:p>
    <w:p w14:paraId="09B93118" w14:textId="159A82B5" w:rsidR="00230FA4" w:rsidRPr="00230FA4" w:rsidRDefault="00230FA4" w:rsidP="00230FA4">
      <w:pPr>
        <w:spacing w:after="240"/>
        <w:jc w:val="both"/>
        <w:rPr>
          <w:rFonts w:ascii="Arial" w:hAnsi="Arial" w:cs="Arial"/>
          <w:bCs/>
        </w:rPr>
      </w:pPr>
      <w:r w:rsidRPr="00230FA4">
        <w:rPr>
          <w:rFonts w:ascii="Arial" w:hAnsi="Arial" w:cs="Arial"/>
          <w:bCs/>
        </w:rPr>
        <w:t>The primary objective of the Capital Fund Program (CFP) is to make assistance available to public housing agencies (PHAs) to carry out capital and management improvement activities. The CFP can also be used for demolition, resident relocation, resident economic development, security, financing costs, and homeownership. The CFP is the major source of funding made available by HUD to PHAs for their capital activities, including modernization and development of public housing.</w:t>
      </w:r>
    </w:p>
    <w:p w14:paraId="4754F3E5" w14:textId="26F5A82B" w:rsidR="00230FA4" w:rsidRPr="00230FA4" w:rsidRDefault="00230FA4" w:rsidP="00230FA4">
      <w:pPr>
        <w:spacing w:after="240"/>
        <w:jc w:val="both"/>
        <w:rPr>
          <w:rFonts w:ascii="Arial" w:hAnsi="Arial" w:cs="Arial"/>
          <w:bCs/>
        </w:rPr>
      </w:pPr>
      <w:r w:rsidRPr="00230FA4">
        <w:rPr>
          <w:rFonts w:ascii="Arial" w:hAnsi="Arial" w:cs="Arial"/>
          <w:bCs/>
        </w:rPr>
        <w:t>The objectives of modernization activities are the repair/replacement of aging building systems and the improvement of the physical condition of existing public housing developments, including the redesign, reconstruction, addition, and reconfiguration of public housing sites, buildings, facilities and/or related appurtenances or improvements (including accessibility improvements).</w:t>
      </w:r>
    </w:p>
    <w:p w14:paraId="0130D425" w14:textId="5F683B61" w:rsidR="00230FA4" w:rsidRPr="00230FA4" w:rsidRDefault="00230FA4" w:rsidP="00230FA4">
      <w:pPr>
        <w:spacing w:after="240"/>
        <w:jc w:val="both"/>
        <w:rPr>
          <w:rFonts w:ascii="Arial" w:hAnsi="Arial" w:cs="Arial"/>
          <w:bCs/>
        </w:rPr>
      </w:pPr>
      <w:r w:rsidRPr="00230FA4">
        <w:rPr>
          <w:rFonts w:ascii="Arial" w:hAnsi="Arial" w:cs="Arial"/>
          <w:bCs/>
        </w:rPr>
        <w:t>The objectives of management improvement activities are to upgrade the operation of public housing developments, sustain physical improvements at those developments, or correct management deficiencies.</w:t>
      </w:r>
    </w:p>
    <w:p w14:paraId="553A0B3A" w14:textId="77777777" w:rsidR="00230FA4" w:rsidRDefault="00230FA4" w:rsidP="00230FA4">
      <w:pPr>
        <w:jc w:val="both"/>
        <w:rPr>
          <w:rFonts w:ascii="Arial" w:hAnsi="Arial" w:cs="Arial"/>
          <w:bCs/>
        </w:rPr>
      </w:pPr>
      <w:r w:rsidRPr="00230FA4">
        <w:rPr>
          <w:rFonts w:ascii="Arial" w:hAnsi="Arial" w:cs="Arial"/>
          <w:bCs/>
        </w:rPr>
        <w:t xml:space="preserve">The objective of development activities is to provide PHAs with the opportunity to replace, build, or acquire existing units to house low-income families, including costs for planning, financing, land acquisition, demolition, and construction. PHAs </w:t>
      </w:r>
      <w:proofErr w:type="gramStart"/>
      <w:r w:rsidRPr="00230FA4">
        <w:rPr>
          <w:rFonts w:ascii="Arial" w:hAnsi="Arial" w:cs="Arial"/>
          <w:bCs/>
        </w:rPr>
        <w:t>are able to</w:t>
      </w:r>
      <w:proofErr w:type="gramEnd"/>
      <w:r w:rsidRPr="00230FA4">
        <w:rPr>
          <w:rFonts w:ascii="Arial" w:hAnsi="Arial" w:cs="Arial"/>
          <w:bCs/>
        </w:rPr>
        <w:t xml:space="preserve"> build or acquire units up to the Faircloth limits. The Faircloth limits for PHAs are updated annually and posted on the Office of Capital Improvements website here:</w:t>
      </w:r>
    </w:p>
    <w:p w14:paraId="6A3B7DD3" w14:textId="25A1B6D9" w:rsidR="00230FA4" w:rsidRDefault="00230FA4" w:rsidP="00230FA4">
      <w:pPr>
        <w:jc w:val="both"/>
        <w:rPr>
          <w:rFonts w:ascii="Arial" w:hAnsi="Arial" w:cs="Arial"/>
          <w:bCs/>
        </w:rPr>
      </w:pPr>
      <w:hyperlink r:id="rId30" w:history="1">
        <w:r w:rsidRPr="00230FA4">
          <w:rPr>
            <w:rStyle w:val="Hyperlink"/>
            <w:rFonts w:cs="Arial"/>
            <w:bCs/>
          </w:rPr>
          <w:t>Office of Capital Improvements | HUD.gov / U.S. Department of Housing and Urban Development (HUD)</w:t>
        </w:r>
      </w:hyperlink>
    </w:p>
    <w:p w14:paraId="4C1FACAF" w14:textId="77777777" w:rsidR="00230FA4" w:rsidRPr="00230FA4" w:rsidRDefault="00230FA4" w:rsidP="00230FA4">
      <w:pPr>
        <w:jc w:val="both"/>
        <w:rPr>
          <w:rFonts w:ascii="Arial" w:hAnsi="Arial" w:cs="Arial"/>
          <w:bCs/>
        </w:rPr>
      </w:pPr>
    </w:p>
    <w:p w14:paraId="47FBF2E8" w14:textId="64CC18C6" w:rsidR="009656BB" w:rsidRPr="00F00D94" w:rsidRDefault="00230FA4" w:rsidP="00230FA4">
      <w:pPr>
        <w:spacing w:after="240"/>
        <w:jc w:val="both"/>
        <w:rPr>
          <w:rFonts w:ascii="Arial" w:hAnsi="Arial" w:cs="Arial"/>
          <w:bCs/>
        </w:rPr>
      </w:pPr>
      <w:r w:rsidRPr="00230FA4">
        <w:rPr>
          <w:rFonts w:ascii="Arial" w:hAnsi="Arial" w:cs="Arial"/>
          <w:bCs/>
        </w:rPr>
        <w:t xml:space="preserve">The current Faircloth limits for PHAs are posted here: </w:t>
      </w:r>
      <w:hyperlink r:id="rId31" w:history="1">
        <w:r w:rsidRPr="00B05317">
          <w:rPr>
            <w:rStyle w:val="Hyperlink"/>
            <w:rFonts w:cs="Arial"/>
            <w:bCs/>
          </w:rPr>
          <w:t>https://www.hud.gov/sites/dfiles/PIH/documents/Faircloth%20List_10-15-23_FINAL2.xlsx</w:t>
        </w:r>
      </w:hyperlink>
    </w:p>
    <w:p w14:paraId="27A28DF7" w14:textId="2983A2FB" w:rsidR="009656BB" w:rsidRPr="00230FA4" w:rsidRDefault="00230FA4" w:rsidP="006672EA">
      <w:pPr>
        <w:spacing w:after="240"/>
        <w:jc w:val="both"/>
        <w:rPr>
          <w:rFonts w:ascii="Arial" w:hAnsi="Arial" w:cs="Arial"/>
          <w:bCs/>
          <w:i/>
          <w:iCs/>
        </w:rPr>
      </w:pPr>
      <w:bookmarkStart w:id="17" w:name="_Hlk121591662"/>
      <w:r>
        <w:rPr>
          <w:rFonts w:ascii="Arial" w:hAnsi="Arial" w:cs="Arial"/>
          <w:bCs/>
          <w:i/>
          <w:iCs/>
        </w:rPr>
        <w:t>(Source: 2024 OMB Compliance Supplement, Part 4, HUD, #14.872 Public Housing Capital Fund)</w:t>
      </w:r>
      <w:bookmarkEnd w:id="17"/>
    </w:p>
    <w:p w14:paraId="222D14D9" w14:textId="77777777" w:rsidR="009656BB" w:rsidRPr="00A0464C" w:rsidRDefault="009656BB" w:rsidP="006672EA">
      <w:pPr>
        <w:pStyle w:val="Heading3"/>
        <w:jc w:val="both"/>
        <w:rPr>
          <w:rFonts w:cs="Arial"/>
          <w:sz w:val="24"/>
          <w:szCs w:val="24"/>
        </w:rPr>
      </w:pPr>
      <w:bookmarkStart w:id="18" w:name="_Toc174635342"/>
      <w:r w:rsidRPr="00A0464C">
        <w:rPr>
          <w:rFonts w:cs="Arial"/>
          <w:sz w:val="24"/>
          <w:szCs w:val="24"/>
        </w:rPr>
        <w:t>II. Program Procedures</w:t>
      </w:r>
      <w:bookmarkEnd w:id="18"/>
    </w:p>
    <w:p w14:paraId="05AB41B6" w14:textId="05EABE00" w:rsidR="00230FA4" w:rsidRPr="00230FA4" w:rsidRDefault="00230FA4" w:rsidP="00230FA4">
      <w:pPr>
        <w:spacing w:after="240"/>
        <w:jc w:val="both"/>
        <w:rPr>
          <w:rFonts w:ascii="Arial" w:hAnsi="Arial" w:cs="Arial"/>
          <w:b/>
        </w:rPr>
      </w:pPr>
      <w:r w:rsidRPr="00230FA4">
        <w:rPr>
          <w:rFonts w:ascii="Arial" w:hAnsi="Arial" w:cs="Arial"/>
          <w:b/>
        </w:rPr>
        <w:t>1.</w:t>
      </w:r>
      <w:r w:rsidRPr="00230FA4">
        <w:rPr>
          <w:rFonts w:ascii="Arial" w:hAnsi="Arial" w:cs="Arial"/>
          <w:b/>
        </w:rPr>
        <w:tab/>
        <w:t>Overview</w:t>
      </w:r>
    </w:p>
    <w:p w14:paraId="4BAA1904" w14:textId="67F7E35E" w:rsidR="00230FA4" w:rsidRPr="00230FA4" w:rsidRDefault="00230FA4" w:rsidP="00230FA4">
      <w:pPr>
        <w:spacing w:after="240"/>
        <w:ind w:left="720"/>
        <w:jc w:val="both"/>
        <w:rPr>
          <w:rFonts w:ascii="Arial" w:hAnsi="Arial" w:cs="Arial"/>
          <w:bCs/>
        </w:rPr>
      </w:pPr>
      <w:r w:rsidRPr="00230FA4">
        <w:rPr>
          <w:rFonts w:ascii="Arial" w:hAnsi="Arial" w:cs="Arial"/>
          <w:bCs/>
        </w:rPr>
        <w:t xml:space="preserve">The CFP awards formula grants and several set aside specialty grants. CFP formula grants account for over 95 percent of CFP annual awards. CFP formula grants are made available to all PHAs that administer public housing units, based on a complex formula, which </w:t>
      </w:r>
      <w:proofErr w:type="gramStart"/>
      <w:r w:rsidRPr="00230FA4">
        <w:rPr>
          <w:rFonts w:ascii="Arial" w:hAnsi="Arial" w:cs="Arial"/>
          <w:bCs/>
        </w:rPr>
        <w:t>takes into account</w:t>
      </w:r>
      <w:proofErr w:type="gramEnd"/>
      <w:r w:rsidRPr="00230FA4">
        <w:rPr>
          <w:rFonts w:ascii="Arial" w:hAnsi="Arial" w:cs="Arial"/>
          <w:bCs/>
        </w:rPr>
        <w:t xml:space="preserve"> a number of variables related to unit characteristics and, ultimately, multiplies a per-unit amount by the number of units in the PHA. PHAs can use formula grants for any eligible Capital Fund activity.</w:t>
      </w:r>
    </w:p>
    <w:p w14:paraId="4CCCBF07" w14:textId="3B21DE39" w:rsidR="00230FA4" w:rsidRPr="00230FA4" w:rsidRDefault="00230FA4" w:rsidP="00230FA4">
      <w:pPr>
        <w:spacing w:after="240"/>
        <w:ind w:left="720"/>
        <w:jc w:val="both"/>
        <w:rPr>
          <w:rFonts w:ascii="Arial" w:hAnsi="Arial" w:cs="Arial"/>
          <w:bCs/>
        </w:rPr>
      </w:pPr>
      <w:r w:rsidRPr="00230FA4">
        <w:rPr>
          <w:rFonts w:ascii="Arial" w:hAnsi="Arial" w:cs="Arial"/>
          <w:bCs/>
        </w:rPr>
        <w:t>The CFP also awards several set-aside specialty grants including Emergency/Disaster, Emergency/Disaster-Safety and Security, Emergency/Disaster-Carbon Monoxide, Emergency/Disaster-Receivership (if under federal monitor/receivership), Housing-related Hazards, and Lead- Based Paint grants. The CFP also contains the Capital Fund Financing Program (CFFP), and this financing program is described below.</w:t>
      </w:r>
    </w:p>
    <w:p w14:paraId="7952A0C4" w14:textId="75BF3081"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 xml:space="preserve">For Emergency/Disaster grants, Congress has set aside an annual average of $20 million within the Capital Fund account to assist PHAs that have incurred damage to their public housing units </w:t>
      </w:r>
      <w:proofErr w:type="gramStart"/>
      <w:r w:rsidRPr="00230FA4">
        <w:rPr>
          <w:rFonts w:ascii="Arial" w:hAnsi="Arial" w:cs="Arial"/>
          <w:bCs/>
        </w:rPr>
        <w:t>as a result of</w:t>
      </w:r>
      <w:proofErr w:type="gramEnd"/>
      <w:r w:rsidRPr="00230FA4">
        <w:rPr>
          <w:rFonts w:ascii="Arial" w:hAnsi="Arial" w:cs="Arial"/>
          <w:bCs/>
        </w:rPr>
        <w:t xml:space="preserve"> an emergency or non-presidentially declared natural disaster. PHAs </w:t>
      </w:r>
      <w:proofErr w:type="gramStart"/>
      <w:r w:rsidRPr="00230FA4">
        <w:rPr>
          <w:rFonts w:ascii="Arial" w:hAnsi="Arial" w:cs="Arial"/>
          <w:bCs/>
        </w:rPr>
        <w:t>submit an application</w:t>
      </w:r>
      <w:proofErr w:type="gramEnd"/>
      <w:r w:rsidRPr="00230FA4">
        <w:rPr>
          <w:rFonts w:ascii="Arial" w:hAnsi="Arial" w:cs="Arial"/>
          <w:bCs/>
        </w:rPr>
        <w:t xml:space="preserve"> for this funding. The funding is allocated based on the order in which the Department of Housing and Urban Development (HUD) receives approvable applications.</w:t>
      </w:r>
    </w:p>
    <w:p w14:paraId="64A91564" w14:textId="73800662"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 xml:space="preserve">For Emergency/Disaster - Safety and Security grants, Congress has set aside $10 million. These grants support PHAs as they address the safety of public housing residents. These grants may be used to install, repair, or replace capital needs items including security systems/surveillance cameras, fencing, lighting systems, emergency alarm systems, window bars, deadbolt locks and </w:t>
      </w:r>
      <w:r w:rsidRPr="00230FA4">
        <w:rPr>
          <w:rFonts w:ascii="Arial" w:hAnsi="Arial" w:cs="Arial"/>
          <w:bCs/>
        </w:rPr>
        <w:lastRenderedPageBreak/>
        <w:t xml:space="preserve">doors. PHAs </w:t>
      </w:r>
      <w:proofErr w:type="gramStart"/>
      <w:r w:rsidRPr="00230FA4">
        <w:rPr>
          <w:rFonts w:ascii="Arial" w:hAnsi="Arial" w:cs="Arial"/>
          <w:bCs/>
        </w:rPr>
        <w:t>submit an application</w:t>
      </w:r>
      <w:proofErr w:type="gramEnd"/>
      <w:r w:rsidRPr="00230FA4">
        <w:rPr>
          <w:rFonts w:ascii="Arial" w:hAnsi="Arial" w:cs="Arial"/>
          <w:bCs/>
        </w:rPr>
        <w:t xml:space="preserve"> for this funding. The funding is allocated based on a lottery in which the Department of Housing and Urban Development (HUD) reviews approvable applications and enters the approvable applications in the lottery.</w:t>
      </w:r>
    </w:p>
    <w:p w14:paraId="1F55F15D" w14:textId="032ED5AC"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For Emergency/Disaster - Safety and Security Carbon Monoxide grants, the Department has set aside of $10 million as part of the Safety and Security $10 million. These grants support PHAs as they address the safety of public housing residents. These grants may be used to install carbon monoxide detectors in public housing. PHAs submit a competitive application for this funding. The funding is allocated based on application score.</w:t>
      </w:r>
    </w:p>
    <w:p w14:paraId="45C77BB7" w14:textId="5F722CFA"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For Emergency/Disaster – Receivership grants, the Department has set aside up to $45 million. This appropriation is for “emergency capital needs including safety and security measures necessary to address crime and drug-related activity as well as needs resulting from unforeseen or unpreventable emergencies and natural disasters excluding Presidentially declared emergencies and natural disasters under the Robert T. Stafford Disaster Relief and Emergency Act (42 U.S.C. 5121 et seq.). These grant funds are only for PHAs under administrative and judicial receiverships or under the control of a federal monitor.</w:t>
      </w:r>
    </w:p>
    <w:p w14:paraId="4A27FE75" w14:textId="411C5911"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Note that Lead-Based Paint and Housing-Related Hazards grants are covered under the Part 4 program section for Assistance Listing 14.888.</w:t>
      </w:r>
    </w:p>
    <w:p w14:paraId="39FDC53F" w14:textId="55C50424" w:rsidR="00230FA4" w:rsidRPr="00230FA4" w:rsidRDefault="00230FA4" w:rsidP="00230FA4">
      <w:pPr>
        <w:tabs>
          <w:tab w:val="left" w:pos="270"/>
        </w:tabs>
        <w:spacing w:after="240"/>
        <w:ind w:left="720"/>
        <w:jc w:val="both"/>
        <w:rPr>
          <w:rFonts w:ascii="Arial" w:hAnsi="Arial" w:cs="Arial"/>
          <w:bCs/>
        </w:rPr>
      </w:pPr>
      <w:r w:rsidRPr="00230FA4">
        <w:rPr>
          <w:rFonts w:ascii="Arial" w:hAnsi="Arial" w:cs="Arial"/>
          <w:bCs/>
        </w:rPr>
        <w:t>For the Capital Fund Financing Program, HUD has permitted PHAs to borrow funding secured to a portion of future Capital Fund grants under the Capital Fund Financing Program (CFFP). PHAs must obtain HUD’s permission prior to borrowing fund securitized by any public housing asset (including real property, other PHA owned property purchased with federal grant funds, and CFP grant funds themselves). HUD reviews each transaction to ensure that PHAs will not be overcommitted to payment of debt service to the detriment of the public housing stock/program, for the reasonableness of the terms of the transaction, and to mitigate risk of default. CFFP transactions continue to be underwritten with the current portfolio of approximately $5 billion impacting close to 300 PHAs nationwide.</w:t>
      </w:r>
    </w:p>
    <w:p w14:paraId="1B1CEC37" w14:textId="77BBF3ED" w:rsidR="00230FA4" w:rsidRPr="00230FA4" w:rsidRDefault="00230FA4" w:rsidP="00230FA4">
      <w:pPr>
        <w:spacing w:after="240"/>
        <w:jc w:val="both"/>
        <w:rPr>
          <w:rFonts w:ascii="Arial" w:hAnsi="Arial" w:cs="Arial"/>
          <w:b/>
        </w:rPr>
      </w:pPr>
      <w:r w:rsidRPr="00230FA4">
        <w:rPr>
          <w:rFonts w:ascii="Arial" w:hAnsi="Arial" w:cs="Arial"/>
          <w:b/>
        </w:rPr>
        <w:t>2.</w:t>
      </w:r>
      <w:r w:rsidRPr="00230FA4">
        <w:rPr>
          <w:rFonts w:ascii="Arial" w:hAnsi="Arial" w:cs="Arial"/>
          <w:b/>
        </w:rPr>
        <w:tab/>
        <w:t>Subprograms/Program Elements</w:t>
      </w:r>
    </w:p>
    <w:p w14:paraId="7DD8AF8C" w14:textId="734C2E1F" w:rsidR="00230FA4" w:rsidRPr="00230FA4" w:rsidRDefault="00230FA4" w:rsidP="00230FA4">
      <w:pPr>
        <w:spacing w:after="240"/>
        <w:ind w:left="720"/>
        <w:jc w:val="both"/>
        <w:rPr>
          <w:rFonts w:ascii="Arial" w:hAnsi="Arial" w:cs="Arial"/>
          <w:bCs/>
        </w:rPr>
      </w:pPr>
      <w:r w:rsidRPr="00230FA4">
        <w:rPr>
          <w:rFonts w:ascii="Arial" w:hAnsi="Arial" w:cs="Arial"/>
          <w:bCs/>
        </w:rPr>
        <w:t>Prior to submitting the 5-Year Action Plan to HUD for review and approval, a PHA must annually conduct a public hearing and consult with the Resident Advisory Board (RAB) of the PHA to discuss the Capital Fund submission. The PHA may elect to conduct a separate</w:t>
      </w:r>
      <w:r>
        <w:rPr>
          <w:rFonts w:ascii="Arial" w:hAnsi="Arial" w:cs="Arial"/>
          <w:bCs/>
        </w:rPr>
        <w:t xml:space="preserve"> </w:t>
      </w:r>
      <w:r w:rsidRPr="00230FA4">
        <w:rPr>
          <w:rFonts w:ascii="Arial" w:hAnsi="Arial" w:cs="Arial"/>
          <w:bCs/>
        </w:rPr>
        <w:t xml:space="preserve">annual public hearing </w:t>
      </w:r>
      <w:proofErr w:type="gramStart"/>
      <w:r w:rsidRPr="00230FA4">
        <w:rPr>
          <w:rFonts w:ascii="Arial" w:hAnsi="Arial" w:cs="Arial"/>
          <w:bCs/>
        </w:rPr>
        <w:t>in order to</w:t>
      </w:r>
      <w:proofErr w:type="gramEnd"/>
      <w:r w:rsidRPr="00230FA4">
        <w:rPr>
          <w:rFonts w:ascii="Arial" w:hAnsi="Arial" w:cs="Arial"/>
          <w:bCs/>
        </w:rPr>
        <w:t xml:space="preserve"> solicit public comments or to hold the annual public hearing at the same time as the hearing for the Annual PHA Plan, the 5-Year Plan, or the required annual hearing for qualified public housing authorities. The hearing must be conducted at a location that is convenient to the residents served by the PHA.</w:t>
      </w:r>
    </w:p>
    <w:p w14:paraId="599F1D56" w14:textId="0698C090" w:rsidR="00230FA4" w:rsidRPr="00230FA4" w:rsidRDefault="00230FA4" w:rsidP="00230FA4">
      <w:pPr>
        <w:spacing w:after="240"/>
        <w:ind w:left="720"/>
        <w:jc w:val="both"/>
        <w:rPr>
          <w:rFonts w:ascii="Arial" w:hAnsi="Arial" w:cs="Arial"/>
          <w:bCs/>
        </w:rPr>
      </w:pPr>
      <w:r w:rsidRPr="00230FA4">
        <w:rPr>
          <w:rFonts w:ascii="Arial" w:hAnsi="Arial" w:cs="Arial"/>
          <w:bCs/>
        </w:rPr>
        <w:t xml:space="preserve">In FY 2018, the CFP 5-Year Action Plan and Annual Statement/ Budget submission was moved to an electronic platform called EPIC for submission and approval. A PHA must have an approved 5-Year Action Plan (HUD 50075.2 (OMB No. 2577-0226)) and Document package in EPIC to have access to Capital Funds. Once a PHA submits an Annual Statement/Budget in EPIC (HUD 50075.1), HUD spreads Capital Funds to </w:t>
      </w:r>
      <w:proofErr w:type="gramStart"/>
      <w:r w:rsidRPr="00230FA4">
        <w:rPr>
          <w:rFonts w:ascii="Arial" w:hAnsi="Arial" w:cs="Arial"/>
          <w:bCs/>
        </w:rPr>
        <w:t>all of</w:t>
      </w:r>
      <w:proofErr w:type="gramEnd"/>
      <w:r w:rsidRPr="00230FA4">
        <w:rPr>
          <w:rFonts w:ascii="Arial" w:hAnsi="Arial" w:cs="Arial"/>
          <w:bCs/>
        </w:rPr>
        <w:t xml:space="preserve"> the appropriate budget line items (BLIs) in the Line of Credit Control System (LOCCS) in accordance with the information contained in the 5-Year Action Plan (HUD 50075.2). A PHA may then drawdown funds as needed on a three-day turnaround basis to pay for approved work activities. The three-day turnaround means the PHA expends the funds drawn down from LOCCS within three business days.</w:t>
      </w:r>
    </w:p>
    <w:p w14:paraId="406692F0" w14:textId="0C72CE73" w:rsidR="00230FA4" w:rsidRPr="00230FA4" w:rsidRDefault="00230FA4" w:rsidP="00230FA4">
      <w:pPr>
        <w:spacing w:after="240"/>
        <w:ind w:left="720"/>
        <w:jc w:val="both"/>
        <w:rPr>
          <w:rFonts w:ascii="Arial" w:hAnsi="Arial" w:cs="Arial"/>
          <w:bCs/>
        </w:rPr>
      </w:pPr>
      <w:r w:rsidRPr="00230FA4">
        <w:rPr>
          <w:rFonts w:ascii="Arial" w:hAnsi="Arial" w:cs="Arial"/>
          <w:bCs/>
        </w:rPr>
        <w:t xml:space="preserve">In planning its modernization projects, the PHA is required to consult with residents and local government officials. After grant award, the PHA may select an architect or engineer through competitive negotiation to develop the plans and specifications for the construction work. Construction work as well as management improvements may be carried out through contract labor (competitively procured) or the PHA’s own work force (force account). The PHA or its architect </w:t>
      </w:r>
      <w:r w:rsidRPr="00230FA4">
        <w:rPr>
          <w:rFonts w:ascii="Arial" w:hAnsi="Arial" w:cs="Arial"/>
          <w:bCs/>
        </w:rPr>
        <w:lastRenderedPageBreak/>
        <w:t>monitors the work in progress for compliance with contract requirements and acceptable work quality and submits periodic progress reports to HUD.</w:t>
      </w:r>
    </w:p>
    <w:p w14:paraId="719B7ECD" w14:textId="5DD86DA0" w:rsidR="00230FA4" w:rsidRPr="00230FA4" w:rsidRDefault="00230FA4" w:rsidP="00230FA4">
      <w:pPr>
        <w:spacing w:after="240"/>
        <w:ind w:left="720"/>
        <w:jc w:val="both"/>
        <w:rPr>
          <w:rFonts w:ascii="Arial" w:hAnsi="Arial" w:cs="Arial"/>
          <w:bCs/>
        </w:rPr>
      </w:pPr>
      <w:r w:rsidRPr="00230FA4">
        <w:rPr>
          <w:rFonts w:ascii="Arial" w:hAnsi="Arial" w:cs="Arial"/>
          <w:bCs/>
        </w:rPr>
        <w:t>PHAs may develop public housing in accordance with 24 CFR section 905.600. For development projects, the PHA is responsible for negotiating a local cooperation agreement that establishes what services the locality will provide to the public housing project, for project planning, and for submitting a development proposal (and a site acquisition proposal, if applicable). This includes selecting sites or properties to be acquired, contracting with builders to construct or rehabilitate housing, contracting with developers for the purchase of completed (new or rehabilitated) housing, and purchasing existing housing that may require repairs. In addition, as a developer, the PHA is responsible for selecting and contracting with other parties (e.g., architects and engineers) and for expediting and coordinating the preparation of required HUD submissions.</w:t>
      </w:r>
    </w:p>
    <w:p w14:paraId="76245F3C" w14:textId="49289B39" w:rsidR="00230FA4" w:rsidRPr="00230FA4" w:rsidRDefault="00230FA4" w:rsidP="00230FA4">
      <w:pPr>
        <w:spacing w:after="240"/>
        <w:jc w:val="both"/>
        <w:rPr>
          <w:rFonts w:ascii="Arial" w:hAnsi="Arial" w:cs="Arial"/>
          <w:b/>
        </w:rPr>
      </w:pPr>
      <w:r w:rsidRPr="00230FA4">
        <w:rPr>
          <w:rFonts w:ascii="Arial" w:hAnsi="Arial" w:cs="Arial"/>
          <w:b/>
        </w:rPr>
        <w:t>3.</w:t>
      </w:r>
      <w:r w:rsidRPr="00230FA4">
        <w:rPr>
          <w:rFonts w:ascii="Arial" w:hAnsi="Arial" w:cs="Arial"/>
          <w:b/>
        </w:rPr>
        <w:tab/>
        <w:t>Other</w:t>
      </w:r>
    </w:p>
    <w:p w14:paraId="2F6A9D0C" w14:textId="03F8DD34" w:rsidR="00230FA4" w:rsidRPr="00230FA4" w:rsidRDefault="00230FA4" w:rsidP="00230FA4">
      <w:pPr>
        <w:spacing w:after="240"/>
        <w:ind w:left="720"/>
        <w:jc w:val="both"/>
        <w:rPr>
          <w:rFonts w:ascii="Arial" w:hAnsi="Arial" w:cs="Arial"/>
          <w:bCs/>
        </w:rPr>
      </w:pPr>
      <w:r w:rsidRPr="00230FA4">
        <w:rPr>
          <w:rFonts w:ascii="Arial" w:hAnsi="Arial" w:cs="Arial"/>
          <w:bCs/>
        </w:rPr>
        <w:t>In accordance with HUD’s Uniform Financial Reporting Standards rule, annually, a PHA is required to submit financial statements, prepared in accordance with generally accepted accounting principles (GAAP), in the electronic format specified by HUD. The unaudited financial statement is due two months after the PHA’s fiscal year end (FYE) and the audited financial statement is due nine months after its FYE (24 CFR section 5.801). The financial statement must include the financial activities of this program.</w:t>
      </w:r>
    </w:p>
    <w:p w14:paraId="368593B0" w14:textId="2817A0F7" w:rsidR="001A2761" w:rsidRPr="00F00D94" w:rsidRDefault="00230FA4" w:rsidP="00230FA4">
      <w:pPr>
        <w:spacing w:after="240"/>
        <w:ind w:left="720"/>
        <w:jc w:val="both"/>
        <w:rPr>
          <w:rFonts w:ascii="Arial" w:hAnsi="Arial" w:cs="Arial"/>
          <w:bCs/>
        </w:rPr>
      </w:pPr>
      <w:r w:rsidRPr="00230FA4">
        <w:rPr>
          <w:rFonts w:ascii="Arial" w:hAnsi="Arial" w:cs="Arial"/>
          <w:bCs/>
        </w:rPr>
        <w:t>PHAs submit actual modernization cost certificates (AMCC) form HUD-53001 and actual development cost certificates (ADCC) form HUD -52427 with the local HUD Field Office for approval when they complete a modernization or development project. The AMCC or ADCC is required for CFP grant closeout.</w:t>
      </w:r>
    </w:p>
    <w:p w14:paraId="3D7F8C06" w14:textId="4D484B02" w:rsidR="009656BB" w:rsidRPr="00230FA4" w:rsidRDefault="00230FA4" w:rsidP="00740C6F">
      <w:pPr>
        <w:spacing w:after="240"/>
        <w:jc w:val="both"/>
        <w:rPr>
          <w:rFonts w:ascii="Arial" w:hAnsi="Arial" w:cs="Arial"/>
          <w:bCs/>
          <w:i/>
          <w:iCs/>
        </w:rPr>
      </w:pPr>
      <w:r>
        <w:rPr>
          <w:rFonts w:ascii="Arial" w:hAnsi="Arial" w:cs="Arial"/>
          <w:bCs/>
          <w:i/>
          <w:iCs/>
        </w:rPr>
        <w:t>(Source: 2024 OMB Compliance Supplement, Part 4, HUD, #14.872 Public Housing Capital Fund)</w:t>
      </w:r>
    </w:p>
    <w:p w14:paraId="612B87C9" w14:textId="77777777" w:rsidR="009656BB" w:rsidRPr="00A0464C" w:rsidRDefault="009656BB" w:rsidP="006672EA">
      <w:pPr>
        <w:pStyle w:val="Heading3"/>
        <w:jc w:val="both"/>
        <w:rPr>
          <w:rFonts w:cs="Arial"/>
          <w:sz w:val="24"/>
          <w:szCs w:val="24"/>
        </w:rPr>
      </w:pPr>
      <w:bookmarkStart w:id="19" w:name="_Toc174635343"/>
      <w:r w:rsidRPr="00A0464C">
        <w:rPr>
          <w:rFonts w:cs="Arial"/>
          <w:sz w:val="24"/>
          <w:szCs w:val="24"/>
        </w:rPr>
        <w:t>III. Source of Governing Requirements</w:t>
      </w:r>
      <w:bookmarkEnd w:id="19"/>
    </w:p>
    <w:p w14:paraId="5E052068" w14:textId="471C5D37" w:rsidR="006F570B" w:rsidRPr="00F00D94" w:rsidRDefault="00230FA4" w:rsidP="006672EA">
      <w:pPr>
        <w:spacing w:after="240"/>
        <w:jc w:val="both"/>
        <w:rPr>
          <w:rFonts w:ascii="Arial" w:hAnsi="Arial" w:cs="Arial"/>
          <w:bCs/>
        </w:rPr>
      </w:pPr>
      <w:r w:rsidRPr="00230FA4">
        <w:rPr>
          <w:rFonts w:ascii="Arial" w:hAnsi="Arial" w:cs="Arial"/>
          <w:bCs/>
        </w:rPr>
        <w:t>The programs are authorized under 42 USC 1437g. The program implementing regulation is 24 CFR Part 905.</w:t>
      </w:r>
    </w:p>
    <w:p w14:paraId="05B90F53" w14:textId="29C4AC90" w:rsidR="006F570B" w:rsidRPr="00230FA4" w:rsidRDefault="00230FA4" w:rsidP="006672E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278D98F4" w14:textId="77777777" w:rsidR="006F570B" w:rsidRPr="00A0464C" w:rsidRDefault="00386445" w:rsidP="006672EA">
      <w:pPr>
        <w:pStyle w:val="Heading3"/>
        <w:jc w:val="both"/>
        <w:rPr>
          <w:rFonts w:cs="Arial"/>
          <w:sz w:val="24"/>
          <w:szCs w:val="24"/>
        </w:rPr>
      </w:pPr>
      <w:bookmarkStart w:id="20" w:name="_Toc174635344"/>
      <w:r w:rsidRPr="00A0464C">
        <w:rPr>
          <w:rFonts w:cs="Arial"/>
          <w:sz w:val="24"/>
          <w:szCs w:val="24"/>
        </w:rPr>
        <w:t xml:space="preserve">IV. </w:t>
      </w:r>
      <w:r w:rsidR="009C1FCD" w:rsidRPr="00A0464C">
        <w:rPr>
          <w:rFonts w:cs="Arial"/>
          <w:sz w:val="24"/>
          <w:szCs w:val="24"/>
        </w:rPr>
        <w:t>Other Information</w:t>
      </w:r>
      <w:bookmarkEnd w:id="20"/>
    </w:p>
    <w:p w14:paraId="687C7F64" w14:textId="6E626F8B" w:rsidR="00BE348D" w:rsidRPr="00BE348D" w:rsidRDefault="00BE348D" w:rsidP="00BE348D">
      <w:pPr>
        <w:spacing w:after="240"/>
        <w:jc w:val="both"/>
        <w:rPr>
          <w:rFonts w:ascii="Arial" w:hAnsi="Arial" w:cs="Arial"/>
          <w:bCs/>
        </w:rPr>
      </w:pPr>
      <w:r w:rsidRPr="00BE348D">
        <w:rPr>
          <w:rFonts w:ascii="Arial" w:hAnsi="Arial" w:cs="Arial"/>
          <w:bCs/>
        </w:rPr>
        <w:t>The Moving to Work (MTW) demonstration program (Assistance Listing 14.881) allows selected PHAs the flexibility to design and test various approaches to providing and administering housing assistance consistent with the MTW Agreement executed by the PHA and HUD. An MTW agency may combine funds from the following three programs:</w:t>
      </w:r>
    </w:p>
    <w:p w14:paraId="4FB23C07" w14:textId="27985F84" w:rsidR="00BE348D" w:rsidRPr="00BE348D" w:rsidRDefault="00BE348D" w:rsidP="00BE348D">
      <w:pPr>
        <w:spacing w:after="240"/>
        <w:jc w:val="both"/>
        <w:rPr>
          <w:rFonts w:ascii="Arial" w:hAnsi="Arial" w:cs="Arial"/>
          <w:bCs/>
        </w:rPr>
      </w:pPr>
      <w:r w:rsidRPr="00BE348D">
        <w:rPr>
          <w:rFonts w:ascii="Arial" w:hAnsi="Arial" w:cs="Arial"/>
          <w:bCs/>
        </w:rPr>
        <w:t>1.</w:t>
      </w:r>
      <w:r w:rsidRPr="00BE348D">
        <w:rPr>
          <w:rFonts w:ascii="Arial" w:hAnsi="Arial" w:cs="Arial"/>
          <w:bCs/>
        </w:rPr>
        <w:tab/>
        <w:t>Section 8 Housing Choice Vouchers (Assistance Listing 14.871)</w:t>
      </w:r>
    </w:p>
    <w:p w14:paraId="6C21AFED" w14:textId="73BA7DF8" w:rsidR="00BE348D" w:rsidRPr="00BE348D" w:rsidRDefault="00BE348D" w:rsidP="00BE348D">
      <w:pPr>
        <w:spacing w:after="240"/>
        <w:jc w:val="both"/>
        <w:rPr>
          <w:rFonts w:ascii="Arial" w:hAnsi="Arial" w:cs="Arial"/>
          <w:bCs/>
        </w:rPr>
      </w:pPr>
      <w:r w:rsidRPr="00BE348D">
        <w:rPr>
          <w:rFonts w:ascii="Arial" w:hAnsi="Arial" w:cs="Arial"/>
          <w:bCs/>
        </w:rPr>
        <w:t>2.</w:t>
      </w:r>
      <w:r w:rsidRPr="00BE348D">
        <w:rPr>
          <w:rFonts w:ascii="Arial" w:hAnsi="Arial" w:cs="Arial"/>
          <w:bCs/>
        </w:rPr>
        <w:tab/>
        <w:t>Public Housing Capital Fund (Assistance Listing 14.872)</w:t>
      </w:r>
    </w:p>
    <w:p w14:paraId="0421004B" w14:textId="49720017" w:rsidR="00BE348D" w:rsidRPr="00BE348D" w:rsidRDefault="00BE348D" w:rsidP="00BE348D">
      <w:pPr>
        <w:spacing w:after="240"/>
        <w:jc w:val="both"/>
        <w:rPr>
          <w:rFonts w:ascii="Arial" w:hAnsi="Arial" w:cs="Arial"/>
          <w:bCs/>
        </w:rPr>
      </w:pPr>
      <w:r w:rsidRPr="00BE348D">
        <w:rPr>
          <w:rFonts w:ascii="Arial" w:hAnsi="Arial" w:cs="Arial"/>
          <w:bCs/>
        </w:rPr>
        <w:t>3.</w:t>
      </w:r>
      <w:r w:rsidRPr="00BE348D">
        <w:rPr>
          <w:rFonts w:ascii="Arial" w:hAnsi="Arial" w:cs="Arial"/>
          <w:bCs/>
        </w:rPr>
        <w:tab/>
        <w:t>Public and Indian Housing (Assistance Listing 14.850)</w:t>
      </w:r>
    </w:p>
    <w:p w14:paraId="34DB1BC9" w14:textId="1381C4A4" w:rsidR="00BE348D" w:rsidRPr="00BE348D" w:rsidRDefault="00BE348D" w:rsidP="00BE348D">
      <w:pPr>
        <w:spacing w:after="240"/>
        <w:jc w:val="both"/>
        <w:rPr>
          <w:rFonts w:ascii="Arial" w:hAnsi="Arial" w:cs="Arial"/>
          <w:bCs/>
        </w:rPr>
      </w:pPr>
      <w:r w:rsidRPr="00BE348D">
        <w:rPr>
          <w:rFonts w:ascii="Arial" w:hAnsi="Arial" w:cs="Arial"/>
          <w:bCs/>
        </w:rPr>
        <w:t xml:space="preserve">If a PHA is operating under an MTW Agreement, the auditor should look to the MTW Agreement to determine which funds are included in the MTW Agreement. If CFP funds are transferred out of CFP, pursuant to an MTW Agreement, they are subject to the requirements of the MTW Agreement and should not be included in the audit universe and total expenditures for CFP when determining Type A programs. On the Schedule of Expenditures of Federal Awards, the amounts transferred out should not be shown as CFP expenditures but should be shown as expenditures for the MTW Demonstration program. Also, if other </w:t>
      </w:r>
      <w:r w:rsidRPr="00BE348D">
        <w:rPr>
          <w:rFonts w:ascii="Arial" w:hAnsi="Arial" w:cs="Arial"/>
          <w:bCs/>
        </w:rPr>
        <w:lastRenderedPageBreak/>
        <w:t xml:space="preserve">program funds are transferred into the CFP account pursuant to an MTW Agreement, </w:t>
      </w:r>
      <w:proofErr w:type="gramStart"/>
      <w:r w:rsidRPr="00BE348D">
        <w:rPr>
          <w:rFonts w:ascii="Arial" w:hAnsi="Arial" w:cs="Arial"/>
          <w:bCs/>
        </w:rPr>
        <w:t>all of</w:t>
      </w:r>
      <w:proofErr w:type="gramEnd"/>
      <w:r w:rsidRPr="00BE348D">
        <w:rPr>
          <w:rFonts w:ascii="Arial" w:hAnsi="Arial" w:cs="Arial"/>
          <w:bCs/>
        </w:rPr>
        <w:t xml:space="preserve"> the CFP funds would then be considered MTW funds.</w:t>
      </w:r>
    </w:p>
    <w:p w14:paraId="6326DC8F" w14:textId="54C5BAE5" w:rsidR="00BE348D" w:rsidRPr="00BE348D" w:rsidRDefault="00BE348D" w:rsidP="00BE348D">
      <w:pPr>
        <w:spacing w:after="240"/>
        <w:jc w:val="both"/>
        <w:rPr>
          <w:rFonts w:ascii="Arial" w:hAnsi="Arial" w:cs="Arial"/>
          <w:bCs/>
        </w:rPr>
      </w:pPr>
      <w:r w:rsidRPr="00BE348D">
        <w:rPr>
          <w:rFonts w:ascii="Arial" w:hAnsi="Arial" w:cs="Arial"/>
          <w:bCs/>
        </w:rPr>
        <w:t>Where the MTW agency does not transfer all the funds from the CFP into the MTW account or another of the authorized program, those funds would be considered, and audited, under the CFP.</w:t>
      </w:r>
    </w:p>
    <w:p w14:paraId="6E73424B" w14:textId="34A96F7D" w:rsidR="00230FA4" w:rsidRPr="00230FA4" w:rsidRDefault="00230FA4" w:rsidP="00230FA4">
      <w:pPr>
        <w:spacing w:after="240"/>
        <w:jc w:val="both"/>
        <w:rPr>
          <w:rFonts w:ascii="Arial" w:hAnsi="Arial" w:cs="Arial"/>
          <w:b/>
        </w:rPr>
      </w:pPr>
      <w:r w:rsidRPr="00230FA4">
        <w:rPr>
          <w:rFonts w:ascii="Arial" w:hAnsi="Arial" w:cs="Arial"/>
          <w:b/>
        </w:rPr>
        <w:t>Availability of Other Program Information</w:t>
      </w:r>
    </w:p>
    <w:p w14:paraId="16C6500C" w14:textId="77BD71B2" w:rsidR="00230FA4" w:rsidRPr="00230FA4" w:rsidRDefault="00230FA4" w:rsidP="00230FA4">
      <w:pPr>
        <w:spacing w:after="240"/>
        <w:jc w:val="both"/>
        <w:rPr>
          <w:rFonts w:ascii="Arial" w:hAnsi="Arial" w:cs="Arial"/>
          <w:bCs/>
        </w:rPr>
      </w:pPr>
      <w:r w:rsidRPr="00230FA4">
        <w:rPr>
          <w:rFonts w:ascii="Arial" w:hAnsi="Arial" w:cs="Arial"/>
          <w:bCs/>
        </w:rPr>
        <w:t>HUD posts guidance on the CFP to its Office of Capital Improvements Home Page that provides grantees with information on timelines, budgets, financial instructions, and other program guidance. Information regarding the financial reporting requirements of the PHAs is provided by HUD on the Real Estate Assessment Center (REAC) website.</w:t>
      </w:r>
    </w:p>
    <w:p w14:paraId="11B96EC9" w14:textId="65C71D1A" w:rsidR="00230FA4" w:rsidRPr="00230FA4" w:rsidRDefault="00230FA4" w:rsidP="00230FA4">
      <w:pPr>
        <w:spacing w:after="240"/>
        <w:jc w:val="both"/>
        <w:rPr>
          <w:rFonts w:ascii="Arial" w:hAnsi="Arial" w:cs="Arial"/>
          <w:bCs/>
        </w:rPr>
      </w:pPr>
      <w:r w:rsidRPr="00230FA4">
        <w:rPr>
          <w:rFonts w:ascii="Arial" w:hAnsi="Arial" w:cs="Arial"/>
          <w:bCs/>
        </w:rPr>
        <w:t>Here are some helpful links:</w:t>
      </w:r>
    </w:p>
    <w:p w14:paraId="3B64B6BE" w14:textId="7FF1001F" w:rsidR="00230FA4" w:rsidRDefault="00230FA4" w:rsidP="00230FA4">
      <w:pPr>
        <w:jc w:val="both"/>
        <w:rPr>
          <w:rFonts w:ascii="Arial" w:hAnsi="Arial" w:cs="Arial"/>
          <w:bCs/>
        </w:rPr>
      </w:pPr>
      <w:r w:rsidRPr="00230FA4">
        <w:rPr>
          <w:rFonts w:ascii="Arial" w:hAnsi="Arial" w:cs="Arial"/>
          <w:bCs/>
        </w:rPr>
        <w:t xml:space="preserve">Office of Capital Improvements web page: </w:t>
      </w:r>
      <w:hyperlink r:id="rId32" w:history="1">
        <w:r w:rsidRPr="00B05317">
          <w:rPr>
            <w:rStyle w:val="Hyperlink"/>
            <w:rFonts w:cs="Arial"/>
            <w:bCs/>
          </w:rPr>
          <w:t>https://www.hud.gov/program_offices/public_indian_housing/programs/ph/capfund</w:t>
        </w:r>
      </w:hyperlink>
      <w:r>
        <w:rPr>
          <w:rFonts w:ascii="Arial" w:hAnsi="Arial" w:cs="Arial"/>
          <w:bCs/>
        </w:rPr>
        <w:t xml:space="preserve"> </w:t>
      </w:r>
    </w:p>
    <w:p w14:paraId="06CECAF1" w14:textId="77777777" w:rsidR="00230FA4" w:rsidRPr="00230FA4" w:rsidRDefault="00230FA4" w:rsidP="00230FA4">
      <w:pPr>
        <w:jc w:val="both"/>
        <w:rPr>
          <w:rFonts w:ascii="Arial" w:hAnsi="Arial" w:cs="Arial"/>
          <w:bCs/>
        </w:rPr>
      </w:pPr>
    </w:p>
    <w:p w14:paraId="49DB198A" w14:textId="77777777" w:rsidR="00230FA4" w:rsidRDefault="00230FA4" w:rsidP="00230FA4">
      <w:pPr>
        <w:jc w:val="both"/>
        <w:rPr>
          <w:rFonts w:ascii="Arial" w:hAnsi="Arial" w:cs="Arial"/>
          <w:bCs/>
        </w:rPr>
      </w:pPr>
      <w:r w:rsidRPr="00230FA4">
        <w:rPr>
          <w:rFonts w:ascii="Arial" w:hAnsi="Arial" w:cs="Arial"/>
          <w:bCs/>
        </w:rPr>
        <w:t xml:space="preserve">REAC web pages: </w:t>
      </w:r>
    </w:p>
    <w:p w14:paraId="34AEFFAE" w14:textId="3F1C131B" w:rsidR="00230FA4" w:rsidRDefault="00230FA4" w:rsidP="00230FA4">
      <w:pPr>
        <w:jc w:val="both"/>
        <w:rPr>
          <w:rFonts w:ascii="Arial" w:hAnsi="Arial" w:cs="Arial"/>
          <w:bCs/>
        </w:rPr>
      </w:pPr>
      <w:hyperlink r:id="rId33" w:history="1">
        <w:r w:rsidRPr="00B05317">
          <w:rPr>
            <w:rStyle w:val="Hyperlink"/>
            <w:rFonts w:cs="Arial"/>
            <w:bCs/>
          </w:rPr>
          <w:t>https://www.hud.gov/program_offices/public_indian_housing/reac</w:t>
        </w:r>
      </w:hyperlink>
    </w:p>
    <w:p w14:paraId="21C3792F" w14:textId="78767E12" w:rsidR="00230FA4" w:rsidRPr="00230FA4" w:rsidRDefault="00230FA4" w:rsidP="00230FA4">
      <w:pPr>
        <w:jc w:val="both"/>
        <w:rPr>
          <w:rFonts w:ascii="Arial" w:hAnsi="Arial" w:cs="Arial"/>
          <w:bCs/>
        </w:rPr>
      </w:pPr>
      <w:hyperlink r:id="rId34" w:history="1">
        <w:r w:rsidRPr="00B05317">
          <w:rPr>
            <w:rStyle w:val="Hyperlink"/>
            <w:rFonts w:cs="Arial"/>
            <w:bCs/>
          </w:rPr>
          <w:t>https://www.hud.gov/program_offices/public_indian_housing/reac/products/prodpha</w:t>
        </w:r>
      </w:hyperlink>
      <w:r>
        <w:rPr>
          <w:rFonts w:ascii="Arial" w:hAnsi="Arial" w:cs="Arial"/>
          <w:bCs/>
        </w:rPr>
        <w:t xml:space="preserve"> </w:t>
      </w:r>
    </w:p>
    <w:p w14:paraId="7E318C26" w14:textId="1182E6F0" w:rsidR="008148E3" w:rsidRDefault="00230FA4" w:rsidP="00230FA4">
      <w:pPr>
        <w:jc w:val="both"/>
        <w:rPr>
          <w:rFonts w:ascii="Arial" w:hAnsi="Arial" w:cs="Arial"/>
          <w:bCs/>
        </w:rPr>
      </w:pPr>
      <w:hyperlink r:id="rId35" w:history="1">
        <w:r w:rsidRPr="00B05317">
          <w:rPr>
            <w:rStyle w:val="Hyperlink"/>
            <w:rFonts w:cs="Arial"/>
            <w:bCs/>
          </w:rPr>
          <w:t>https://www.hud.gov/program_offices/public_indian_housing/reac/products/prodphasintrule</w:t>
        </w:r>
      </w:hyperlink>
      <w:r>
        <w:rPr>
          <w:rFonts w:ascii="Arial" w:hAnsi="Arial" w:cs="Arial"/>
          <w:bCs/>
        </w:rPr>
        <w:t xml:space="preserve"> </w:t>
      </w:r>
    </w:p>
    <w:p w14:paraId="22FCB5E9" w14:textId="77777777" w:rsidR="00230FA4" w:rsidRDefault="00230FA4" w:rsidP="00230FA4">
      <w:pPr>
        <w:jc w:val="both"/>
        <w:rPr>
          <w:rFonts w:ascii="Arial" w:hAnsi="Arial" w:cs="Arial"/>
          <w:bCs/>
        </w:rPr>
      </w:pPr>
    </w:p>
    <w:p w14:paraId="715B58CD" w14:textId="1CB1EB42" w:rsidR="00230FA4" w:rsidRPr="00230FA4" w:rsidRDefault="00230FA4" w:rsidP="006672E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6"/>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4635345"/>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3" w:name="_Toc174635346"/>
      <w:r w:rsidRPr="00A0464C">
        <w:rPr>
          <w:rFonts w:cs="Arial"/>
          <w:sz w:val="24"/>
          <w:szCs w:val="24"/>
        </w:rPr>
        <w:t>Program Overview</w:t>
      </w:r>
      <w:bookmarkEnd w:id="23"/>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4" w:name="_Toc174635347"/>
      <w:r w:rsidRPr="00A0464C">
        <w:rPr>
          <w:rFonts w:cs="Arial"/>
          <w:sz w:val="24"/>
          <w:szCs w:val="24"/>
        </w:rPr>
        <w:t>Testing Considerations</w:t>
      </w:r>
      <w:bookmarkEnd w:id="24"/>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5" w:name="_Toc174635348"/>
      <w:r w:rsidRPr="00A0464C">
        <w:rPr>
          <w:rFonts w:cs="Arial"/>
          <w:sz w:val="24"/>
          <w:szCs w:val="24"/>
        </w:rPr>
        <w:t>Reporting</w:t>
      </w:r>
      <w:bookmarkEnd w:id="25"/>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37"/>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8"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463534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4635350"/>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4635351"/>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40D20F8F" w14:textId="33197470" w:rsidR="00230FA4" w:rsidRPr="00230FA4" w:rsidRDefault="00230FA4" w:rsidP="00230FA4">
      <w:pPr>
        <w:spacing w:after="240"/>
        <w:jc w:val="both"/>
        <w:rPr>
          <w:rFonts w:ascii="Arial" w:hAnsi="Arial" w:cs="Arial"/>
          <w:b/>
        </w:rPr>
      </w:pPr>
      <w:r w:rsidRPr="00230FA4">
        <w:rPr>
          <w:rFonts w:ascii="Arial" w:hAnsi="Arial" w:cs="Arial"/>
          <w:b/>
        </w:rPr>
        <w:t>1.</w:t>
      </w:r>
      <w:r w:rsidRPr="00230FA4">
        <w:rPr>
          <w:rFonts w:ascii="Arial" w:hAnsi="Arial" w:cs="Arial"/>
          <w:b/>
        </w:rPr>
        <w:tab/>
        <w:t>Activities Allowed</w:t>
      </w:r>
    </w:p>
    <w:p w14:paraId="39C4B690" w14:textId="020D451D" w:rsidR="00230FA4" w:rsidRPr="00230FA4" w:rsidRDefault="00230FA4" w:rsidP="00230FA4">
      <w:pPr>
        <w:spacing w:after="240"/>
        <w:ind w:left="1440" w:hanging="720"/>
        <w:jc w:val="both"/>
        <w:rPr>
          <w:rFonts w:ascii="Arial" w:hAnsi="Arial" w:cs="Arial"/>
          <w:bCs/>
        </w:rPr>
      </w:pPr>
      <w:r w:rsidRPr="00230FA4">
        <w:rPr>
          <w:rFonts w:ascii="Arial" w:hAnsi="Arial" w:cs="Arial"/>
          <w:bCs/>
        </w:rPr>
        <w:t>a.</w:t>
      </w:r>
      <w:r w:rsidRPr="00230FA4">
        <w:rPr>
          <w:rFonts w:ascii="Arial" w:hAnsi="Arial" w:cs="Arial"/>
          <w:bCs/>
        </w:rPr>
        <w:tab/>
        <w:t>For Capital Fund formula grants and grants from the set-aside for emergencies and natural disasters, allowed Capital Fund activities include the following: (1) developing, financing, or modernizing public housing; (2) vacancy reduction; (3) deferred maintenance; (4) replacement of obsolete utility systems and dwelling equipment; (5) code compliance; (6) management improvements; (7) demolition and replacement; (8) resident relocation; (9) resident economic empowerment/economic self- sufficiency; and (10) security; and homeownership (42 USC 1437g(d): Annual contributions for operation of low-income housing (house.gov); 24 CFR section 905.200). A PHA with fewer than 250 units that is not designated as troubled under the Public Housing Assessment System (PHAS) may use up to 100 percent of its annual Capital Fund grant for activities that are eligible under the Operating Fund at 24 CFR part 990 (see Assistance Listing 14.850, III.A, “Activities Allowed or Unallowed”), except that the PHA must have determined that there are no debt service payments, significant Capital Fund needs, or emergency needs that must be met prior to transferring 100 percent of its funds to operating expenses 24 CFR section 905.314(l).</w:t>
      </w:r>
    </w:p>
    <w:p w14:paraId="70947E8A" w14:textId="3AEC07B5" w:rsidR="00230FA4" w:rsidRPr="00230FA4" w:rsidRDefault="00230FA4" w:rsidP="00230FA4">
      <w:pPr>
        <w:spacing w:after="240"/>
        <w:ind w:left="1440" w:hanging="720"/>
        <w:jc w:val="both"/>
        <w:rPr>
          <w:rFonts w:ascii="Arial" w:hAnsi="Arial" w:cs="Arial"/>
          <w:bCs/>
        </w:rPr>
      </w:pPr>
      <w:r w:rsidRPr="00230FA4">
        <w:rPr>
          <w:rFonts w:ascii="Arial" w:hAnsi="Arial" w:cs="Arial"/>
          <w:bCs/>
        </w:rPr>
        <w:lastRenderedPageBreak/>
        <w:t>b.</w:t>
      </w:r>
      <w:r w:rsidRPr="00230FA4">
        <w:rPr>
          <w:rFonts w:ascii="Arial" w:hAnsi="Arial" w:cs="Arial"/>
          <w:bCs/>
        </w:rPr>
        <w:tab/>
        <w:t>For Capital Fund Replacement Housing Factor (RHF) grants, activities are limited to the development of replacement housing (24 CFR section 905.400(i)).</w:t>
      </w:r>
    </w:p>
    <w:p w14:paraId="7AEF99C8" w14:textId="504FAB92" w:rsidR="00230FA4" w:rsidRPr="00230FA4" w:rsidRDefault="00230FA4" w:rsidP="00230FA4">
      <w:pPr>
        <w:spacing w:after="240"/>
        <w:jc w:val="both"/>
        <w:rPr>
          <w:rFonts w:ascii="Arial" w:hAnsi="Arial" w:cs="Arial"/>
          <w:b/>
        </w:rPr>
      </w:pPr>
      <w:r w:rsidRPr="00230FA4">
        <w:rPr>
          <w:rFonts w:ascii="Arial" w:hAnsi="Arial" w:cs="Arial"/>
          <w:b/>
        </w:rPr>
        <w:t>2.</w:t>
      </w:r>
      <w:r w:rsidRPr="00230FA4">
        <w:rPr>
          <w:rFonts w:ascii="Arial" w:hAnsi="Arial" w:cs="Arial"/>
          <w:b/>
        </w:rPr>
        <w:tab/>
        <w:t>Activities Unallowed</w:t>
      </w:r>
    </w:p>
    <w:p w14:paraId="68F941E9" w14:textId="7531735C" w:rsidR="00230FA4" w:rsidRPr="00230FA4" w:rsidRDefault="00230FA4" w:rsidP="00230FA4">
      <w:pPr>
        <w:spacing w:after="240"/>
        <w:ind w:left="720"/>
        <w:jc w:val="both"/>
        <w:rPr>
          <w:rFonts w:ascii="Arial" w:hAnsi="Arial" w:cs="Arial"/>
          <w:bCs/>
        </w:rPr>
      </w:pPr>
      <w:r w:rsidRPr="00230FA4">
        <w:rPr>
          <w:rFonts w:ascii="Arial" w:hAnsi="Arial" w:cs="Arial"/>
          <w:bCs/>
        </w:rPr>
        <w:t xml:space="preserve">A PHA must not incur any cost </w:t>
      </w:r>
      <w:proofErr w:type="gramStart"/>
      <w:r w:rsidRPr="00230FA4">
        <w:rPr>
          <w:rFonts w:ascii="Arial" w:hAnsi="Arial" w:cs="Arial"/>
          <w:bCs/>
        </w:rPr>
        <w:t>in excess of</w:t>
      </w:r>
      <w:proofErr w:type="gramEnd"/>
      <w:r w:rsidRPr="00230FA4">
        <w:rPr>
          <w:rFonts w:ascii="Arial" w:hAnsi="Arial" w:cs="Arial"/>
          <w:bCs/>
        </w:rPr>
        <w:t xml:space="preserve"> the total HUD-approved PHA - Annual Statement/Budget. Budget revisions must be submitted in EPIC for deviations from the originally approved program. A PHA must not incur any cost on behalf of any development that is not covered by its current approved 5-Year Action Plan (24 CFR section 905.200(a)).</w:t>
      </w:r>
    </w:p>
    <w:p w14:paraId="03A433D1" w14:textId="2ADF1347" w:rsidR="00230FA4" w:rsidRPr="00230FA4" w:rsidRDefault="00230FA4" w:rsidP="00230FA4">
      <w:pPr>
        <w:spacing w:after="240"/>
        <w:ind w:left="720"/>
        <w:jc w:val="both"/>
        <w:rPr>
          <w:rFonts w:ascii="Arial" w:hAnsi="Arial" w:cs="Arial"/>
          <w:bCs/>
        </w:rPr>
      </w:pPr>
      <w:r w:rsidRPr="00230FA4">
        <w:rPr>
          <w:rFonts w:ascii="Arial" w:hAnsi="Arial" w:cs="Arial"/>
          <w:bCs/>
        </w:rPr>
        <w:t>The ineligible activities and costs for the Capital Fund Program are located at 24 CFR 905.202 (</w:t>
      </w:r>
      <w:hyperlink r:id="rId39" w:history="1">
        <w:r w:rsidRPr="00B05317">
          <w:rPr>
            <w:rStyle w:val="Hyperlink"/>
            <w:rFonts w:cs="Arial"/>
            <w:bCs/>
          </w:rPr>
          <w:t>https://www.ecfr.gov/current/title-24/subtitle-B/chapter-IX/part-905</w:t>
        </w:r>
      </w:hyperlink>
      <w:r w:rsidRPr="00230FA4">
        <w:rPr>
          <w:rFonts w:ascii="Arial" w:hAnsi="Arial" w:cs="Arial"/>
          <w:bCs/>
        </w:rPr>
        <w:t>). The following list describes ineligible activities and costs for the Capital Fund Program:</w:t>
      </w:r>
    </w:p>
    <w:p w14:paraId="24208BF7" w14:textId="33FF188B" w:rsidR="00230FA4" w:rsidRPr="00230FA4" w:rsidRDefault="00230FA4" w:rsidP="00230FA4">
      <w:pPr>
        <w:spacing w:after="240"/>
        <w:ind w:left="1440" w:hanging="720"/>
        <w:jc w:val="both"/>
        <w:rPr>
          <w:rFonts w:ascii="Arial" w:hAnsi="Arial" w:cs="Arial"/>
          <w:bCs/>
        </w:rPr>
      </w:pPr>
      <w:r w:rsidRPr="00230FA4">
        <w:rPr>
          <w:rFonts w:ascii="Arial" w:hAnsi="Arial" w:cs="Arial"/>
          <w:bCs/>
        </w:rPr>
        <w:t>a.</w:t>
      </w:r>
      <w:r w:rsidRPr="00230FA4">
        <w:rPr>
          <w:rFonts w:ascii="Arial" w:hAnsi="Arial" w:cs="Arial"/>
          <w:bCs/>
        </w:rPr>
        <w:tab/>
        <w:t>Not Related to Public Housing. PHAs may not spend Capital Funds on costs that are not associated with a Public Housing Development or Modernization Project.</w:t>
      </w:r>
    </w:p>
    <w:p w14:paraId="78716A4A" w14:textId="6F6BADEB" w:rsidR="00230FA4" w:rsidRPr="00230FA4" w:rsidRDefault="00230FA4" w:rsidP="00230FA4">
      <w:pPr>
        <w:spacing w:after="240"/>
        <w:ind w:left="1440" w:hanging="720"/>
        <w:jc w:val="both"/>
        <w:rPr>
          <w:rFonts w:ascii="Arial" w:hAnsi="Arial" w:cs="Arial"/>
          <w:bCs/>
        </w:rPr>
      </w:pPr>
      <w:r w:rsidRPr="00230FA4">
        <w:rPr>
          <w:rFonts w:ascii="Arial" w:hAnsi="Arial" w:cs="Arial"/>
          <w:bCs/>
        </w:rPr>
        <w:t>b.</w:t>
      </w:r>
      <w:r w:rsidRPr="00230FA4">
        <w:rPr>
          <w:rFonts w:ascii="Arial" w:hAnsi="Arial" w:cs="Arial"/>
          <w:bCs/>
        </w:rPr>
        <w:tab/>
        <w:t>Not in 5-Year Action Plan. PHAs may not spend Capital Funds on activities and costs that are not included in the PHA’s 5-Year Action Plan (Note: Emergency Work or Non-Presidentially Declared Natural Disaster assistance that is not identified in the 5-Year Action Plan is an eligible cost).</w:t>
      </w:r>
    </w:p>
    <w:p w14:paraId="5484304C" w14:textId="7294AAA7" w:rsidR="00230FA4" w:rsidRPr="00230FA4" w:rsidRDefault="00230FA4" w:rsidP="00230FA4">
      <w:pPr>
        <w:spacing w:after="240"/>
        <w:ind w:left="1440" w:hanging="720"/>
        <w:jc w:val="both"/>
        <w:rPr>
          <w:rFonts w:ascii="Arial" w:hAnsi="Arial" w:cs="Arial"/>
          <w:bCs/>
        </w:rPr>
      </w:pPr>
      <w:r w:rsidRPr="00230FA4">
        <w:rPr>
          <w:rFonts w:ascii="Arial" w:hAnsi="Arial" w:cs="Arial"/>
          <w:bCs/>
        </w:rPr>
        <w:t>c.</w:t>
      </w:r>
      <w:r w:rsidRPr="00230FA4">
        <w:rPr>
          <w:rFonts w:ascii="Arial" w:hAnsi="Arial" w:cs="Arial"/>
          <w:bCs/>
        </w:rPr>
        <w:tab/>
        <w:t xml:space="preserve">Not Modest Design. PHAs may not spend Capital Funds on improvements or purchases that are not considered modest in design and cost because they include amenities, materials, and design </w:t>
      </w:r>
      <w:proofErr w:type="gramStart"/>
      <w:r w:rsidRPr="00230FA4">
        <w:rPr>
          <w:rFonts w:ascii="Arial" w:hAnsi="Arial" w:cs="Arial"/>
          <w:bCs/>
        </w:rPr>
        <w:t>in excess of</w:t>
      </w:r>
      <w:proofErr w:type="gramEnd"/>
      <w:r w:rsidRPr="00230FA4">
        <w:rPr>
          <w:rFonts w:ascii="Arial" w:hAnsi="Arial" w:cs="Arial"/>
          <w:bCs/>
        </w:rPr>
        <w:t xml:space="preserve"> what is customary for the locality, as determined by the PHA and field office. These include, but are not limited to, granite counter tops, dishwashers, microwaves, swimming pools, saunas, whirlpool baths, and hot tubs. Modernization and development activities require Field Office review and approval of the PHA’s annual and five-year plans detailing the activities. These activities must be within the total development costs (TDC) limits. The TDC limits for PHAs are updated annually and posted on the Office of Capital Improvements website. The current TDC limits are posted here: </w:t>
      </w:r>
      <w:hyperlink r:id="rId40" w:history="1">
        <w:r w:rsidRPr="00B05317">
          <w:rPr>
            <w:rStyle w:val="Hyperlink"/>
            <w:rFonts w:cs="Arial"/>
            <w:bCs/>
          </w:rPr>
          <w:t>https://www.hud.gov/sites/dfiles/PIH/documents/2023_Units_TDC_Limits.pdf</w:t>
        </w:r>
      </w:hyperlink>
      <w:r>
        <w:rPr>
          <w:rFonts w:ascii="Arial" w:hAnsi="Arial" w:cs="Arial"/>
          <w:bCs/>
        </w:rPr>
        <w:t xml:space="preserve"> </w:t>
      </w:r>
    </w:p>
    <w:p w14:paraId="4EBE0BC0" w14:textId="79537E1C" w:rsidR="00230FA4" w:rsidRPr="00230FA4" w:rsidRDefault="00230FA4" w:rsidP="00230FA4">
      <w:pPr>
        <w:spacing w:after="240"/>
        <w:ind w:left="1440" w:hanging="720"/>
        <w:jc w:val="both"/>
        <w:rPr>
          <w:rFonts w:ascii="Arial" w:hAnsi="Arial" w:cs="Arial"/>
          <w:bCs/>
        </w:rPr>
      </w:pPr>
      <w:r w:rsidRPr="00230FA4">
        <w:rPr>
          <w:rFonts w:ascii="Arial" w:hAnsi="Arial" w:cs="Arial"/>
          <w:bCs/>
        </w:rPr>
        <w:t>d.</w:t>
      </w:r>
      <w:r w:rsidRPr="00230FA4">
        <w:rPr>
          <w:rFonts w:ascii="Arial" w:hAnsi="Arial" w:cs="Arial"/>
          <w:bCs/>
        </w:rPr>
        <w:tab/>
        <w:t>Not Eligible based on OMB Regulatory and Circular Guidance. PHAs may not spend Capital Funds on any costs not authorized in 2 CFR Part 200 (formerly OMB Circular A-87 and 2 CFR Part 225), including indirect Administrative Costs, indemnification, and capitalizing reserves.</w:t>
      </w:r>
    </w:p>
    <w:p w14:paraId="6BD5ADB9" w14:textId="77777777" w:rsidR="00230FA4" w:rsidRPr="00230FA4" w:rsidRDefault="00230FA4" w:rsidP="00230FA4">
      <w:pPr>
        <w:spacing w:after="240"/>
        <w:ind w:left="1440" w:hanging="720"/>
        <w:jc w:val="both"/>
        <w:rPr>
          <w:rFonts w:ascii="Arial" w:hAnsi="Arial" w:cs="Arial"/>
          <w:bCs/>
        </w:rPr>
      </w:pPr>
      <w:r w:rsidRPr="00230FA4">
        <w:rPr>
          <w:rFonts w:ascii="Arial" w:hAnsi="Arial" w:cs="Arial"/>
          <w:bCs/>
        </w:rPr>
        <w:t>e.</w:t>
      </w:r>
      <w:r w:rsidRPr="00230FA4">
        <w:rPr>
          <w:rFonts w:ascii="Arial" w:hAnsi="Arial" w:cs="Arial"/>
          <w:bCs/>
        </w:rPr>
        <w:tab/>
        <w:t>Operating Assistance. PHAs may not spend Capital Funds on Public Housing operating assistance, except as provided through transfers to BLI 1406.</w:t>
      </w:r>
    </w:p>
    <w:p w14:paraId="7FDC1A58" w14:textId="005FC393" w:rsidR="00230FA4" w:rsidRPr="00230FA4" w:rsidRDefault="00230FA4" w:rsidP="00230FA4">
      <w:pPr>
        <w:spacing w:after="240"/>
        <w:ind w:left="1440" w:hanging="720"/>
        <w:jc w:val="both"/>
        <w:rPr>
          <w:rFonts w:ascii="Arial" w:hAnsi="Arial" w:cs="Arial"/>
          <w:bCs/>
        </w:rPr>
      </w:pPr>
      <w:r w:rsidRPr="00230FA4">
        <w:rPr>
          <w:rFonts w:ascii="Arial" w:hAnsi="Arial" w:cs="Arial"/>
          <w:bCs/>
        </w:rPr>
        <w:t>f.</w:t>
      </w:r>
      <w:r w:rsidRPr="00230FA4">
        <w:rPr>
          <w:rFonts w:ascii="Arial" w:hAnsi="Arial" w:cs="Arial"/>
          <w:bCs/>
        </w:rPr>
        <w:tab/>
        <w:t xml:space="preserve">Benefitting Other Programs. Eligible costs that exceed the amount directly attributable to the public housing units when the physical or management improvements, including salaries and employee benefits and contributions, will benefit programs other than public housing, such as Section 8 Housing Choice Voucher, or local revitalization programs. For example, the annual audit covers </w:t>
      </w:r>
      <w:proofErr w:type="gramStart"/>
      <w:r w:rsidRPr="00230FA4">
        <w:rPr>
          <w:rFonts w:ascii="Arial" w:hAnsi="Arial" w:cs="Arial"/>
          <w:bCs/>
        </w:rPr>
        <w:t>all of</w:t>
      </w:r>
      <w:proofErr w:type="gramEnd"/>
      <w:r w:rsidRPr="00230FA4">
        <w:rPr>
          <w:rFonts w:ascii="Arial" w:hAnsi="Arial" w:cs="Arial"/>
          <w:bCs/>
        </w:rPr>
        <w:t xml:space="preserve"> the PHA’s activities such as the Operating Fund, Capital Fund, Housing Choice Vouchers, and non- federally funded activities. Only a pro-rata share of the Audit cost attributable to the Capital Fund may be charged to the Capital Fund.</w:t>
      </w:r>
    </w:p>
    <w:p w14:paraId="1DD65976" w14:textId="6255D732" w:rsidR="00230FA4" w:rsidRPr="00230FA4" w:rsidRDefault="00230FA4" w:rsidP="00230FA4">
      <w:pPr>
        <w:spacing w:after="240"/>
        <w:ind w:left="720"/>
        <w:jc w:val="both"/>
        <w:rPr>
          <w:rFonts w:ascii="Arial" w:hAnsi="Arial" w:cs="Arial"/>
          <w:bCs/>
        </w:rPr>
      </w:pPr>
      <w:r w:rsidRPr="00230FA4">
        <w:rPr>
          <w:rFonts w:ascii="Arial" w:hAnsi="Arial" w:cs="Arial"/>
          <w:bCs/>
        </w:rPr>
        <w:t>g.</w:t>
      </w:r>
      <w:r w:rsidRPr="00230FA4">
        <w:rPr>
          <w:rFonts w:ascii="Arial" w:hAnsi="Arial" w:cs="Arial"/>
          <w:bCs/>
        </w:rPr>
        <w:tab/>
        <w:t>Security Services. Ongoing security services, including:</w:t>
      </w:r>
    </w:p>
    <w:p w14:paraId="0CEF8E4A" w14:textId="17FFBC4E" w:rsidR="00230FA4" w:rsidRPr="00230FA4" w:rsidRDefault="00230FA4" w:rsidP="00230FA4">
      <w:pPr>
        <w:spacing w:after="240"/>
        <w:ind w:left="2160" w:hanging="720"/>
        <w:jc w:val="both"/>
        <w:rPr>
          <w:rFonts w:ascii="Arial" w:hAnsi="Arial" w:cs="Arial"/>
          <w:bCs/>
        </w:rPr>
      </w:pPr>
      <w:r w:rsidRPr="00230FA4">
        <w:rPr>
          <w:rFonts w:ascii="Arial" w:hAnsi="Arial" w:cs="Arial"/>
          <w:bCs/>
        </w:rPr>
        <w:t>(1)</w:t>
      </w:r>
      <w:r w:rsidRPr="00230FA4">
        <w:rPr>
          <w:rFonts w:ascii="Arial" w:hAnsi="Arial" w:cs="Arial"/>
          <w:bCs/>
        </w:rPr>
        <w:tab/>
        <w:t>Contracts with local police departments including above baseline police services except where permitted by HUD FY Appropriations Acts;</w:t>
      </w:r>
    </w:p>
    <w:p w14:paraId="710656D3" w14:textId="4F049460" w:rsidR="00230FA4" w:rsidRPr="00230FA4" w:rsidRDefault="00230FA4" w:rsidP="00230FA4">
      <w:pPr>
        <w:spacing w:after="240"/>
        <w:ind w:left="2160" w:hanging="720"/>
        <w:jc w:val="both"/>
        <w:rPr>
          <w:rFonts w:ascii="Arial" w:hAnsi="Arial" w:cs="Arial"/>
          <w:bCs/>
        </w:rPr>
      </w:pPr>
      <w:r w:rsidRPr="00230FA4">
        <w:rPr>
          <w:rFonts w:ascii="Arial" w:hAnsi="Arial" w:cs="Arial"/>
          <w:bCs/>
        </w:rPr>
        <w:lastRenderedPageBreak/>
        <w:t>(2)</w:t>
      </w:r>
      <w:r w:rsidRPr="00230FA4">
        <w:rPr>
          <w:rFonts w:ascii="Arial" w:hAnsi="Arial" w:cs="Arial"/>
          <w:bCs/>
        </w:rPr>
        <w:tab/>
        <w:t>The salaries and benefits for security guards, patrols, or police officers (full-time, part-time, or after hours); and</w:t>
      </w:r>
    </w:p>
    <w:p w14:paraId="2C1B543D" w14:textId="210152B3" w:rsidR="00230FA4" w:rsidRPr="00230FA4" w:rsidRDefault="00230FA4" w:rsidP="00230FA4">
      <w:pPr>
        <w:spacing w:after="240"/>
        <w:ind w:left="1440"/>
        <w:jc w:val="both"/>
        <w:rPr>
          <w:rFonts w:ascii="Arial" w:hAnsi="Arial" w:cs="Arial"/>
          <w:bCs/>
        </w:rPr>
      </w:pPr>
      <w:r w:rsidRPr="00230FA4">
        <w:rPr>
          <w:rFonts w:ascii="Arial" w:hAnsi="Arial" w:cs="Arial"/>
          <w:bCs/>
        </w:rPr>
        <w:t>(3)</w:t>
      </w:r>
      <w:r w:rsidRPr="00230FA4">
        <w:rPr>
          <w:rFonts w:ascii="Arial" w:hAnsi="Arial" w:cs="Arial"/>
          <w:bCs/>
        </w:rPr>
        <w:tab/>
        <w:t>The purchase or leasing of vehicles for security personnel.</w:t>
      </w:r>
    </w:p>
    <w:p w14:paraId="30062DDF" w14:textId="149BF223" w:rsidR="00230FA4" w:rsidRPr="00230FA4" w:rsidRDefault="00230FA4" w:rsidP="00230FA4">
      <w:pPr>
        <w:spacing w:after="240"/>
        <w:ind w:left="1440" w:hanging="720"/>
        <w:jc w:val="both"/>
        <w:rPr>
          <w:rFonts w:ascii="Arial" w:hAnsi="Arial" w:cs="Arial"/>
          <w:bCs/>
        </w:rPr>
      </w:pPr>
      <w:r w:rsidRPr="00230FA4">
        <w:rPr>
          <w:rFonts w:ascii="Arial" w:hAnsi="Arial" w:cs="Arial"/>
          <w:bCs/>
        </w:rPr>
        <w:t>h.</w:t>
      </w:r>
      <w:r w:rsidRPr="00230FA4">
        <w:rPr>
          <w:rFonts w:ascii="Arial" w:hAnsi="Arial" w:cs="Arial"/>
          <w:bCs/>
        </w:rPr>
        <w:tab/>
        <w:t>Supportive Services. The provision of supportive services to public housing residents, including:</w:t>
      </w:r>
    </w:p>
    <w:p w14:paraId="2F157228" w14:textId="6D4CEC1A" w:rsidR="00230FA4" w:rsidRPr="00230FA4" w:rsidRDefault="00230FA4" w:rsidP="00230FA4">
      <w:pPr>
        <w:spacing w:after="240"/>
        <w:ind w:left="2160" w:hanging="720"/>
        <w:jc w:val="both"/>
        <w:rPr>
          <w:rFonts w:ascii="Arial" w:hAnsi="Arial" w:cs="Arial"/>
          <w:bCs/>
        </w:rPr>
      </w:pPr>
      <w:r w:rsidRPr="00230FA4">
        <w:rPr>
          <w:rFonts w:ascii="Arial" w:hAnsi="Arial" w:cs="Arial"/>
          <w:bCs/>
        </w:rPr>
        <w:t>(1)</w:t>
      </w:r>
      <w:r w:rsidRPr="00230FA4">
        <w:rPr>
          <w:rFonts w:ascii="Arial" w:hAnsi="Arial" w:cs="Arial"/>
          <w:bCs/>
        </w:rPr>
        <w:tab/>
        <w:t>The salaries and benefits or contract costs for service providers, including resident coordinators, case managers, social workers, nurses, chore service providers, supplemental police or probation services providers, and tutors;</w:t>
      </w:r>
    </w:p>
    <w:p w14:paraId="6371ABEA" w14:textId="0300DD5F" w:rsidR="00230FA4" w:rsidRPr="00230FA4" w:rsidRDefault="00230FA4" w:rsidP="00230FA4">
      <w:pPr>
        <w:spacing w:after="240"/>
        <w:ind w:left="1440"/>
        <w:jc w:val="both"/>
        <w:rPr>
          <w:rFonts w:ascii="Arial" w:hAnsi="Arial" w:cs="Arial"/>
          <w:bCs/>
        </w:rPr>
      </w:pPr>
      <w:r w:rsidRPr="00230FA4">
        <w:rPr>
          <w:rFonts w:ascii="Arial" w:hAnsi="Arial" w:cs="Arial"/>
          <w:bCs/>
        </w:rPr>
        <w:t>(2)</w:t>
      </w:r>
      <w:r w:rsidRPr="00230FA4">
        <w:rPr>
          <w:rFonts w:ascii="Arial" w:hAnsi="Arial" w:cs="Arial"/>
          <w:bCs/>
        </w:rPr>
        <w:tab/>
        <w:t>Health and wellness activities;</w:t>
      </w:r>
    </w:p>
    <w:p w14:paraId="2F6A7D80" w14:textId="6BCDE2DE" w:rsidR="00230FA4" w:rsidRPr="00230FA4" w:rsidRDefault="00230FA4" w:rsidP="00230FA4">
      <w:pPr>
        <w:spacing w:after="240"/>
        <w:ind w:left="2160" w:hanging="720"/>
        <w:jc w:val="both"/>
        <w:rPr>
          <w:rFonts w:ascii="Arial" w:hAnsi="Arial" w:cs="Arial"/>
          <w:bCs/>
        </w:rPr>
      </w:pPr>
      <w:r w:rsidRPr="00230FA4">
        <w:rPr>
          <w:rFonts w:ascii="Arial" w:hAnsi="Arial" w:cs="Arial"/>
          <w:bCs/>
        </w:rPr>
        <w:t>(3)</w:t>
      </w:r>
      <w:r w:rsidRPr="00230FA4">
        <w:rPr>
          <w:rFonts w:ascii="Arial" w:hAnsi="Arial" w:cs="Arial"/>
          <w:bCs/>
        </w:rPr>
        <w:tab/>
        <w:t>Educational enrichment and recreational activities, including social organizations; and</w:t>
      </w:r>
    </w:p>
    <w:p w14:paraId="5333A3E1" w14:textId="1E5E12D1" w:rsidR="00230FA4" w:rsidRPr="00230FA4" w:rsidRDefault="00230FA4" w:rsidP="00230FA4">
      <w:pPr>
        <w:spacing w:after="240"/>
        <w:ind w:left="2160" w:hanging="720"/>
        <w:jc w:val="both"/>
        <w:rPr>
          <w:rFonts w:ascii="Arial" w:hAnsi="Arial" w:cs="Arial"/>
          <w:bCs/>
        </w:rPr>
      </w:pPr>
      <w:r w:rsidRPr="00230FA4">
        <w:rPr>
          <w:rFonts w:ascii="Arial" w:hAnsi="Arial" w:cs="Arial"/>
          <w:bCs/>
        </w:rPr>
        <w:t>(4)</w:t>
      </w:r>
      <w:r w:rsidRPr="00230FA4">
        <w:rPr>
          <w:rFonts w:ascii="Arial" w:hAnsi="Arial" w:cs="Arial"/>
          <w:bCs/>
        </w:rPr>
        <w:tab/>
        <w:t>Job development and placement services, including the cost of professional licenses, certifications and exams, and transportation assistance.</w:t>
      </w:r>
    </w:p>
    <w:p w14:paraId="76641131" w14:textId="12C4C1FF" w:rsidR="00230FA4" w:rsidRPr="00230FA4" w:rsidRDefault="00230FA4" w:rsidP="00230FA4">
      <w:pPr>
        <w:spacing w:after="240"/>
        <w:ind w:left="1440" w:hanging="720"/>
        <w:jc w:val="both"/>
        <w:rPr>
          <w:rFonts w:ascii="Arial" w:hAnsi="Arial" w:cs="Arial"/>
          <w:bCs/>
        </w:rPr>
      </w:pPr>
      <w:r w:rsidRPr="00230FA4">
        <w:rPr>
          <w:rFonts w:ascii="Arial" w:hAnsi="Arial" w:cs="Arial"/>
          <w:bCs/>
        </w:rPr>
        <w:t>i.</w:t>
      </w:r>
      <w:r w:rsidRPr="00230FA4">
        <w:rPr>
          <w:rFonts w:ascii="Arial" w:hAnsi="Arial" w:cs="Arial"/>
          <w:bCs/>
        </w:rPr>
        <w:tab/>
        <w:t>Duplicate Funding. An otherwise eligible cost that is funded by another source and would result in duplicate funding; and</w:t>
      </w:r>
    </w:p>
    <w:p w14:paraId="5F90B84A" w14:textId="77F4726B" w:rsidR="00230FA4" w:rsidRDefault="00230FA4" w:rsidP="00230FA4">
      <w:pPr>
        <w:spacing w:after="240"/>
        <w:ind w:left="1440" w:hanging="720"/>
        <w:jc w:val="both"/>
        <w:rPr>
          <w:rFonts w:ascii="Arial" w:hAnsi="Arial" w:cs="Arial"/>
          <w:bCs/>
        </w:rPr>
      </w:pPr>
      <w:r w:rsidRPr="00230FA4">
        <w:rPr>
          <w:rFonts w:ascii="Arial" w:hAnsi="Arial" w:cs="Arial"/>
          <w:bCs/>
        </w:rPr>
        <w:t>j.</w:t>
      </w:r>
      <w:r w:rsidRPr="00230FA4">
        <w:rPr>
          <w:rFonts w:ascii="Arial" w:hAnsi="Arial" w:cs="Arial"/>
          <w:bCs/>
        </w:rPr>
        <w:tab/>
        <w:t>Other Activities. Any other activities and costs that HUD may determine are ineligible on a case-by-case basis, consistent with the 1937 Act and its regulations.</w:t>
      </w:r>
    </w:p>
    <w:p w14:paraId="3E46BBEA" w14:textId="7EE18127" w:rsidR="00230FA4" w:rsidRPr="00230FA4" w:rsidRDefault="00230FA4" w:rsidP="00230FA4">
      <w:pPr>
        <w:spacing w:after="240"/>
        <w:jc w:val="both"/>
        <w:rPr>
          <w:rFonts w:ascii="Arial" w:hAnsi="Arial" w:cs="Arial"/>
          <w:bCs/>
          <w:i/>
          <w:iCs/>
        </w:rPr>
      </w:pPr>
      <w:r>
        <w:rPr>
          <w:rFonts w:ascii="Arial" w:hAnsi="Arial" w:cs="Arial"/>
          <w:bCs/>
          <w:i/>
          <w:iCs/>
        </w:rPr>
        <w:t>(Source: 2024 OMB Compliance Supplement, Part 4, HUD, #14.872 Public Housing Capital Fund)</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74635352"/>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67A4055E" w14:textId="7EDE926D" w:rsidR="00AA5B05" w:rsidRPr="00230FA4" w:rsidRDefault="00AA5B05" w:rsidP="00230FA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230FA4">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4" w:name="_Toc174635353"/>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7463535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74635355"/>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4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42"/>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74635356"/>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43"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4"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9" w:name="B___ALLOWABLE_COSTS_COST_PRINCIPLES"/>
      <w:bookmarkStart w:id="40" w:name="_Toc174635357"/>
      <w:bookmarkEnd w:id="39"/>
      <w:r w:rsidRPr="009365AA">
        <w:rPr>
          <w:rFonts w:cs="Arial"/>
          <w:sz w:val="24"/>
          <w:szCs w:val="24"/>
        </w:rPr>
        <w:t>Applicability of Cost Principles</w:t>
      </w:r>
      <w:bookmarkEnd w:id="40"/>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5"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2B1E66" w:rsidP="006672EA">
      <w:pPr>
        <w:spacing w:after="240"/>
        <w:jc w:val="both"/>
        <w:rPr>
          <w:rFonts w:ascii="Arial" w:hAnsi="Arial" w:cs="Arial"/>
        </w:rPr>
      </w:pPr>
      <w:hyperlink r:id="rId46"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1DAD4FF4" w14:textId="3CAF4BAC" w:rsidR="00230FA4" w:rsidRPr="00230FA4" w:rsidRDefault="00230FA4" w:rsidP="00230FA4">
      <w:pPr>
        <w:spacing w:after="240"/>
        <w:jc w:val="both"/>
        <w:rPr>
          <w:rFonts w:ascii="Arial" w:hAnsi="Arial" w:cs="Arial"/>
          <w:bCs/>
        </w:rPr>
      </w:pPr>
      <w:r w:rsidRPr="00230FA4">
        <w:rPr>
          <w:rFonts w:ascii="Arial" w:hAnsi="Arial" w:cs="Arial"/>
          <w:bCs/>
        </w:rPr>
        <w:t xml:space="preserve">Allocation of Costs with Other Programs. Where the physical or management improvement costs will benefit programs other than public housing, such as the Housing Choice Voucher program or local revitalization programs, Capital Fund-eligible costs are limited to the amount directly attributable to the public housing program. The amount of salary, including bonuses, of PHA chief executive officers, other officers, and employees paid with Section 8 Housing Choice Vouchers administrative fees and Section 9 Capital and Operating funds may not exceed the annual rate of basic pay payable for a federal position at Level IV of the Executive Schedule 1 (Section 227 of Pub. L. No. 113-235, 128 Stat. 2756, December 16, 2014, and carried forward in each subsequent appropriations act). Implementing guidance has been issued in </w:t>
      </w:r>
      <w:hyperlink r:id="rId47" w:history="1">
        <w:r w:rsidRPr="00230FA4">
          <w:rPr>
            <w:rStyle w:val="Hyperlink"/>
            <w:rFonts w:cs="Arial"/>
            <w:bCs/>
          </w:rPr>
          <w:t>PIH Notice 2016-14</w:t>
        </w:r>
      </w:hyperlink>
      <w:r w:rsidRPr="00230FA4">
        <w:rPr>
          <w:rFonts w:ascii="Arial" w:hAnsi="Arial" w:cs="Arial"/>
          <w:bCs/>
        </w:rPr>
        <w:t xml:space="preserve">, “Guidance on Public Housing Agency (PHA) salary restriction in HUD’s annual appropriations.” The Executive Pay Schedule may be obtained at </w:t>
      </w:r>
      <w:hyperlink r:id="rId48" w:history="1">
        <w:r w:rsidRPr="00B05317">
          <w:rPr>
            <w:rStyle w:val="Hyperlink"/>
            <w:rFonts w:cs="Arial"/>
            <w:bCs/>
          </w:rPr>
          <w:t>https://www.opm.gov/policy-data-oversight/pay-leave/salaries-wages/salary-tables/pdf/2023/EX.pdf</w:t>
        </w:r>
      </w:hyperlink>
      <w:r>
        <w:rPr>
          <w:rFonts w:ascii="Arial" w:hAnsi="Arial" w:cs="Arial"/>
          <w:bCs/>
        </w:rPr>
        <w:t xml:space="preserve"> </w:t>
      </w:r>
      <w:r w:rsidRPr="00230FA4">
        <w:rPr>
          <w:rFonts w:ascii="Arial" w:hAnsi="Arial" w:cs="Arial"/>
          <w:bCs/>
        </w:rPr>
        <w:t>(24 CFR section 1006.370(b)).</w:t>
      </w:r>
    </w:p>
    <w:p w14:paraId="7FB111D5" w14:textId="43E3B91D" w:rsidR="00230FA4" w:rsidRPr="00230FA4" w:rsidRDefault="00230FA4" w:rsidP="00230FA4">
      <w:pPr>
        <w:spacing w:after="240"/>
        <w:jc w:val="both"/>
        <w:rPr>
          <w:rFonts w:ascii="Arial" w:hAnsi="Arial" w:cs="Arial"/>
          <w:b/>
        </w:rPr>
      </w:pPr>
      <w:r w:rsidRPr="00230FA4">
        <w:rPr>
          <w:rFonts w:ascii="Arial" w:hAnsi="Arial" w:cs="Arial"/>
          <w:b/>
        </w:rPr>
        <w:t>1.</w:t>
      </w:r>
      <w:r w:rsidRPr="00230FA4">
        <w:rPr>
          <w:rFonts w:ascii="Arial" w:hAnsi="Arial" w:cs="Arial"/>
          <w:b/>
        </w:rPr>
        <w:tab/>
        <w:t>Insurance Proceeds</w:t>
      </w:r>
    </w:p>
    <w:p w14:paraId="4DADD789" w14:textId="5DC92389" w:rsidR="00230FA4" w:rsidRPr="00230FA4" w:rsidRDefault="00230FA4" w:rsidP="00230FA4">
      <w:pPr>
        <w:spacing w:after="240"/>
        <w:ind w:left="720"/>
        <w:jc w:val="both"/>
        <w:rPr>
          <w:rFonts w:ascii="Arial" w:hAnsi="Arial" w:cs="Arial"/>
          <w:bCs/>
        </w:rPr>
      </w:pPr>
      <w:r w:rsidRPr="00230FA4">
        <w:rPr>
          <w:rFonts w:ascii="Arial" w:hAnsi="Arial" w:cs="Arial"/>
          <w:bCs/>
        </w:rPr>
        <w:t>PHAs are required to use insurance proceeds to promptly restore, reconstruct, and/or repair any damaged or destroyed property of a project, except when a written approval of HUD instructs a PHA to do otherwise. Unspent insurance proceeds are normally recorded as cash- restricted modernization and development, FDS line 112, up to the amount of the repair (Section 13 of Part A of ACC).</w:t>
      </w:r>
    </w:p>
    <w:p w14:paraId="63AC200F" w14:textId="05850178" w:rsidR="00230FA4" w:rsidRPr="00230FA4" w:rsidRDefault="00230FA4" w:rsidP="00230FA4">
      <w:pPr>
        <w:spacing w:after="240"/>
        <w:ind w:left="720"/>
        <w:jc w:val="both"/>
        <w:rPr>
          <w:rFonts w:ascii="Arial" w:hAnsi="Arial" w:cs="Arial"/>
          <w:bCs/>
        </w:rPr>
      </w:pPr>
      <w:r w:rsidRPr="00230FA4">
        <w:rPr>
          <w:rFonts w:ascii="Arial" w:hAnsi="Arial" w:cs="Arial"/>
          <w:bCs/>
          <w:i/>
          <w:iCs/>
        </w:rPr>
        <w:t>Emergency and Natural Disaster Reserve</w:t>
      </w:r>
      <w:r w:rsidRPr="00230FA4">
        <w:rPr>
          <w:rFonts w:ascii="Arial" w:hAnsi="Arial" w:cs="Arial"/>
          <w:bCs/>
        </w:rPr>
        <w:t xml:space="preserve"> – In cases of unforeseeable and unpreventable emergencies that include damages to the physical structure of the housing stock, PHAs may request funding from the Emergency and Natural Disaster Reserve of the Capital Fund, an appropriated set-aside of the Capital Fund. Such grants would have a “D” or an “E” as the fifth character in the grant number. The approval for these grants requires that the PHA pay first from any insurance proceeds, but while the PHA’s warranty or insurance policy may cover the damages fully or partially, it usually takes time for the PHA to receive the insurance proceeds. These grant funds may be used to cover any costs not met with insurance proceeds, but any remaining funds must be returned to HUD. If these grant funds are used before insurance proceeds are received, the PHA must pay back the Emergency and Natural Disaster Reserve.</w:t>
      </w:r>
    </w:p>
    <w:p w14:paraId="6434505D" w14:textId="219C7575" w:rsidR="00230FA4" w:rsidRPr="00230FA4" w:rsidRDefault="00230FA4" w:rsidP="00230FA4">
      <w:pPr>
        <w:spacing w:after="240"/>
        <w:jc w:val="both"/>
        <w:rPr>
          <w:rFonts w:ascii="Arial" w:hAnsi="Arial" w:cs="Arial"/>
          <w:b/>
        </w:rPr>
      </w:pPr>
      <w:r w:rsidRPr="00230FA4">
        <w:rPr>
          <w:rFonts w:ascii="Arial" w:hAnsi="Arial" w:cs="Arial"/>
          <w:b/>
        </w:rPr>
        <w:t>2.</w:t>
      </w:r>
      <w:r w:rsidRPr="00230FA4">
        <w:rPr>
          <w:rFonts w:ascii="Arial" w:hAnsi="Arial" w:cs="Arial"/>
          <w:b/>
        </w:rPr>
        <w:tab/>
        <w:t>Debt Secured to Public Housing Asset</w:t>
      </w:r>
    </w:p>
    <w:p w14:paraId="377C4447" w14:textId="45FBDAD3" w:rsidR="00230FA4" w:rsidRPr="00230FA4" w:rsidRDefault="00230FA4" w:rsidP="00230FA4">
      <w:pPr>
        <w:spacing w:after="240"/>
        <w:ind w:left="720"/>
        <w:jc w:val="both"/>
        <w:rPr>
          <w:rFonts w:ascii="Arial" w:hAnsi="Arial" w:cs="Arial"/>
          <w:bCs/>
          <w:highlight w:val="yellow"/>
        </w:rPr>
      </w:pPr>
      <w:r w:rsidRPr="00230FA4">
        <w:rPr>
          <w:rFonts w:ascii="Arial" w:hAnsi="Arial" w:cs="Arial"/>
          <w:bCs/>
        </w:rPr>
        <w:t>PHAs are only permitted to borrow funds secured to public housing assets (including real property, other PHA owned property purchased with federal grant funds and CFP grant funds themselves) if they have obtained HUD’s authorization prior to creating a security interest in public housing assets. This requirement does not prohibit a PHA from borrowing funds that are unsecured or that are not secured to public housing assets. In granting the required authorization, HUD will issue both an approval letter as well as a CFFP ACC Amendment (42 USC 1437z-2).</w:t>
      </w:r>
    </w:p>
    <w:p w14:paraId="299A789A" w14:textId="1A0A4DBE" w:rsidR="00230FA4" w:rsidRPr="00230FA4" w:rsidRDefault="00230FA4" w:rsidP="005C6C7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lastRenderedPageBreak/>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1" w:name="_Toc174635358"/>
      <w:r w:rsidRPr="00FA4759">
        <w:rPr>
          <w:rFonts w:cs="Arial"/>
          <w:sz w:val="24"/>
          <w:szCs w:val="24"/>
        </w:rPr>
        <w:t>Additional Program Specific Information</w:t>
      </w:r>
      <w:bookmarkEnd w:id="41"/>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38470BCF" w:rsidR="00CD5DC7" w:rsidRPr="00230FA4" w:rsidRDefault="00CD5DC7" w:rsidP="00230FA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230FA4">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2" w:name="_Toc174635359"/>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2"/>
    </w:p>
    <w:p w14:paraId="2C5C23C1" w14:textId="77777777" w:rsidR="00B01E70" w:rsidRPr="00A0464C" w:rsidRDefault="00B01E70" w:rsidP="00B01E70">
      <w:pPr>
        <w:pStyle w:val="Heading3"/>
        <w:jc w:val="both"/>
        <w:rPr>
          <w:rFonts w:cs="Arial"/>
          <w:sz w:val="24"/>
          <w:szCs w:val="24"/>
        </w:rPr>
      </w:pPr>
      <w:bookmarkStart w:id="43" w:name="_Toc174635360"/>
      <w:r w:rsidRPr="00A0464C">
        <w:rPr>
          <w:rFonts w:cs="Arial"/>
          <w:sz w:val="24"/>
          <w:szCs w:val="24"/>
        </w:rPr>
        <w:t>OMB Compliance Requirements</w:t>
      </w:r>
      <w:bookmarkEnd w:id="43"/>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lastRenderedPageBreak/>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lastRenderedPageBreak/>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lastRenderedPageBreak/>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4" w:name="_Hlk135059089"/>
      <w:r w:rsidRPr="00BF0246">
        <w:rPr>
          <w:rStyle w:val="Hyperlink"/>
          <w:rFonts w:cs="Arial"/>
          <w:b/>
          <w:i/>
          <w:iCs/>
          <w:color w:val="002060"/>
        </w:rPr>
        <w:t>Additional Control Test Objectives for Written Procedures</w:t>
      </w:r>
    </w:p>
    <w:bookmarkEnd w:id="44"/>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lastRenderedPageBreak/>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lastRenderedPageBreak/>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5"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6"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6"/>
          </w:p>
          <w:bookmarkEnd w:id="45"/>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9"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w:t>
            </w:r>
            <w:r w:rsidRPr="00F00D94">
              <w:rPr>
                <w:rFonts w:ascii="Arial" w:hAnsi="Arial" w:cs="Arial"/>
                <w:sz w:val="20"/>
              </w:rPr>
              <w:lastRenderedPageBreak/>
              <w:t xml:space="preserve">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For an ICRP using the multiple allocation base method, test statistical data (e.g., square footage, audit hours, salaries and wages) to ascertain if the proposed allocation or rate bases are </w:t>
            </w:r>
            <w:r w:rsidRPr="00F00D94">
              <w:rPr>
                <w:rFonts w:ascii="Arial" w:hAnsi="Arial" w:cs="Arial"/>
                <w:sz w:val="20"/>
              </w:rPr>
              <w:lastRenderedPageBreak/>
              <w:t>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7" w:name="_Toc174635361"/>
      <w:r w:rsidRPr="00FA4759">
        <w:rPr>
          <w:rFonts w:cs="Arial"/>
          <w:sz w:val="24"/>
          <w:szCs w:val="24"/>
        </w:rPr>
        <w:t>Audit Implications Summary</w:t>
      </w:r>
      <w:bookmarkEnd w:id="47"/>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5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w:t>
            </w:r>
            <w:r w:rsidRPr="00F00D94">
              <w:rPr>
                <w:rFonts w:ascii="Arial" w:hAnsi="Arial" w:cs="Arial"/>
                <w:b/>
                <w:sz w:val="20"/>
              </w:rPr>
              <w:lastRenderedPageBreak/>
              <w:t>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51"/>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8" w:name="B__LIST_OF_SELECTED_ITEMS"/>
      <w:bookmarkStart w:id="49" w:name="C___CASH_MANAGEMENT"/>
      <w:bookmarkStart w:id="50" w:name="_Toc442267690"/>
      <w:bookmarkStart w:id="51" w:name="_Toc174635362"/>
      <w:bookmarkEnd w:id="48"/>
      <w:bookmarkEnd w:id="49"/>
      <w:r w:rsidRPr="00C95501">
        <w:rPr>
          <w:rFonts w:cs="Arial"/>
          <w:sz w:val="24"/>
        </w:rPr>
        <w:lastRenderedPageBreak/>
        <w:t xml:space="preserve">C. </w:t>
      </w:r>
      <w:r w:rsidR="00341FBE" w:rsidRPr="00C95501">
        <w:rPr>
          <w:rFonts w:cs="Arial"/>
          <w:sz w:val="24"/>
        </w:rPr>
        <w:t>CASH MANAGEMENT</w:t>
      </w:r>
      <w:bookmarkEnd w:id="50"/>
      <w:bookmarkEnd w:id="51"/>
    </w:p>
    <w:p w14:paraId="2DD0D478" w14:textId="77777777" w:rsidR="00341FBE" w:rsidRPr="00C95501" w:rsidRDefault="006A15E5" w:rsidP="006672EA">
      <w:pPr>
        <w:pStyle w:val="Heading3"/>
        <w:jc w:val="both"/>
        <w:rPr>
          <w:rFonts w:cs="Arial"/>
          <w:sz w:val="24"/>
          <w:szCs w:val="24"/>
        </w:rPr>
      </w:pPr>
      <w:bookmarkStart w:id="52" w:name="_Toc442267691"/>
      <w:bookmarkStart w:id="53" w:name="_Toc174635363"/>
      <w:r w:rsidRPr="00C95501">
        <w:rPr>
          <w:rFonts w:cs="Arial"/>
          <w:sz w:val="24"/>
          <w:szCs w:val="24"/>
        </w:rPr>
        <w:t xml:space="preserve">OMB </w:t>
      </w:r>
      <w:r w:rsidR="00341FBE" w:rsidRPr="00C95501">
        <w:rPr>
          <w:rFonts w:cs="Arial"/>
          <w:sz w:val="24"/>
          <w:szCs w:val="24"/>
        </w:rPr>
        <w:t>Compliance Requirements</w:t>
      </w:r>
      <w:bookmarkEnd w:id="52"/>
      <w:bookmarkEnd w:id="53"/>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xml:space="preserve">). A non-federal entity must be paid in advance </w:t>
      </w:r>
      <w:proofErr w:type="gramStart"/>
      <w:r w:rsidRPr="0028486A">
        <w:rPr>
          <w:rFonts w:ascii="Arial" w:hAnsi="Arial" w:cs="Arial"/>
          <w:color w:val="231F20"/>
          <w:szCs w:val="20"/>
        </w:rPr>
        <w:t>provided that</w:t>
      </w:r>
      <w:proofErr w:type="gramEnd"/>
      <w:r w:rsidRPr="0028486A">
        <w:rPr>
          <w:rFonts w:ascii="Arial" w:hAnsi="Arial" w:cs="Arial"/>
          <w:color w:val="231F20"/>
          <w:szCs w:val="20"/>
        </w:rPr>
        <w:t xml:space="preserve">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E776A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52" w:history="1">
        <w:r w:rsidR="003C0E2D" w:rsidRPr="00F00D94">
          <w:rPr>
            <w:rStyle w:val="Hyperlink"/>
            <w:rFonts w:cs="Arial"/>
          </w:rPr>
          <w:t>31 CFR Part 205</w:t>
        </w:r>
      </w:hyperlink>
      <w:r w:rsidRPr="00F00D94">
        <w:rPr>
          <w:rFonts w:ascii="Arial" w:hAnsi="Arial" w:cs="Arial"/>
        </w:rPr>
        <w:t xml:space="preserve">, </w:t>
      </w:r>
      <w:hyperlink r:id="rId53" w:history="1">
        <w:r w:rsidR="00203D3E" w:rsidRPr="00F00D94">
          <w:rPr>
            <w:rStyle w:val="Hyperlink"/>
            <w:rFonts w:cs="Arial"/>
          </w:rPr>
          <w:t>48 CFR 52.216-7(b)</w:t>
        </w:r>
      </w:hyperlink>
      <w:r w:rsidRPr="00F00D94">
        <w:rPr>
          <w:rFonts w:ascii="Arial" w:hAnsi="Arial" w:cs="Arial"/>
        </w:rPr>
        <w:t xml:space="preserve"> and </w:t>
      </w:r>
      <w:hyperlink r:id="rId54"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34182BE7"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55"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56"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57"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267341FE" w14:textId="4020BF03" w:rsidR="00230FA4" w:rsidRPr="00230FA4" w:rsidRDefault="00230FA4" w:rsidP="00230FA4">
      <w:pPr>
        <w:spacing w:after="240"/>
        <w:jc w:val="both"/>
        <w:rPr>
          <w:rFonts w:ascii="Arial" w:hAnsi="Arial" w:cs="Arial"/>
          <w:bCs/>
        </w:rPr>
      </w:pPr>
      <w:r w:rsidRPr="00230FA4">
        <w:rPr>
          <w:rFonts w:ascii="Arial" w:hAnsi="Arial" w:cs="Arial"/>
          <w:bCs/>
        </w:rPr>
        <w:t xml:space="preserve">Congress provides funding for the Public Housing programs through annual appropriation acts. HUD then allocates and awards funding to PHAs in accordance with the appropriations acts. PHAs that have public </w:t>
      </w:r>
      <w:r w:rsidRPr="00230FA4">
        <w:rPr>
          <w:rFonts w:ascii="Arial" w:hAnsi="Arial" w:cs="Arial"/>
          <w:bCs/>
        </w:rPr>
        <w:lastRenderedPageBreak/>
        <w:t xml:space="preserve">housing units under an Annual Contributions Contract (ACC,) as described in </w:t>
      </w:r>
      <w:hyperlink r:id="rId58" w:history="1">
        <w:r w:rsidRPr="00730B4D">
          <w:rPr>
            <w:rStyle w:val="Hyperlink"/>
            <w:rFonts w:cs="Arial"/>
            <w:bCs/>
          </w:rPr>
          <w:t>24 CFR 5.403</w:t>
        </w:r>
      </w:hyperlink>
      <w:r w:rsidRPr="00230FA4">
        <w:rPr>
          <w:rFonts w:ascii="Arial" w:hAnsi="Arial" w:cs="Arial"/>
          <w:bCs/>
        </w:rPr>
        <w:t xml:space="preserve"> are subject to </w:t>
      </w:r>
      <w:hyperlink r:id="rId59" w:history="1">
        <w:r w:rsidRPr="00730B4D">
          <w:rPr>
            <w:rStyle w:val="Hyperlink"/>
            <w:rFonts w:cs="Arial"/>
            <w:bCs/>
          </w:rPr>
          <w:t>24 CFR Part 905</w:t>
        </w:r>
      </w:hyperlink>
      <w:r w:rsidRPr="00230FA4">
        <w:rPr>
          <w:rFonts w:ascii="Arial" w:hAnsi="Arial" w:cs="Arial"/>
          <w:bCs/>
        </w:rPr>
        <w:t xml:space="preserve"> and </w:t>
      </w:r>
      <w:hyperlink r:id="rId60" w:history="1">
        <w:r w:rsidRPr="00730B4D">
          <w:rPr>
            <w:rStyle w:val="Hyperlink"/>
            <w:rFonts w:cs="Arial"/>
            <w:bCs/>
          </w:rPr>
          <w:t>24 CFR Part 99</w:t>
        </w:r>
        <w:r w:rsidRPr="00730B4D">
          <w:rPr>
            <w:rStyle w:val="Hyperlink"/>
            <w:rFonts w:cs="Arial"/>
            <w:bCs/>
          </w:rPr>
          <w:t>0</w:t>
        </w:r>
      </w:hyperlink>
      <w:r w:rsidRPr="00230FA4">
        <w:rPr>
          <w:rFonts w:ascii="Arial" w:hAnsi="Arial" w:cs="Arial"/>
          <w:bCs/>
        </w:rPr>
        <w:t>. PHAs are to comply with all HUD and Treasury fiscal requirements.</w:t>
      </w:r>
    </w:p>
    <w:p w14:paraId="2FE8A8D2" w14:textId="5A692624" w:rsidR="00230FA4" w:rsidRPr="00230FA4" w:rsidRDefault="00230FA4" w:rsidP="00230FA4">
      <w:pPr>
        <w:spacing w:after="240"/>
        <w:jc w:val="both"/>
        <w:rPr>
          <w:rFonts w:ascii="Arial" w:hAnsi="Arial" w:cs="Arial"/>
          <w:bCs/>
          <w:highlight w:val="yellow"/>
        </w:rPr>
      </w:pPr>
      <w:r w:rsidRPr="00230FA4">
        <w:rPr>
          <w:rFonts w:ascii="Arial" w:hAnsi="Arial" w:cs="Arial"/>
          <w:bCs/>
        </w:rPr>
        <w:t xml:space="preserve">2 CFR 200.305 for Federal Payments and </w:t>
      </w:r>
      <w:hyperlink r:id="rId61" w:history="1">
        <w:r w:rsidRPr="00730B4D">
          <w:rPr>
            <w:rStyle w:val="Hyperlink"/>
            <w:rFonts w:cs="Arial"/>
            <w:bCs/>
          </w:rPr>
          <w:t>24 CFR 90</w:t>
        </w:r>
        <w:r w:rsidRPr="00730B4D">
          <w:rPr>
            <w:rStyle w:val="Hyperlink"/>
            <w:rFonts w:cs="Arial"/>
            <w:bCs/>
          </w:rPr>
          <w:t>5</w:t>
        </w:r>
        <w:r w:rsidRPr="00730B4D">
          <w:rPr>
            <w:rStyle w:val="Hyperlink"/>
            <w:rFonts w:cs="Arial"/>
            <w:bCs/>
          </w:rPr>
          <w:t>.310</w:t>
        </w:r>
      </w:hyperlink>
      <w:r w:rsidRPr="00230FA4">
        <w:rPr>
          <w:rFonts w:ascii="Arial" w:hAnsi="Arial" w:cs="Arial"/>
          <w:bCs/>
        </w:rPr>
        <w:t xml:space="preserve"> for Disbursements from HUD establish the cash management procedures for controlled disbursement of federal funds. 2 CFR 200.305 requires PHAs to minimize the time federal funds are drawn down to expenditure. The Capital Fund Program provides guidelines of three business days from draw down to expenditure to minimize the interest accrued by the PHA. </w:t>
      </w:r>
      <w:hyperlink r:id="rId62" w:history="1">
        <w:r w:rsidRPr="00730B4D">
          <w:rPr>
            <w:rStyle w:val="Hyperlink"/>
            <w:rFonts w:cs="Arial"/>
            <w:bCs/>
          </w:rPr>
          <w:t>24 CFR 905.310</w:t>
        </w:r>
      </w:hyperlink>
      <w:r w:rsidRPr="00230FA4">
        <w:rPr>
          <w:rFonts w:ascii="Arial" w:hAnsi="Arial" w:cs="Arial"/>
          <w:bCs/>
        </w:rPr>
        <w:t xml:space="preserve"> states the PHA shall initiate a fund requisition from HUD only when funds are due and payable, unless HUD approves another payment schedule as authorized by 2 CFR 200.305.</w:t>
      </w:r>
    </w:p>
    <w:p w14:paraId="63DF674C" w14:textId="474040C3" w:rsidR="00230FA4" w:rsidRPr="00230FA4" w:rsidRDefault="00230FA4" w:rsidP="00D74E6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4" w:name="_Toc174635364"/>
      <w:r w:rsidRPr="00C95501">
        <w:rPr>
          <w:rFonts w:cs="Arial"/>
          <w:sz w:val="24"/>
          <w:szCs w:val="24"/>
        </w:rPr>
        <w:t>Additional Program Specific Information</w:t>
      </w:r>
      <w:bookmarkEnd w:id="54"/>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34EFF99" w14:textId="6E00A669" w:rsidR="00CD5DC7" w:rsidRPr="00230FA4" w:rsidRDefault="00CD5DC7" w:rsidP="00230FA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230FA4">
        <w:rPr>
          <w:rFonts w:ascii="Arial" w:hAnsi="Arial" w:cs="Arial"/>
          <w:b/>
          <w:highlight w:val="yellow"/>
        </w:rPr>
        <w:t xml:space="preserve">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D5DB5A1" w14:textId="77777777" w:rsidR="00341FBE" w:rsidRPr="00C95501" w:rsidRDefault="00341FBE" w:rsidP="006672EA">
      <w:pPr>
        <w:pStyle w:val="Heading3"/>
        <w:jc w:val="both"/>
        <w:rPr>
          <w:rFonts w:cs="Arial"/>
          <w:sz w:val="24"/>
          <w:szCs w:val="24"/>
        </w:rPr>
      </w:pPr>
      <w:bookmarkStart w:id="55" w:name="_Toc442267692"/>
      <w:bookmarkStart w:id="56" w:name="_Toc174635365"/>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5"/>
      <w:bookmarkEnd w:id="56"/>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10F0DFE0"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63"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lastRenderedPageBreak/>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lastRenderedPageBreak/>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7" w:name="_Toc442267693"/>
      <w:bookmarkStart w:id="58" w:name="_Toc174635366"/>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7"/>
      <w:r w:rsidR="00CC4452">
        <w:rPr>
          <w:rFonts w:cs="Arial"/>
          <w:sz w:val="24"/>
          <w:szCs w:val="24"/>
        </w:rPr>
        <w:t xml:space="preserve"> – Compliance</w:t>
      </w:r>
      <w:bookmarkEnd w:id="58"/>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w:t>
            </w:r>
            <w:proofErr w:type="gramStart"/>
            <w:r w:rsidR="00D96E56" w:rsidRPr="00F00D94">
              <w:rPr>
                <w:rFonts w:ascii="Arial" w:hAnsi="Arial" w:cs="Arial"/>
                <w:sz w:val="20"/>
              </w:rPr>
              <w:t>in excess of</w:t>
            </w:r>
            <w:proofErr w:type="gramEnd"/>
            <w:r w:rsidR="00D96E56" w:rsidRPr="00F00D94">
              <w:rPr>
                <w:rFonts w:ascii="Arial" w:hAnsi="Arial" w:cs="Arial"/>
                <w:sz w:val="20"/>
              </w:rPr>
              <w:t xml:space="preserve">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27A9FF3"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 xml:space="preserve">Perform tests to ascertain if the non-Federal entity requesting reimbursement (a) disbursed funds prior to the date of the request, or (b) meets the conditions allowing for the request for </w:t>
            </w:r>
            <w:r w:rsidRPr="006516C2">
              <w:rPr>
                <w:rFonts w:ascii="Arial" w:hAnsi="Arial" w:cs="Arial"/>
                <w:sz w:val="20"/>
                <w:szCs w:val="20"/>
              </w:rPr>
              <w:lastRenderedPageBreak/>
              <w:t>costs incurred, but not necessarily paid for, i.e., ordinarily within 30 days of the request (</w:t>
            </w:r>
            <w:hyperlink r:id="rId64"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9" w:name="_Toc438816465"/>
      <w:bookmarkStart w:id="60" w:name="_Toc442267694"/>
    </w:p>
    <w:p w14:paraId="5F477BA8" w14:textId="40F9D9C2" w:rsidR="00FF7307" w:rsidRPr="00220BD0" w:rsidRDefault="002A3BB7" w:rsidP="006672EA">
      <w:pPr>
        <w:pStyle w:val="Heading3"/>
        <w:jc w:val="both"/>
        <w:rPr>
          <w:rFonts w:cs="Arial"/>
          <w:b w:val="0"/>
          <w:sz w:val="24"/>
          <w:szCs w:val="24"/>
        </w:rPr>
      </w:pPr>
      <w:bookmarkStart w:id="61" w:name="_Toc174635367"/>
      <w:r w:rsidRPr="00220BD0">
        <w:rPr>
          <w:rFonts w:cs="Arial"/>
          <w:sz w:val="24"/>
          <w:szCs w:val="24"/>
        </w:rPr>
        <w:t>Audit Implications Summary</w:t>
      </w:r>
      <w:bookmarkEnd w:id="59"/>
      <w:bookmarkEnd w:id="60"/>
      <w:bookmarkEnd w:id="61"/>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3556E4C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66"/>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2" w:name="_Toc442267698"/>
      <w:bookmarkStart w:id="63" w:name="_Toc174635368"/>
      <w:r w:rsidRPr="00220BD0">
        <w:rPr>
          <w:rFonts w:cs="Arial"/>
          <w:sz w:val="24"/>
        </w:rPr>
        <w:lastRenderedPageBreak/>
        <w:t xml:space="preserve">H.  PERIOD </w:t>
      </w:r>
      <w:r w:rsidR="00F12052" w:rsidRPr="00220BD0">
        <w:rPr>
          <w:rFonts w:cs="Arial"/>
          <w:sz w:val="24"/>
        </w:rPr>
        <w:t>OF PERFORMANCE</w:t>
      </w:r>
      <w:bookmarkEnd w:id="62"/>
      <w:bookmarkEnd w:id="63"/>
    </w:p>
    <w:p w14:paraId="07D5A30C" w14:textId="635B47C0" w:rsidR="007E5B12" w:rsidRPr="00220BD0" w:rsidRDefault="004655E0" w:rsidP="006672EA">
      <w:pPr>
        <w:pStyle w:val="Heading3"/>
        <w:jc w:val="both"/>
        <w:rPr>
          <w:rFonts w:cs="Arial"/>
          <w:sz w:val="24"/>
          <w:szCs w:val="24"/>
        </w:rPr>
      </w:pPr>
      <w:bookmarkStart w:id="64" w:name="_Toc174635369"/>
      <w:r w:rsidRPr="00220BD0">
        <w:rPr>
          <w:rFonts w:cs="Arial"/>
          <w:sz w:val="24"/>
          <w:szCs w:val="24"/>
        </w:rPr>
        <w:t xml:space="preserve">OMB </w:t>
      </w:r>
      <w:r w:rsidR="007E5B12" w:rsidRPr="00220BD0">
        <w:rPr>
          <w:rFonts w:cs="Arial"/>
          <w:sz w:val="24"/>
          <w:szCs w:val="24"/>
        </w:rPr>
        <w:t>Compliance Requirements</w:t>
      </w:r>
      <w:bookmarkEnd w:id="64"/>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6279A6C" w14:textId="46308BE9" w:rsidR="00230FA4" w:rsidRPr="00230FA4" w:rsidRDefault="00230FA4" w:rsidP="00230FA4">
      <w:pPr>
        <w:spacing w:after="240"/>
        <w:jc w:val="both"/>
        <w:rPr>
          <w:rFonts w:ascii="Arial" w:hAnsi="Arial" w:cs="Arial"/>
          <w:b/>
        </w:rPr>
      </w:pPr>
      <w:r w:rsidRPr="00230FA4">
        <w:rPr>
          <w:rFonts w:ascii="Arial" w:hAnsi="Arial" w:cs="Arial"/>
          <w:b/>
        </w:rPr>
        <w:t>1.</w:t>
      </w:r>
      <w:r w:rsidRPr="00230FA4">
        <w:rPr>
          <w:rFonts w:ascii="Arial" w:hAnsi="Arial" w:cs="Arial"/>
          <w:b/>
        </w:rPr>
        <w:tab/>
        <w:t>Obligations.</w:t>
      </w:r>
    </w:p>
    <w:p w14:paraId="7C936FDF" w14:textId="542B5E4F" w:rsidR="00230FA4" w:rsidRPr="00230FA4" w:rsidRDefault="00230FA4" w:rsidP="00230FA4">
      <w:pPr>
        <w:spacing w:after="240"/>
        <w:ind w:left="720"/>
        <w:jc w:val="both"/>
        <w:rPr>
          <w:rFonts w:ascii="Arial" w:hAnsi="Arial" w:cs="Arial"/>
          <w:bCs/>
        </w:rPr>
      </w:pPr>
      <w:r w:rsidRPr="00230FA4">
        <w:rPr>
          <w:rFonts w:ascii="Arial" w:hAnsi="Arial" w:cs="Arial"/>
          <w:bCs/>
        </w:rPr>
        <w:t>Unless an extension is approved by HUD, a PHA must obligate at least 90 percent of each Capital Fund grant, including formula grants, non-accumulating RHF, natural disaster, and lead-based paint grants within 24 months of the funds becoming available to the PHA for obligation. For emergency grants, safety and security grants and safety and security-carbon monoxide grants, the PHA must obligate at least 90 percent within twelve months of the funds becoming available. The funds become available when HUD executes the Annual Contributions Contract (ACC) Amendment (24 CFR section 905.306).</w:t>
      </w:r>
    </w:p>
    <w:p w14:paraId="58275A20" w14:textId="1A663A71" w:rsidR="00230FA4" w:rsidRPr="00230FA4" w:rsidRDefault="00230FA4" w:rsidP="00230FA4">
      <w:pPr>
        <w:spacing w:after="240"/>
        <w:ind w:left="720"/>
        <w:jc w:val="both"/>
        <w:rPr>
          <w:rFonts w:ascii="Arial" w:hAnsi="Arial" w:cs="Arial"/>
          <w:bCs/>
        </w:rPr>
      </w:pPr>
      <w:r w:rsidRPr="00230FA4">
        <w:rPr>
          <w:rFonts w:ascii="Arial" w:hAnsi="Arial" w:cs="Arial"/>
          <w:bCs/>
        </w:rPr>
        <w:t xml:space="preserve">Obligation means a binding agreement for work or financing that will result in outlays, immediately or in the future. All obligations must be incorporated within the CFP 5-Year Action Plan that has been approved by the PHA Board of Commissioners and HUD. This includes funds obligated by the PHA for work to be performed by contract labor (i.e., contract award), or by force account labor (i.e., work </w:t>
      </w:r>
      <w:proofErr w:type="gramStart"/>
      <w:r w:rsidRPr="00230FA4">
        <w:rPr>
          <w:rFonts w:ascii="Arial" w:hAnsi="Arial" w:cs="Arial"/>
          <w:bCs/>
        </w:rPr>
        <w:t>actually started</w:t>
      </w:r>
      <w:proofErr w:type="gramEnd"/>
      <w:r w:rsidRPr="00230FA4">
        <w:rPr>
          <w:rFonts w:ascii="Arial" w:hAnsi="Arial" w:cs="Arial"/>
          <w:bCs/>
        </w:rPr>
        <w:t xml:space="preserve"> by PHA employees). Capital Funds identified in the PHA's CFP 5-Year Action Plan to be transferred to operations are obligated by the PHA once the funds have been budgeted and drawn down by the PHA. Once these funds are drawn down they are subject to the requirements of 24 CFR part 990.</w:t>
      </w:r>
    </w:p>
    <w:p w14:paraId="1C4843EF" w14:textId="24845701" w:rsidR="00230FA4" w:rsidRPr="00230FA4" w:rsidRDefault="00230FA4" w:rsidP="00230FA4">
      <w:pPr>
        <w:spacing w:after="240"/>
        <w:ind w:left="720"/>
        <w:jc w:val="both"/>
        <w:rPr>
          <w:rFonts w:ascii="Arial" w:hAnsi="Arial" w:cs="Arial"/>
          <w:bCs/>
        </w:rPr>
      </w:pPr>
      <w:r w:rsidRPr="00230FA4">
        <w:rPr>
          <w:rFonts w:ascii="Arial" w:hAnsi="Arial" w:cs="Arial"/>
          <w:bCs/>
        </w:rPr>
        <w:t>The date of the contract signing is the obligation date. If the parties sign the contract at different times, the date of the last signature is the obligation date. In some instances, a purchase order would constitute an obligation (e.g., large items such as stoves or refrigerators). All obligations should reflect work items detailed in the approved 5-year action plan.</w:t>
      </w:r>
    </w:p>
    <w:p w14:paraId="3AA38939" w14:textId="57F55A4E" w:rsidR="00230FA4" w:rsidRPr="00230FA4" w:rsidRDefault="00230FA4" w:rsidP="00230FA4">
      <w:pPr>
        <w:spacing w:after="240"/>
        <w:jc w:val="both"/>
        <w:rPr>
          <w:rFonts w:ascii="Arial" w:hAnsi="Arial" w:cs="Arial"/>
          <w:b/>
        </w:rPr>
      </w:pPr>
      <w:r w:rsidRPr="00230FA4">
        <w:rPr>
          <w:rFonts w:ascii="Arial" w:hAnsi="Arial" w:cs="Arial"/>
          <w:b/>
        </w:rPr>
        <w:lastRenderedPageBreak/>
        <w:t>2.</w:t>
      </w:r>
      <w:r w:rsidRPr="00230FA4">
        <w:rPr>
          <w:rFonts w:ascii="Arial" w:hAnsi="Arial" w:cs="Arial"/>
          <w:b/>
        </w:rPr>
        <w:tab/>
        <w:t>Expenditures</w:t>
      </w:r>
    </w:p>
    <w:p w14:paraId="1B2E1E56" w14:textId="3749E676" w:rsidR="00230FA4" w:rsidRPr="00230FA4" w:rsidRDefault="00230FA4" w:rsidP="00230FA4">
      <w:pPr>
        <w:spacing w:after="240"/>
        <w:ind w:left="720"/>
        <w:jc w:val="both"/>
        <w:rPr>
          <w:rFonts w:ascii="Arial" w:hAnsi="Arial" w:cs="Arial"/>
          <w:bCs/>
        </w:rPr>
      </w:pPr>
      <w:r w:rsidRPr="00230FA4">
        <w:rPr>
          <w:rFonts w:ascii="Arial" w:hAnsi="Arial" w:cs="Arial"/>
          <w:bCs/>
        </w:rPr>
        <w:t>For Capital Fund formula, RHF, natural disaster, and lead-based paint grants, unless HUD approves an extension, a PHA must expend all grant funds no later than 48 months after HUD executes the ACC Amendment (24 CFR section 905.306(f)). However, for emergency grants, safety and security grants and safety and security-carbon monoxide grants, a PHA must expend all grant funds no later than 24 months after HUD executes the ACC Amendment if such a requirement is contained in the ACC Amendment.</w:t>
      </w:r>
    </w:p>
    <w:p w14:paraId="08A86744" w14:textId="2113ECF3" w:rsidR="00230FA4" w:rsidRPr="00230FA4" w:rsidRDefault="00230FA4" w:rsidP="00230FA4">
      <w:pPr>
        <w:spacing w:after="240"/>
        <w:ind w:left="720"/>
        <w:jc w:val="both"/>
        <w:rPr>
          <w:rFonts w:ascii="Arial" w:hAnsi="Arial" w:cs="Arial"/>
          <w:bCs/>
        </w:rPr>
      </w:pPr>
      <w:r w:rsidRPr="00230FA4">
        <w:rPr>
          <w:rFonts w:ascii="Arial" w:hAnsi="Arial" w:cs="Arial"/>
          <w:bCs/>
        </w:rPr>
        <w:t>A PHA must also expend 100% percent of the authorized amount of a Capital Fund grant within 48 months of the date that funds are made available, or the obligation start date. (24 CFR section 905.306).</w:t>
      </w:r>
    </w:p>
    <w:p w14:paraId="4FE55BE0" w14:textId="0859BA1A" w:rsidR="00230FA4" w:rsidRPr="00230FA4" w:rsidRDefault="00230FA4" w:rsidP="00230FA4">
      <w:pPr>
        <w:spacing w:after="240"/>
        <w:jc w:val="both"/>
        <w:rPr>
          <w:rFonts w:ascii="Arial" w:hAnsi="Arial" w:cs="Arial"/>
          <w:b/>
        </w:rPr>
      </w:pPr>
      <w:r w:rsidRPr="00230FA4">
        <w:rPr>
          <w:rFonts w:ascii="Arial" w:hAnsi="Arial" w:cs="Arial"/>
          <w:b/>
        </w:rPr>
        <w:t>3.</w:t>
      </w:r>
      <w:r w:rsidRPr="00230FA4">
        <w:rPr>
          <w:rFonts w:ascii="Arial" w:hAnsi="Arial" w:cs="Arial"/>
          <w:b/>
        </w:rPr>
        <w:tab/>
        <w:t>Capital Funds for Operating Costs</w:t>
      </w:r>
    </w:p>
    <w:p w14:paraId="2EA3774A" w14:textId="2D0287A1" w:rsidR="00230FA4" w:rsidRPr="00230FA4" w:rsidRDefault="00230FA4" w:rsidP="00230FA4">
      <w:pPr>
        <w:spacing w:after="240"/>
        <w:ind w:left="720"/>
        <w:jc w:val="both"/>
        <w:rPr>
          <w:rFonts w:ascii="Arial" w:hAnsi="Arial" w:cs="Arial"/>
          <w:bCs/>
          <w:highlight w:val="yellow"/>
        </w:rPr>
      </w:pPr>
      <w:r w:rsidRPr="00230FA4">
        <w:rPr>
          <w:rFonts w:ascii="Arial" w:hAnsi="Arial" w:cs="Arial"/>
          <w:bCs/>
        </w:rPr>
        <w:t>Capital Funds transferred to operations (BLI 1406) are not considered obligated until the PHA has budgeted and drawn down the funds. To meet this requirement, the funds must be budgeted in line BLI 1406 (Operations) and the PHA must submit the voucher request in LOCCS. The PHA’s reported obligation amount in LOCCS must be the same amount in the PHA’s accounting system since the date of the voucher request in LOCCS is the point of obligation for funds in BLI 1406. The voucher request date must occur before those funds are reported as obligated in LOCCS under the Obligation &amp; Expenditure tab (24 CFR section 905.314(l)).</w:t>
      </w:r>
    </w:p>
    <w:p w14:paraId="15257491" w14:textId="62254AD8" w:rsidR="00230FA4" w:rsidRPr="00230FA4" w:rsidRDefault="00230FA4" w:rsidP="00D74E6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620B48E1" w14:textId="77777777" w:rsidR="00FC7102" w:rsidRPr="00220BD0" w:rsidRDefault="00FC7102" w:rsidP="006672EA">
      <w:pPr>
        <w:pStyle w:val="Heading3"/>
        <w:jc w:val="both"/>
        <w:rPr>
          <w:rFonts w:cs="Arial"/>
          <w:sz w:val="24"/>
          <w:szCs w:val="24"/>
        </w:rPr>
      </w:pPr>
      <w:bookmarkStart w:id="65" w:name="_Toc174635370"/>
      <w:r w:rsidRPr="00220BD0">
        <w:rPr>
          <w:rFonts w:cs="Arial"/>
          <w:sz w:val="24"/>
          <w:szCs w:val="24"/>
        </w:rPr>
        <w:t>Additional Program Specific Information</w:t>
      </w:r>
      <w:bookmarkEnd w:id="65"/>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65FB91E" w14:textId="37E0D9A7" w:rsidR="00CD5DC7" w:rsidRPr="00230FA4" w:rsidRDefault="00CD5DC7" w:rsidP="00230FA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230FA4">
        <w:rPr>
          <w:rFonts w:ascii="Arial" w:hAnsi="Arial" w:cs="Arial"/>
          <w:b/>
          <w:highlight w:val="yellow"/>
        </w:rPr>
        <w:t xml:space="preserve">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66" w:name="_Toc174635371"/>
      <w:r w:rsidRPr="00220BD0">
        <w:rPr>
          <w:rFonts w:cs="Arial"/>
          <w:sz w:val="24"/>
          <w:szCs w:val="24"/>
        </w:rPr>
        <w:t xml:space="preserve">Audit Objectives </w:t>
      </w:r>
      <w:r w:rsidR="00C30DAB" w:rsidRPr="00220BD0">
        <w:rPr>
          <w:rFonts w:cs="Arial"/>
          <w:sz w:val="24"/>
          <w:szCs w:val="24"/>
        </w:rPr>
        <w:t>and Control Testing</w:t>
      </w:r>
      <w:bookmarkEnd w:id="66"/>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7" w:name="_Toc174635372"/>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7"/>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lastRenderedPageBreak/>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8" w:name="_Toc174635373"/>
      <w:r w:rsidRPr="00220BD0">
        <w:rPr>
          <w:rFonts w:cs="Arial"/>
          <w:sz w:val="24"/>
          <w:szCs w:val="24"/>
        </w:rPr>
        <w:t>Audit Implications Summary</w:t>
      </w:r>
      <w:bookmarkEnd w:id="68"/>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68"/>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69" w:name="J___PROGRAM_INCOME"/>
      <w:bookmarkStart w:id="70" w:name="L___REPORTING"/>
      <w:bookmarkStart w:id="71" w:name="_Toc442267701"/>
      <w:bookmarkStart w:id="72" w:name="_Toc174635374"/>
      <w:bookmarkEnd w:id="69"/>
      <w:bookmarkEnd w:id="70"/>
      <w:r w:rsidRPr="000706D1">
        <w:rPr>
          <w:rFonts w:cs="Arial"/>
          <w:sz w:val="24"/>
        </w:rPr>
        <w:lastRenderedPageBreak/>
        <w:t>L.  REPORTING</w:t>
      </w:r>
      <w:bookmarkEnd w:id="71"/>
      <w:bookmarkEnd w:id="72"/>
    </w:p>
    <w:p w14:paraId="13BAAFFB" w14:textId="16BE9FED" w:rsidR="007E5B12" w:rsidRPr="000706D1" w:rsidRDefault="00261D87" w:rsidP="006672EA">
      <w:pPr>
        <w:pStyle w:val="Heading3"/>
        <w:jc w:val="both"/>
        <w:rPr>
          <w:rFonts w:cs="Arial"/>
          <w:sz w:val="24"/>
          <w:szCs w:val="24"/>
        </w:rPr>
      </w:pPr>
      <w:bookmarkStart w:id="73" w:name="_Toc174635375"/>
      <w:r w:rsidRPr="000706D1">
        <w:rPr>
          <w:rFonts w:cs="Arial"/>
          <w:sz w:val="24"/>
          <w:szCs w:val="24"/>
        </w:rPr>
        <w:t xml:space="preserve">OMB </w:t>
      </w:r>
      <w:r w:rsidR="007E5B12" w:rsidRPr="000706D1">
        <w:rPr>
          <w:rFonts w:cs="Arial"/>
          <w:sz w:val="24"/>
          <w:szCs w:val="24"/>
        </w:rPr>
        <w:t>Compliance Requirements</w:t>
      </w:r>
      <w:bookmarkEnd w:id="73"/>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2B5825A7" w:rsidR="00271D8B" w:rsidRPr="00730B4D"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rPr>
      </w:pPr>
      <w:r w:rsidRPr="00F00D94">
        <w:rPr>
          <w:rFonts w:ascii="Arial" w:hAnsi="Arial" w:cs="Arial"/>
          <w:b/>
          <w:u w:val="single"/>
        </w:rPr>
        <w:t>Federal Funding Accountability and Transparency Act</w:t>
      </w:r>
      <w:r w:rsidR="00730B4D">
        <w:rPr>
          <w:rFonts w:ascii="Arial" w:hAnsi="Arial" w:cs="Arial"/>
          <w:b/>
          <w:u w:val="single"/>
        </w:rPr>
        <w:t xml:space="preserve"> </w:t>
      </w:r>
      <w:r w:rsidR="00730B4D">
        <w:rPr>
          <w:rFonts w:ascii="Arial" w:hAnsi="Arial" w:cs="Arial"/>
          <w:b/>
        </w:rPr>
        <w:t xml:space="preserve">– </w:t>
      </w:r>
      <w:r w:rsidR="00730B4D" w:rsidRPr="00730B4D">
        <w:rPr>
          <w:rFonts w:ascii="Arial" w:hAnsi="Arial" w:cs="Arial"/>
          <w:b/>
          <w:i/>
          <w:iCs/>
        </w:rPr>
        <w:t>Not Applicable per 2024 OMB Compliance Supplement, Part 4, HUD, #14.872 Public Housing Capital Fund</w:t>
      </w: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6C6AD05" w14:textId="3004FBA7" w:rsidR="00A1405D" w:rsidRPr="00A1405D" w:rsidRDefault="00A1405D" w:rsidP="00A1405D">
      <w:pPr>
        <w:spacing w:after="240"/>
        <w:jc w:val="both"/>
        <w:rPr>
          <w:rFonts w:ascii="Arial" w:hAnsi="Arial" w:cs="Arial"/>
          <w:b/>
        </w:rPr>
      </w:pPr>
      <w:r w:rsidRPr="00A1405D">
        <w:rPr>
          <w:rFonts w:ascii="Arial" w:hAnsi="Arial" w:cs="Arial"/>
          <w:b/>
        </w:rPr>
        <w:t>1.</w:t>
      </w:r>
      <w:r w:rsidRPr="00A1405D">
        <w:rPr>
          <w:rFonts w:ascii="Arial" w:hAnsi="Arial" w:cs="Arial"/>
          <w:b/>
        </w:rPr>
        <w:tab/>
        <w:t>Financial Reporting</w:t>
      </w:r>
    </w:p>
    <w:p w14:paraId="2EE86AC8" w14:textId="77777777" w:rsidR="00A1405D" w:rsidRPr="00A1405D" w:rsidRDefault="00A1405D" w:rsidP="00A1405D">
      <w:pPr>
        <w:spacing w:after="240"/>
        <w:ind w:left="720"/>
        <w:jc w:val="both"/>
        <w:rPr>
          <w:rFonts w:ascii="Arial" w:hAnsi="Arial" w:cs="Arial"/>
          <w:bCs/>
        </w:rPr>
      </w:pPr>
      <w:r w:rsidRPr="00A1405D">
        <w:rPr>
          <w:rFonts w:ascii="Arial" w:hAnsi="Arial" w:cs="Arial"/>
          <w:bCs/>
        </w:rPr>
        <w:t>a.</w:t>
      </w:r>
      <w:r w:rsidRPr="00A1405D">
        <w:rPr>
          <w:rFonts w:ascii="Arial" w:hAnsi="Arial" w:cs="Arial"/>
          <w:bCs/>
        </w:rPr>
        <w:tab/>
        <w:t>SF-270, Request for Advance or Reimbursement- Not applicable</w:t>
      </w:r>
    </w:p>
    <w:p w14:paraId="25553A4F" w14:textId="77777777" w:rsidR="00A1405D" w:rsidRPr="00A1405D" w:rsidRDefault="00A1405D" w:rsidP="00A1405D">
      <w:pPr>
        <w:ind w:left="720"/>
        <w:jc w:val="both"/>
        <w:rPr>
          <w:rFonts w:ascii="Arial" w:hAnsi="Arial" w:cs="Arial"/>
          <w:bCs/>
        </w:rPr>
      </w:pPr>
      <w:r w:rsidRPr="00A1405D">
        <w:rPr>
          <w:rFonts w:ascii="Arial" w:hAnsi="Arial" w:cs="Arial"/>
          <w:bCs/>
        </w:rPr>
        <w:t>b.</w:t>
      </w:r>
      <w:r w:rsidRPr="00A1405D">
        <w:rPr>
          <w:rFonts w:ascii="Arial" w:hAnsi="Arial" w:cs="Arial"/>
          <w:bCs/>
        </w:rPr>
        <w:tab/>
        <w:t>SF-271, Outlay Report and Request for Reimbursement for Construction Program –</w:t>
      </w:r>
    </w:p>
    <w:p w14:paraId="51AABB02" w14:textId="77777777" w:rsidR="00A1405D" w:rsidRDefault="00A1405D" w:rsidP="00A1405D">
      <w:pPr>
        <w:ind w:left="720" w:firstLine="720"/>
        <w:jc w:val="both"/>
        <w:rPr>
          <w:rFonts w:ascii="Arial" w:hAnsi="Arial" w:cs="Arial"/>
          <w:bCs/>
        </w:rPr>
      </w:pPr>
      <w:r w:rsidRPr="00A1405D">
        <w:rPr>
          <w:rFonts w:ascii="Arial" w:hAnsi="Arial" w:cs="Arial"/>
          <w:bCs/>
        </w:rPr>
        <w:t>Not applicable</w:t>
      </w:r>
    </w:p>
    <w:p w14:paraId="4C057D97" w14:textId="77777777" w:rsidR="00A1405D" w:rsidRPr="00A1405D" w:rsidRDefault="00A1405D" w:rsidP="00A1405D">
      <w:pPr>
        <w:ind w:left="720" w:firstLine="720"/>
        <w:jc w:val="both"/>
        <w:rPr>
          <w:rFonts w:ascii="Arial" w:hAnsi="Arial" w:cs="Arial"/>
          <w:bCs/>
        </w:rPr>
      </w:pPr>
    </w:p>
    <w:p w14:paraId="1DD516CE" w14:textId="77777777" w:rsidR="00A1405D" w:rsidRPr="00A1405D" w:rsidRDefault="00A1405D" w:rsidP="00A1405D">
      <w:pPr>
        <w:spacing w:after="240"/>
        <w:ind w:left="720"/>
        <w:jc w:val="both"/>
        <w:rPr>
          <w:rFonts w:ascii="Arial" w:hAnsi="Arial" w:cs="Arial"/>
          <w:bCs/>
        </w:rPr>
      </w:pPr>
      <w:r w:rsidRPr="00A1405D">
        <w:rPr>
          <w:rFonts w:ascii="Arial" w:hAnsi="Arial" w:cs="Arial"/>
          <w:bCs/>
        </w:rPr>
        <w:t>c.</w:t>
      </w:r>
      <w:r w:rsidRPr="00A1405D">
        <w:rPr>
          <w:rFonts w:ascii="Arial" w:hAnsi="Arial" w:cs="Arial"/>
          <w:bCs/>
        </w:rPr>
        <w:tab/>
        <w:t>SF-425, Federal Financial Report- Not applicable</w:t>
      </w:r>
    </w:p>
    <w:p w14:paraId="12D89B2E" w14:textId="77777777" w:rsidR="00A1405D" w:rsidRPr="00A1405D" w:rsidRDefault="00A1405D" w:rsidP="00A1405D">
      <w:pPr>
        <w:spacing w:after="240"/>
        <w:ind w:left="1440" w:hanging="720"/>
        <w:jc w:val="both"/>
        <w:rPr>
          <w:rFonts w:ascii="Arial" w:hAnsi="Arial" w:cs="Arial"/>
          <w:bCs/>
        </w:rPr>
      </w:pPr>
      <w:r w:rsidRPr="00A1405D">
        <w:rPr>
          <w:rFonts w:ascii="Arial" w:hAnsi="Arial" w:cs="Arial"/>
          <w:bCs/>
        </w:rPr>
        <w:t>d.</w:t>
      </w:r>
      <w:r w:rsidRPr="00A1405D">
        <w:rPr>
          <w:rFonts w:ascii="Arial" w:hAnsi="Arial" w:cs="Arial"/>
          <w:bCs/>
        </w:rPr>
        <w:tab/>
      </w:r>
      <w:r w:rsidRPr="00A1405D">
        <w:rPr>
          <w:rFonts w:ascii="Arial" w:hAnsi="Arial" w:cs="Arial"/>
          <w:b/>
        </w:rPr>
        <w:t>HUD-53001, Actual Modernization Cost Certificate (AMCC) Capital Fund Program (OMB No. 2577-0157)</w:t>
      </w:r>
    </w:p>
    <w:p w14:paraId="1AC5EBFC" w14:textId="77777777" w:rsidR="00A1405D" w:rsidRPr="00A1405D" w:rsidRDefault="00A1405D" w:rsidP="00A1405D">
      <w:pPr>
        <w:spacing w:after="240"/>
        <w:ind w:left="1440"/>
        <w:jc w:val="both"/>
        <w:rPr>
          <w:rFonts w:ascii="Arial" w:hAnsi="Arial" w:cs="Arial"/>
          <w:bCs/>
        </w:rPr>
      </w:pPr>
      <w:r w:rsidRPr="00A1405D">
        <w:rPr>
          <w:rFonts w:ascii="Arial" w:hAnsi="Arial" w:cs="Arial"/>
          <w:bCs/>
        </w:rPr>
        <w:t>Report authority: 24 CFR 905.324 Data Reporting Requirements</w:t>
      </w:r>
    </w:p>
    <w:p w14:paraId="35FAE5D5" w14:textId="77777777" w:rsidR="00A1405D" w:rsidRPr="00A1405D" w:rsidRDefault="00A1405D" w:rsidP="00A1405D">
      <w:pPr>
        <w:spacing w:after="240"/>
        <w:ind w:left="1440"/>
        <w:jc w:val="both"/>
        <w:rPr>
          <w:rFonts w:ascii="Arial" w:hAnsi="Arial" w:cs="Arial"/>
          <w:bCs/>
        </w:rPr>
      </w:pPr>
      <w:r w:rsidRPr="00A1405D">
        <w:rPr>
          <w:rFonts w:ascii="Arial" w:hAnsi="Arial" w:cs="Arial"/>
          <w:bCs/>
        </w:rPr>
        <w:t xml:space="preserve">For modernization projects, the PHA shall submit the AMCC within 90 days after Expenditure End Date. To initiate the closeout process, the PHA shall submit the AMCC </w:t>
      </w:r>
      <w:r w:rsidRPr="00A1405D">
        <w:rPr>
          <w:rFonts w:ascii="Arial" w:hAnsi="Arial" w:cs="Arial"/>
          <w:bCs/>
        </w:rPr>
        <w:lastRenderedPageBreak/>
        <w:t>which details actual costs incurred between the DOFA date and the completion of the modernization project.</w:t>
      </w:r>
    </w:p>
    <w:p w14:paraId="688AF674" w14:textId="4CF901BD" w:rsidR="00A1405D" w:rsidRPr="00A1405D" w:rsidRDefault="00A1405D" w:rsidP="00A1405D">
      <w:pPr>
        <w:spacing w:after="240"/>
        <w:ind w:left="1440"/>
        <w:jc w:val="both"/>
        <w:rPr>
          <w:rFonts w:ascii="Arial" w:hAnsi="Arial" w:cs="Arial"/>
          <w:bCs/>
        </w:rPr>
      </w:pPr>
      <w:r w:rsidRPr="00A1405D">
        <w:rPr>
          <w:rFonts w:ascii="Arial" w:hAnsi="Arial" w:cs="Arial"/>
          <w:bCs/>
        </w:rPr>
        <w:t>Key line items: The following line items contain critical information</w:t>
      </w:r>
    </w:p>
    <w:p w14:paraId="2A6F2F6C" w14:textId="2CE24C9B" w:rsidR="00A1405D" w:rsidRPr="00A1405D" w:rsidRDefault="00A1405D" w:rsidP="00A1405D">
      <w:pPr>
        <w:spacing w:after="240"/>
        <w:ind w:left="2160" w:hanging="720"/>
        <w:jc w:val="both"/>
        <w:rPr>
          <w:rFonts w:ascii="Arial" w:hAnsi="Arial" w:cs="Arial"/>
          <w:bCs/>
        </w:rPr>
      </w:pPr>
      <w:r w:rsidRPr="00A1405D">
        <w:rPr>
          <w:rFonts w:ascii="Arial" w:hAnsi="Arial" w:cs="Arial"/>
          <w:bCs/>
        </w:rPr>
        <w:t>1.</w:t>
      </w:r>
      <w:r w:rsidRPr="00A1405D">
        <w:rPr>
          <w:rFonts w:ascii="Arial" w:hAnsi="Arial" w:cs="Arial"/>
          <w:bCs/>
        </w:rPr>
        <w:tab/>
      </w:r>
      <w:r w:rsidRPr="00A1405D">
        <w:rPr>
          <w:rFonts w:ascii="Arial" w:hAnsi="Arial" w:cs="Arial"/>
          <w:b/>
        </w:rPr>
        <w:t>Line 1B, Funds Disbursed</w:t>
      </w:r>
      <w:r w:rsidRPr="00A1405D">
        <w:rPr>
          <w:rFonts w:ascii="Arial" w:hAnsi="Arial" w:cs="Arial"/>
          <w:bCs/>
        </w:rPr>
        <w:t xml:space="preserve"> - For the identified grant, enter the total funds disbursed by HUD. This amount may never exceed the amount on line 1A.</w:t>
      </w:r>
    </w:p>
    <w:p w14:paraId="3C07D58A" w14:textId="42A0219F" w:rsidR="00A1405D" w:rsidRPr="00A1405D" w:rsidRDefault="00A1405D" w:rsidP="00A1405D">
      <w:pPr>
        <w:spacing w:after="240"/>
        <w:ind w:left="2160" w:hanging="720"/>
        <w:jc w:val="both"/>
        <w:rPr>
          <w:rFonts w:ascii="Arial" w:hAnsi="Arial" w:cs="Arial"/>
          <w:bCs/>
        </w:rPr>
      </w:pPr>
      <w:r w:rsidRPr="00A1405D">
        <w:rPr>
          <w:rFonts w:ascii="Arial" w:hAnsi="Arial" w:cs="Arial"/>
          <w:bCs/>
        </w:rPr>
        <w:t>2.</w:t>
      </w:r>
      <w:r w:rsidRPr="00A1405D">
        <w:rPr>
          <w:rFonts w:ascii="Arial" w:hAnsi="Arial" w:cs="Arial"/>
          <w:bCs/>
        </w:rPr>
        <w:tab/>
      </w:r>
      <w:r w:rsidRPr="00A1405D">
        <w:rPr>
          <w:rFonts w:ascii="Arial" w:hAnsi="Arial" w:cs="Arial"/>
          <w:b/>
        </w:rPr>
        <w:t>Line 1E, Excess of Funds Disbursed (B minus C)</w:t>
      </w:r>
      <w:r w:rsidRPr="00A1405D">
        <w:rPr>
          <w:rFonts w:ascii="Arial" w:hAnsi="Arial" w:cs="Arial"/>
          <w:bCs/>
        </w:rPr>
        <w:t xml:space="preserve"> - For the identified grant, enter the excess of funds disbursed by subtracting line 1C from line 1B; this is the amount to be remitted by the PHA to HUD. If line 1C is greater than line 1B, enter the figure in brackets; this is the amount of funds owed by HUD to the PHA.</w:t>
      </w:r>
    </w:p>
    <w:p w14:paraId="1397EDEC" w14:textId="77777777" w:rsidR="00A1405D" w:rsidRPr="00A1405D" w:rsidRDefault="00A1405D" w:rsidP="00A1405D">
      <w:pPr>
        <w:spacing w:after="240"/>
        <w:jc w:val="both"/>
        <w:rPr>
          <w:rFonts w:ascii="Arial" w:hAnsi="Arial" w:cs="Arial"/>
          <w:b/>
        </w:rPr>
      </w:pPr>
      <w:r w:rsidRPr="00A1405D">
        <w:rPr>
          <w:rFonts w:ascii="Arial" w:hAnsi="Arial" w:cs="Arial"/>
          <w:b/>
        </w:rPr>
        <w:t>2.</w:t>
      </w:r>
      <w:r w:rsidRPr="00A1405D">
        <w:rPr>
          <w:rFonts w:ascii="Arial" w:hAnsi="Arial" w:cs="Arial"/>
          <w:b/>
        </w:rPr>
        <w:tab/>
        <w:t>Performance Reporting</w:t>
      </w:r>
    </w:p>
    <w:p w14:paraId="27A3F179" w14:textId="77777777" w:rsidR="00730B4D" w:rsidRDefault="00A1405D" w:rsidP="00A1405D">
      <w:pPr>
        <w:spacing w:after="240"/>
        <w:ind w:left="1440" w:hanging="720"/>
        <w:jc w:val="both"/>
        <w:rPr>
          <w:rFonts w:ascii="Arial" w:hAnsi="Arial" w:cs="Arial"/>
          <w:b/>
        </w:rPr>
      </w:pPr>
      <w:r w:rsidRPr="00A1405D">
        <w:rPr>
          <w:rFonts w:ascii="Arial" w:hAnsi="Arial" w:cs="Arial"/>
          <w:bCs/>
        </w:rPr>
        <w:t>a.</w:t>
      </w:r>
      <w:r w:rsidRPr="00A1405D">
        <w:rPr>
          <w:rFonts w:ascii="Arial" w:hAnsi="Arial" w:cs="Arial"/>
          <w:bCs/>
        </w:rPr>
        <w:tab/>
      </w:r>
      <w:r w:rsidRPr="00A1405D">
        <w:rPr>
          <w:rFonts w:ascii="Arial" w:hAnsi="Arial" w:cs="Arial"/>
          <w:b/>
        </w:rPr>
        <w:t xml:space="preserve">Report Title: HUD 50075.1, Annual Statement Performance and Evaluation Report </w:t>
      </w:r>
    </w:p>
    <w:p w14:paraId="468F2198" w14:textId="4D5A98C7" w:rsidR="00A1405D" w:rsidRPr="00730B4D" w:rsidRDefault="00A1405D" w:rsidP="00730B4D">
      <w:pPr>
        <w:spacing w:after="240"/>
        <w:ind w:left="1440"/>
        <w:jc w:val="both"/>
        <w:rPr>
          <w:rFonts w:ascii="Arial" w:hAnsi="Arial" w:cs="Arial"/>
          <w:bCs/>
        </w:rPr>
      </w:pPr>
      <w:r w:rsidRPr="00730B4D">
        <w:rPr>
          <w:rFonts w:ascii="Arial" w:hAnsi="Arial" w:cs="Arial"/>
          <w:bCs/>
        </w:rPr>
        <w:t>OMB PRA Number: (OMB No. 2577-0157)</w:t>
      </w:r>
    </w:p>
    <w:p w14:paraId="7C089A28" w14:textId="77777777" w:rsidR="00A1405D" w:rsidRPr="00A1405D" w:rsidRDefault="00A1405D" w:rsidP="00A1405D">
      <w:pPr>
        <w:spacing w:after="240"/>
        <w:ind w:left="1440"/>
        <w:jc w:val="both"/>
        <w:rPr>
          <w:rFonts w:ascii="Arial" w:hAnsi="Arial" w:cs="Arial"/>
          <w:bCs/>
        </w:rPr>
      </w:pPr>
      <w:r w:rsidRPr="00A1405D">
        <w:rPr>
          <w:rFonts w:ascii="Arial" w:hAnsi="Arial" w:cs="Arial"/>
          <w:bCs/>
        </w:rPr>
        <w:t>Report Authority: 24 CFR 905.324 Data Reporting Requirements</w:t>
      </w:r>
    </w:p>
    <w:p w14:paraId="710EFDD8" w14:textId="022439FD" w:rsidR="00A1405D" w:rsidRPr="00A1405D" w:rsidRDefault="00A1405D" w:rsidP="00A1405D">
      <w:pPr>
        <w:spacing w:after="240"/>
        <w:ind w:left="1440"/>
        <w:jc w:val="both"/>
        <w:rPr>
          <w:rFonts w:ascii="Arial" w:hAnsi="Arial" w:cs="Arial"/>
          <w:bCs/>
        </w:rPr>
      </w:pPr>
      <w:r w:rsidRPr="00A1405D">
        <w:rPr>
          <w:rFonts w:ascii="Arial" w:hAnsi="Arial" w:cs="Arial"/>
          <w:bCs/>
        </w:rPr>
        <w:t xml:space="preserve">Reporting period/submission date/s: Initial estimated report submitted prior to grant being awarded. Final Report submitted within 90 days of the expenditure end date. Link to report and report instructions: </w:t>
      </w:r>
      <w:hyperlink r:id="rId69" w:history="1">
        <w:r w:rsidRPr="00B05317">
          <w:rPr>
            <w:rStyle w:val="Hyperlink"/>
            <w:rFonts w:cs="Arial"/>
            <w:bCs/>
          </w:rPr>
          <w:t>https://www.hud.gov/sites/dfiles/OCHCO/documents/50075.1.pdf</w:t>
        </w:r>
      </w:hyperlink>
      <w:r>
        <w:rPr>
          <w:rFonts w:ascii="Arial" w:hAnsi="Arial" w:cs="Arial"/>
          <w:bCs/>
        </w:rPr>
        <w:t xml:space="preserve"> </w:t>
      </w:r>
    </w:p>
    <w:p w14:paraId="672D377C" w14:textId="77777777" w:rsidR="00A1405D" w:rsidRPr="00A1405D" w:rsidRDefault="00A1405D" w:rsidP="00A1405D">
      <w:pPr>
        <w:spacing w:after="240"/>
        <w:ind w:left="1440"/>
        <w:jc w:val="both"/>
        <w:rPr>
          <w:rFonts w:ascii="Arial" w:hAnsi="Arial" w:cs="Arial"/>
          <w:bCs/>
        </w:rPr>
      </w:pPr>
      <w:r w:rsidRPr="00A1405D">
        <w:rPr>
          <w:rFonts w:ascii="Arial" w:hAnsi="Arial" w:cs="Arial"/>
          <w:bCs/>
        </w:rPr>
        <w:t>Key Line Items - The following line items contain critical information:</w:t>
      </w:r>
    </w:p>
    <w:p w14:paraId="10395669" w14:textId="0E6BE9B7" w:rsidR="00A1405D" w:rsidRPr="00A1405D" w:rsidRDefault="00A1405D" w:rsidP="00A1405D">
      <w:pPr>
        <w:spacing w:after="240"/>
        <w:ind w:left="2160" w:hanging="720"/>
        <w:jc w:val="both"/>
        <w:rPr>
          <w:rFonts w:ascii="Arial" w:hAnsi="Arial" w:cs="Arial"/>
          <w:bCs/>
        </w:rPr>
      </w:pPr>
      <w:r w:rsidRPr="00A1405D">
        <w:rPr>
          <w:rFonts w:ascii="Arial" w:hAnsi="Arial" w:cs="Arial"/>
          <w:bCs/>
        </w:rPr>
        <w:t>1.</w:t>
      </w:r>
      <w:r w:rsidRPr="00A1405D">
        <w:rPr>
          <w:rFonts w:ascii="Arial" w:hAnsi="Arial" w:cs="Arial"/>
          <w:bCs/>
        </w:rPr>
        <w:tab/>
      </w:r>
      <w:r w:rsidRPr="00A1405D">
        <w:rPr>
          <w:rFonts w:ascii="Arial" w:hAnsi="Arial" w:cs="Arial"/>
          <w:b/>
        </w:rPr>
        <w:t>Line 20 Amount of Annual Grant</w:t>
      </w:r>
      <w:r w:rsidRPr="00A1405D">
        <w:rPr>
          <w:rFonts w:ascii="Arial" w:hAnsi="Arial" w:cs="Arial"/>
          <w:bCs/>
        </w:rPr>
        <w:t>. After initial approval by HUD, the sum of lines 2 through 19 in the Revised Total Estimated Cost column may not exceed the annual grant amount.</w:t>
      </w:r>
    </w:p>
    <w:p w14:paraId="6B389E9E" w14:textId="7F4E3C0E" w:rsidR="00A1405D" w:rsidRPr="00A1405D" w:rsidRDefault="00A1405D" w:rsidP="00A1405D">
      <w:pPr>
        <w:spacing w:after="240"/>
        <w:jc w:val="both"/>
        <w:rPr>
          <w:rFonts w:ascii="Arial" w:hAnsi="Arial" w:cs="Arial"/>
          <w:bCs/>
        </w:rPr>
      </w:pPr>
      <w:r w:rsidRPr="00A1405D">
        <w:rPr>
          <w:rFonts w:ascii="Arial" w:hAnsi="Arial" w:cs="Arial"/>
          <w:b/>
        </w:rPr>
        <w:t>3.</w:t>
      </w:r>
      <w:r w:rsidRPr="00A1405D">
        <w:rPr>
          <w:rFonts w:ascii="Arial" w:hAnsi="Arial" w:cs="Arial"/>
          <w:b/>
        </w:rPr>
        <w:tab/>
        <w:t>Special Reporting</w:t>
      </w:r>
      <w:r>
        <w:rPr>
          <w:rFonts w:ascii="Arial" w:hAnsi="Arial" w:cs="Arial"/>
          <w:b/>
        </w:rPr>
        <w:t xml:space="preserve"> </w:t>
      </w:r>
      <w:r>
        <w:rPr>
          <w:rFonts w:ascii="Arial" w:hAnsi="Arial" w:cs="Arial"/>
          <w:bCs/>
        </w:rPr>
        <w:t>– Not Applicable</w:t>
      </w:r>
    </w:p>
    <w:p w14:paraId="03527BFF" w14:textId="73B261A6" w:rsidR="00A1405D" w:rsidRPr="00A1405D" w:rsidRDefault="00A1405D" w:rsidP="00A1405D">
      <w:pPr>
        <w:spacing w:after="240"/>
        <w:jc w:val="both"/>
        <w:rPr>
          <w:rFonts w:ascii="Arial" w:hAnsi="Arial" w:cs="Arial"/>
          <w:bCs/>
        </w:rPr>
      </w:pPr>
      <w:r w:rsidRPr="00A1405D">
        <w:rPr>
          <w:rFonts w:ascii="Arial" w:hAnsi="Arial" w:cs="Arial"/>
          <w:b/>
        </w:rPr>
        <w:t>4.</w:t>
      </w:r>
      <w:r w:rsidRPr="00A1405D">
        <w:rPr>
          <w:rFonts w:ascii="Arial" w:hAnsi="Arial" w:cs="Arial"/>
          <w:b/>
        </w:rPr>
        <w:tab/>
        <w:t>Special Reporting for Federal Funding Accountability and Transparency Act</w:t>
      </w:r>
      <w:r>
        <w:rPr>
          <w:rFonts w:ascii="Arial" w:hAnsi="Arial" w:cs="Arial"/>
          <w:b/>
        </w:rPr>
        <w:t xml:space="preserve"> </w:t>
      </w:r>
      <w:r>
        <w:rPr>
          <w:rFonts w:ascii="Arial" w:hAnsi="Arial" w:cs="Arial"/>
          <w:bCs/>
        </w:rPr>
        <w:t>– Not Applicable</w:t>
      </w:r>
    </w:p>
    <w:p w14:paraId="34609071" w14:textId="6FAFBBDD" w:rsidR="00A1405D" w:rsidRPr="00A1405D" w:rsidRDefault="00A1405D" w:rsidP="00D74E6A">
      <w:pPr>
        <w:spacing w:after="240"/>
        <w:jc w:val="both"/>
        <w:rPr>
          <w:rFonts w:ascii="Arial" w:hAnsi="Arial" w:cs="Arial"/>
          <w:bCs/>
          <w:i/>
          <w:iCs/>
        </w:rPr>
      </w:pPr>
      <w:r>
        <w:rPr>
          <w:rFonts w:ascii="Arial" w:hAnsi="Arial" w:cs="Arial"/>
          <w:bCs/>
          <w:i/>
          <w:iCs/>
        </w:rPr>
        <w:t>(Source: 2024 OMB Compliance Supplement, Part 4, HUD, #14.872 Public Housing Capital Fund)</w:t>
      </w:r>
    </w:p>
    <w:p w14:paraId="5979A865" w14:textId="77777777" w:rsidR="00703F98" w:rsidRPr="000706D1" w:rsidRDefault="00703F98" w:rsidP="006672EA">
      <w:pPr>
        <w:pStyle w:val="Heading3"/>
        <w:jc w:val="both"/>
        <w:rPr>
          <w:rFonts w:cs="Arial"/>
          <w:sz w:val="24"/>
          <w:szCs w:val="24"/>
        </w:rPr>
      </w:pPr>
      <w:bookmarkStart w:id="74" w:name="_Toc174635376"/>
      <w:r w:rsidRPr="000706D1">
        <w:rPr>
          <w:rFonts w:cs="Arial"/>
          <w:sz w:val="24"/>
          <w:szCs w:val="24"/>
        </w:rPr>
        <w:t>Additional Program Specific Information</w:t>
      </w:r>
      <w:bookmarkEnd w:id="74"/>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E6B8088" w14:textId="3BB1530A" w:rsidR="00CD5DC7" w:rsidRPr="00A1405D" w:rsidRDefault="00CD5DC7" w:rsidP="00A1405D">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1405D">
        <w:rPr>
          <w:rFonts w:ascii="Arial" w:hAnsi="Arial" w:cs="Arial"/>
          <w:b/>
          <w:highlight w:val="yellow"/>
        </w:rPr>
        <w:t xml:space="preserve">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75" w:name="_Toc174635377"/>
      <w:r w:rsidRPr="000706D1">
        <w:rPr>
          <w:rFonts w:cs="Arial"/>
          <w:sz w:val="24"/>
          <w:szCs w:val="24"/>
        </w:rPr>
        <w:t>Audit Objectives</w:t>
      </w:r>
      <w:r w:rsidR="00F87F25" w:rsidRPr="000706D1">
        <w:rPr>
          <w:rFonts w:cs="Arial"/>
          <w:sz w:val="24"/>
          <w:szCs w:val="24"/>
        </w:rPr>
        <w:t xml:space="preserve"> and Control Testing</w:t>
      </w:r>
      <w:bookmarkEnd w:id="75"/>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6" w:name="_Toc174635378"/>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6"/>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64E7BB4E" w:rsidR="00271D8B" w:rsidRPr="00730B4D"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730B4D">
              <w:rPr>
                <w:rFonts w:ascii="Arial" w:hAnsi="Arial" w:cs="Arial"/>
                <w:i/>
                <w:iCs/>
                <w:color w:val="002060"/>
                <w:sz w:val="20"/>
              </w:rPr>
              <w:t xml:space="preserve"> – </w:t>
            </w:r>
            <w:r w:rsidR="00730B4D">
              <w:rPr>
                <w:rFonts w:ascii="Arial" w:hAnsi="Arial" w:cs="Arial"/>
                <w:i/>
                <w:iCs/>
                <w:sz w:val="20"/>
              </w:rPr>
              <w:t xml:space="preserve">Not Applicable per 2024 OMB Compliance Supplement, Part 4, HUD, </w:t>
            </w:r>
            <w:r w:rsidR="00730B4D" w:rsidRPr="00730B4D">
              <w:rPr>
                <w:rFonts w:ascii="Arial" w:hAnsi="Arial" w:cs="Arial"/>
                <w:i/>
                <w:iCs/>
                <w:sz w:val="20"/>
              </w:rPr>
              <w:t>#14.872 Public Housing Capital Fund</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77" w:name="_Toc174635379"/>
      <w:r w:rsidRPr="000706D1">
        <w:rPr>
          <w:rFonts w:cs="Arial"/>
          <w:sz w:val="24"/>
          <w:szCs w:val="24"/>
        </w:rPr>
        <w:t>Audit Implications Summary</w:t>
      </w:r>
      <w:bookmarkEnd w:id="77"/>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71"/>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78" w:name="M___SUBRECIPIENT_MONITORING__"/>
      <w:bookmarkStart w:id="79" w:name="_Toc442267704"/>
      <w:bookmarkStart w:id="80" w:name="_Toc174635380"/>
      <w:bookmarkEnd w:id="78"/>
      <w:r w:rsidRPr="000706D1">
        <w:rPr>
          <w:rStyle w:val="PageNumber"/>
          <w:rFonts w:cs="Arial"/>
          <w:sz w:val="24"/>
        </w:rPr>
        <w:lastRenderedPageBreak/>
        <w:t>Program Testing Conclusion</w:t>
      </w:r>
      <w:bookmarkEnd w:id="79"/>
      <w:bookmarkEnd w:id="80"/>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7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72" tgtFrame="&quot;content&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2B1E66" w:rsidP="006672EA">
      <w:pPr>
        <w:spacing w:after="240"/>
        <w:jc w:val="both"/>
        <w:rPr>
          <w:rFonts w:ascii="Arial" w:hAnsi="Arial" w:cs="Arial"/>
        </w:rPr>
      </w:pPr>
      <w:hyperlink r:id="rId74"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75"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1" w:name="AICPAIGS:767.2670-1"/>
      <w:bookmarkEnd w:id="81"/>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121D4DFC"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8A7B3B8"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230FA4">
      <w:rPr>
        <w:sz w:val="18"/>
      </w:rPr>
      <w:t xml:space="preserve">FACCR #14.872 </w:t>
    </w:r>
    <w:r w:rsidR="00230FA4" w:rsidRPr="00230FA4">
      <w:rPr>
        <w:sz w:val="18"/>
      </w:rPr>
      <w:t>Public Housing Capital Fund</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3"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1"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2"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7"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9"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8"/>
  </w:num>
  <w:num w:numId="3" w16cid:durableId="845168209">
    <w:abstractNumId w:val="20"/>
  </w:num>
  <w:num w:numId="4" w16cid:durableId="495266702">
    <w:abstractNumId w:val="27"/>
  </w:num>
  <w:num w:numId="5" w16cid:durableId="1496074526">
    <w:abstractNumId w:val="50"/>
  </w:num>
  <w:num w:numId="6" w16cid:durableId="1894850701">
    <w:abstractNumId w:val="25"/>
  </w:num>
  <w:num w:numId="7" w16cid:durableId="1851287688">
    <w:abstractNumId w:val="59"/>
  </w:num>
  <w:num w:numId="8" w16cid:durableId="169563015">
    <w:abstractNumId w:val="47"/>
  </w:num>
  <w:num w:numId="9" w16cid:durableId="829565744">
    <w:abstractNumId w:val="16"/>
  </w:num>
  <w:num w:numId="10" w16cid:durableId="1649020827">
    <w:abstractNumId w:val="3"/>
  </w:num>
  <w:num w:numId="11" w16cid:durableId="404687173">
    <w:abstractNumId w:val="13"/>
  </w:num>
  <w:num w:numId="12" w16cid:durableId="812450053">
    <w:abstractNumId w:val="56"/>
  </w:num>
  <w:num w:numId="13" w16cid:durableId="208225967">
    <w:abstractNumId w:val="40"/>
  </w:num>
  <w:num w:numId="14" w16cid:durableId="1448885931">
    <w:abstractNumId w:val="35"/>
  </w:num>
  <w:num w:numId="15" w16cid:durableId="652417121">
    <w:abstractNumId w:val="44"/>
  </w:num>
  <w:num w:numId="16" w16cid:durableId="1348169212">
    <w:abstractNumId w:val="32"/>
  </w:num>
  <w:num w:numId="17" w16cid:durableId="1730111816">
    <w:abstractNumId w:val="52"/>
  </w:num>
  <w:num w:numId="18" w16cid:durableId="1262647388">
    <w:abstractNumId w:val="24"/>
  </w:num>
  <w:num w:numId="19" w16cid:durableId="917205237">
    <w:abstractNumId w:val="39"/>
  </w:num>
  <w:num w:numId="20" w16cid:durableId="1467968856">
    <w:abstractNumId w:val="57"/>
  </w:num>
  <w:num w:numId="21" w16cid:durableId="1337074581">
    <w:abstractNumId w:val="55"/>
  </w:num>
  <w:num w:numId="22" w16cid:durableId="1028799297">
    <w:abstractNumId w:val="18"/>
  </w:num>
  <w:num w:numId="23" w16cid:durableId="1386678689">
    <w:abstractNumId w:val="9"/>
  </w:num>
  <w:num w:numId="24" w16cid:durableId="505556187">
    <w:abstractNumId w:val="48"/>
  </w:num>
  <w:num w:numId="25" w16cid:durableId="1151486989">
    <w:abstractNumId w:val="17"/>
  </w:num>
  <w:num w:numId="26" w16cid:durableId="431709311">
    <w:abstractNumId w:val="28"/>
  </w:num>
  <w:num w:numId="27" w16cid:durableId="137292458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1"/>
  </w:num>
  <w:num w:numId="30" w16cid:durableId="1726903200">
    <w:abstractNumId w:val="11"/>
  </w:num>
  <w:num w:numId="31" w16cid:durableId="884410781">
    <w:abstractNumId w:val="6"/>
  </w:num>
  <w:num w:numId="32" w16cid:durableId="810370577">
    <w:abstractNumId w:val="36"/>
  </w:num>
  <w:num w:numId="33" w16cid:durableId="1178009640">
    <w:abstractNumId w:val="2"/>
  </w:num>
  <w:num w:numId="34" w16cid:durableId="1151754974">
    <w:abstractNumId w:val="60"/>
  </w:num>
  <w:num w:numId="35" w16cid:durableId="554588920">
    <w:abstractNumId w:val="51"/>
  </w:num>
  <w:num w:numId="36" w16cid:durableId="2056466201">
    <w:abstractNumId w:val="19"/>
  </w:num>
  <w:num w:numId="37" w16cid:durableId="81878645">
    <w:abstractNumId w:val="29"/>
  </w:num>
  <w:num w:numId="38" w16cid:durableId="754401759">
    <w:abstractNumId w:val="31"/>
  </w:num>
  <w:num w:numId="39" w16cid:durableId="697851989">
    <w:abstractNumId w:val="53"/>
  </w:num>
  <w:num w:numId="40" w16cid:durableId="368649401">
    <w:abstractNumId w:val="1"/>
  </w:num>
  <w:num w:numId="41" w16cid:durableId="1478910963">
    <w:abstractNumId w:val="54"/>
  </w:num>
  <w:num w:numId="42" w16cid:durableId="1939830332">
    <w:abstractNumId w:val="12"/>
  </w:num>
  <w:num w:numId="43" w16cid:durableId="516505364">
    <w:abstractNumId w:val="42"/>
  </w:num>
  <w:num w:numId="44" w16cid:durableId="710107432">
    <w:abstractNumId w:val="33"/>
  </w:num>
  <w:num w:numId="45" w16cid:durableId="629016447">
    <w:abstractNumId w:val="15"/>
  </w:num>
  <w:num w:numId="46" w16cid:durableId="1352143524">
    <w:abstractNumId w:val="22"/>
  </w:num>
  <w:num w:numId="47" w16cid:durableId="2034109230">
    <w:abstractNumId w:val="34"/>
  </w:num>
  <w:num w:numId="48" w16cid:durableId="752432378">
    <w:abstractNumId w:val="30"/>
  </w:num>
  <w:num w:numId="49" w16cid:durableId="1766726706">
    <w:abstractNumId w:val="10"/>
  </w:num>
  <w:num w:numId="50" w16cid:durableId="848107073">
    <w:abstractNumId w:val="23"/>
  </w:num>
  <w:num w:numId="51" w16cid:durableId="1123234674">
    <w:abstractNumId w:val="4"/>
  </w:num>
  <w:num w:numId="52" w16cid:durableId="1056511850">
    <w:abstractNumId w:val="49"/>
  </w:num>
  <w:num w:numId="53" w16cid:durableId="1317146710">
    <w:abstractNumId w:val="45"/>
  </w:num>
  <w:num w:numId="54" w16cid:durableId="1101756761">
    <w:abstractNumId w:val="37"/>
  </w:num>
  <w:num w:numId="55" w16cid:durableId="1244534831">
    <w:abstractNumId w:val="43"/>
  </w:num>
  <w:num w:numId="56" w16cid:durableId="120655483">
    <w:abstractNumId w:val="21"/>
  </w:num>
  <w:num w:numId="57" w16cid:durableId="894855469">
    <w:abstractNumId w:val="14"/>
  </w:num>
  <w:num w:numId="58" w16cid:durableId="667756309">
    <w:abstractNumId w:val="5"/>
  </w:num>
  <w:num w:numId="59" w16cid:durableId="142236087">
    <w:abstractNumId w:val="26"/>
  </w:num>
  <w:num w:numId="60" w16cid:durableId="2005356031">
    <w:abstractNumId w:val="8"/>
  </w:num>
  <w:num w:numId="61" w16cid:durableId="19628132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0FA4"/>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1E66"/>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4D0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2D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413"/>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5033"/>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30D4"/>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0B4D"/>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03FF"/>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A5A"/>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05D"/>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48D"/>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5EB7"/>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25F"/>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B73A0"/>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B79B1"/>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26" Type="http://schemas.openxmlformats.org/officeDocument/2006/relationships/footer" Target="footer3.xml"/><Relationship Id="rId39" Type="http://schemas.openxmlformats.org/officeDocument/2006/relationships/hyperlink" Target="https://www.ecfr.gov/current/title-24/subtitle-B/chapter-IX/part-905" TargetMode="External"/><Relationship Id="rId21" Type="http://schemas.openxmlformats.org/officeDocument/2006/relationships/hyperlink" Target="Agency_Adoption_of_the_UG_and_Example_Citations.pdf" TargetMode="External"/><Relationship Id="rId34" Type="http://schemas.openxmlformats.org/officeDocument/2006/relationships/hyperlink" Target="https://www.hud.gov/program_offices/public_indian_housing/reac/products/prodpha" TargetMode="External"/><Relationship Id="rId42" Type="http://schemas.openxmlformats.org/officeDocument/2006/relationships/header" Target="header7.xml"/><Relationship Id="rId47" Type="http://schemas.openxmlformats.org/officeDocument/2006/relationships/hyperlink" Target="https://www.hud.gov/sites/documents/PIH-2016-14.PDF" TargetMode="External"/><Relationship Id="rId50" Type="http://schemas.openxmlformats.org/officeDocument/2006/relationships/hyperlink" Target="Agency_Adoption_of_the_UG_and_Example_Citations.pdf" TargetMode="External"/><Relationship Id="rId55" Type="http://schemas.openxmlformats.org/officeDocument/2006/relationships/hyperlink" Target="https://fiscal.treasury.gov/cmia/" TargetMode="External"/><Relationship Id="rId63" Type="http://schemas.openxmlformats.org/officeDocument/2006/relationships/hyperlink" Target="48_CFR_Part_52.pdf" TargetMode="External"/><Relationship Id="rId68" Type="http://schemas.openxmlformats.org/officeDocument/2006/relationships/header" Target="header10.xml"/><Relationship Id="rId76"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hud.gov/program_offices/public_indian_housing/programs/ph/capfund" TargetMode="External"/><Relationship Id="rId37" Type="http://schemas.openxmlformats.org/officeDocument/2006/relationships/header" Target="header6.xml"/><Relationship Id="rId40" Type="http://schemas.openxmlformats.org/officeDocument/2006/relationships/hyperlink" Target="https://www.hud.gov/sites/dfiles/PIH/documents/2023_Units_TDC_Limits.pdf" TargetMode="External"/><Relationship Id="rId45" Type="http://schemas.openxmlformats.org/officeDocument/2006/relationships/hyperlink" Target="45_CFR_Part_75.pdf" TargetMode="External"/><Relationship Id="rId53" Type="http://schemas.openxmlformats.org/officeDocument/2006/relationships/hyperlink" Target="48_CFR_Part_52.pdf" TargetMode="External"/><Relationship Id="rId58" Type="http://schemas.openxmlformats.org/officeDocument/2006/relationships/hyperlink" Target="https://www.ecfr.gov/current/title-24/subtitle-A/part-5/subpart-D/section-5.403" TargetMode="External"/><Relationship Id="rId66" Type="http://schemas.openxmlformats.org/officeDocument/2006/relationships/header" Target="header9.xml"/><Relationship Id="rId74" Type="http://schemas.openxmlformats.org/officeDocument/2006/relationships/hyperlink" Target="2_CFR_Part_200.pdf" TargetMode="External"/><Relationship Id="rId5" Type="http://schemas.openxmlformats.org/officeDocument/2006/relationships/numbering" Target="numbering.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hyperlink" Target="Testing_the_ICRP_discussion.pdf" TargetMode="External"/><Relationship Id="rId57" Type="http://schemas.openxmlformats.org/officeDocument/2006/relationships/hyperlink" Target="https://www.fiscal.treasury.gov/ASAP/" TargetMode="External"/><Relationship Id="rId61" Type="http://schemas.openxmlformats.org/officeDocument/2006/relationships/hyperlink" Target="https://www.ecfr.gov/current/title-24/subtitle-B/chapter-IX/part-905/subpart-C/section-905.310" TargetMode="External"/><Relationship Id="rId10" Type="http://schemas.openxmlformats.org/officeDocument/2006/relationships/endnotes" Target="endnotes.xml"/><Relationship Id="rId19" Type="http://schemas.openxmlformats.org/officeDocument/2006/relationships/hyperlink" Target="https://www.cfo.gov/wp-content/uploads/2014/12/Agency-Exceptions.pdf" TargetMode="External"/><Relationship Id="rId31" Type="http://schemas.openxmlformats.org/officeDocument/2006/relationships/hyperlink" Target="https://www.hud.gov/sites/dfiles/PIH/documents/Faircloth%20List_10-15-23_FINAL2.xlsx" TargetMode="External"/><Relationship Id="rId44" Type="http://schemas.openxmlformats.org/officeDocument/2006/relationships/hyperlink" Target="https://ohioauditor.gov/references/practiceaids/faccrs.html" TargetMode="External"/><Relationship Id="rId52" Type="http://schemas.openxmlformats.org/officeDocument/2006/relationships/hyperlink" Target="31_CFR_Part_205.pdf" TargetMode="External"/><Relationship Id="rId60" Type="http://schemas.openxmlformats.org/officeDocument/2006/relationships/hyperlink" Target="https://www.ecfr.gov/current/title-24/subtitle-B/chapter-IX/part-990" TargetMode="External"/><Relationship Id="rId65" Type="http://schemas.openxmlformats.org/officeDocument/2006/relationships/hyperlink" Target="Agency_Adoption_of_the_UG_and_Example_Citations.pdf" TargetMode="External"/><Relationship Id="rId73" Type="http://schemas.openxmlformats.org/officeDocument/2006/relationships/image" Target="media/image2.gi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www.hud.gov/program_offices/public_indian_housing/programs/ph/capfund" TargetMode="External"/><Relationship Id="rId35" Type="http://schemas.openxmlformats.org/officeDocument/2006/relationships/hyperlink" Target="https://www.hud.gov/program_offices/public_indian_housing/reac/products/prodphasintrule" TargetMode="External"/><Relationship Id="rId43"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48" Type="http://schemas.openxmlformats.org/officeDocument/2006/relationships/hyperlink" Target="https://www.opm.gov/policy-data-oversight/pay-leave/salaries-wages/salary-tables/pdf/2023/EX.pdf" TargetMode="External"/><Relationship Id="rId56" Type="http://schemas.openxmlformats.org/officeDocument/2006/relationships/hyperlink" Target="https://www.hhs.gov/about/agencies/asa/psc/accounting/payment-management/index.html" TargetMode="External"/><Relationship Id="rId64" Type="http://schemas.openxmlformats.org/officeDocument/2006/relationships/hyperlink" Target="48%20CFR%2052.216-7.pdf" TargetMode="External"/><Relationship Id="rId69" Type="http://schemas.openxmlformats.org/officeDocument/2006/relationships/hyperlink" Target="https://www.hud.gov/sites/dfiles/OCHCO/documents/50075.1.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8.xml"/><Relationship Id="rId72" Type="http://schemas.openxmlformats.org/officeDocument/2006/relationships/hyperlink" Target="https://checkpoint.riag.com/app/view/docPermaLink?DocID=iAICPAIGS:767.2440&amp;docTid=T0AICPAIGS:767.2440-1&amp;feature=ttoc&amp;lastCpReqId=97899&amp;tlltype=AICPAIGS:767.2668"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hud.gov/program_offices/public_indian_housing/reac" TargetMode="External"/><Relationship Id="rId38" Type="http://schemas.openxmlformats.org/officeDocument/2006/relationships/hyperlink" Target="http://www.ohioauditor.gov/references/practiceaids.html" TargetMode="External"/><Relationship Id="rId46" Type="http://schemas.openxmlformats.org/officeDocument/2006/relationships/hyperlink" Target="Selected_Items_of_Cost_Part_3_ComplianceSupplement.pdf" TargetMode="External"/><Relationship Id="rId59" Type="http://schemas.openxmlformats.org/officeDocument/2006/relationships/hyperlink" Target="https://www.ecfr.gov/current/title-24/subtitle-B/chapter-IX/part-905/subpart-C/section-905.310" TargetMode="External"/><Relationship Id="rId67" Type="http://schemas.openxmlformats.org/officeDocument/2006/relationships/hyperlink" Target="Agency_Adoption_of_the_UG_and_Example_Citations.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Agency_Adoption_of_the_UG_and_Example_Citations.pdf" TargetMode="External"/><Relationship Id="rId54" Type="http://schemas.openxmlformats.org/officeDocument/2006/relationships/hyperlink" Target="48_CFR_Part_52.pdf" TargetMode="External"/><Relationship Id="rId62" Type="http://schemas.openxmlformats.org/officeDocument/2006/relationships/hyperlink" Target="https://www.ecfr.gov/current/title-24/subtitle-B/chapter-IX/part-905/subpart-C/section-905.310" TargetMode="External"/><Relationship Id="rId70" Type="http://schemas.openxmlformats.org/officeDocument/2006/relationships/hyperlink" Target="Agency_Adoption_of_the_UG_and_Example_Citations.pdf" TargetMode="External"/><Relationship Id="rId75" Type="http://schemas.openxmlformats.org/officeDocument/2006/relationships/hyperlink" Target="Agency_Adoption_of_the_UG_and_Example_Citations.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51</Pages>
  <Words>18705</Words>
  <Characters>112396</Characters>
  <Application>Microsoft Office Word</Application>
  <DocSecurity>0</DocSecurity>
  <Lines>936</Lines>
  <Paragraphs>261</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130840</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16</cp:revision>
  <cp:lastPrinted>2015-07-01T17:39:00Z</cp:lastPrinted>
  <dcterms:created xsi:type="dcterms:W3CDTF">2024-07-16T11:58:00Z</dcterms:created>
  <dcterms:modified xsi:type="dcterms:W3CDTF">2024-08-15T21:36:00Z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