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71C20B2B" w:rsidR="00B3756A" w:rsidRPr="00A0464C" w:rsidRDefault="00E93929" w:rsidP="003D19F2">
            <w:pPr>
              <w:jc w:val="both"/>
              <w:rPr>
                <w:rFonts w:ascii="Arial" w:hAnsi="Arial" w:cs="Arial"/>
                <w:sz w:val="24"/>
                <w:szCs w:val="24"/>
              </w:rPr>
            </w:pPr>
            <w:r>
              <w:rPr>
                <w:rFonts w:ascii="Arial" w:hAnsi="Arial" w:cs="Arial"/>
                <w:sz w:val="24"/>
                <w:szCs w:val="24"/>
              </w:rPr>
              <w:t>Public Housing Operating Fund</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666F8FBD" w:rsidR="00B3756A" w:rsidRPr="00A0464C" w:rsidRDefault="00E93929" w:rsidP="003D19F2">
            <w:pPr>
              <w:jc w:val="both"/>
              <w:rPr>
                <w:rFonts w:ascii="Arial" w:hAnsi="Arial" w:cs="Arial"/>
                <w:sz w:val="24"/>
                <w:szCs w:val="24"/>
              </w:rPr>
            </w:pPr>
            <w:r>
              <w:rPr>
                <w:rFonts w:ascii="Arial" w:hAnsi="Arial" w:cs="Arial"/>
                <w:sz w:val="24"/>
                <w:szCs w:val="24"/>
              </w:rPr>
              <w:t>14.850</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7348FD27" w:rsidR="00B3756A" w:rsidRPr="00886A3E" w:rsidRDefault="00E93929" w:rsidP="003D19F2">
                <w:pPr>
                  <w:jc w:val="both"/>
                  <w:rPr>
                    <w:rFonts w:ascii="Arial" w:hAnsi="Arial" w:cs="Arial"/>
                    <w:sz w:val="24"/>
                    <w:szCs w:val="24"/>
                  </w:rPr>
                </w:pPr>
                <w:r>
                  <w:rPr>
                    <w:rFonts w:ascii="Arial" w:hAnsi="Arial" w:cs="Arial"/>
                    <w:sz w:val="24"/>
                    <w:szCs w:val="24"/>
                  </w:rPr>
                  <w:t>Direct</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7594D990" w:rsidR="00B3756A" w:rsidRPr="00A0464C" w:rsidRDefault="00E93929" w:rsidP="003D19F2">
            <w:pPr>
              <w:jc w:val="both"/>
              <w:rPr>
                <w:rFonts w:ascii="Arial" w:hAnsi="Arial" w:cs="Arial"/>
                <w:sz w:val="24"/>
                <w:szCs w:val="24"/>
              </w:rPr>
            </w:pPr>
            <w:r>
              <w:rPr>
                <w:rFonts w:ascii="Arial" w:hAnsi="Arial" w:cs="Arial"/>
                <w:sz w:val="24"/>
                <w:szCs w:val="24"/>
              </w:rPr>
              <w:t>N/A</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06531F6F" w14:textId="77777777" w:rsidR="00E93929" w:rsidRPr="00E93929" w:rsidRDefault="00E93929" w:rsidP="00E93929">
            <w:pPr>
              <w:jc w:val="both"/>
              <w:rPr>
                <w:rFonts w:ascii="Arial" w:hAnsi="Arial" w:cs="Arial"/>
                <w:sz w:val="24"/>
                <w:szCs w:val="24"/>
              </w:rPr>
            </w:pPr>
            <w:r w:rsidRPr="00E93929">
              <w:rPr>
                <w:rFonts w:ascii="Arial" w:hAnsi="Arial" w:cs="Arial"/>
                <w:sz w:val="24"/>
                <w:szCs w:val="24"/>
              </w:rPr>
              <w:t>This FACCR was prepared under the 2024 Revisions to the Uniform Guidance. The Department of Housing and Urban Development (HUD) adopted the 2024 Revisions effective October 1, 2024.</w:t>
            </w:r>
          </w:p>
          <w:p w14:paraId="3DE9A3E4" w14:textId="77777777" w:rsidR="00E93929" w:rsidRPr="00E93929" w:rsidRDefault="00E93929" w:rsidP="00E93929">
            <w:pPr>
              <w:jc w:val="both"/>
              <w:rPr>
                <w:rFonts w:ascii="Arial" w:hAnsi="Arial" w:cs="Arial"/>
                <w:sz w:val="24"/>
                <w:szCs w:val="24"/>
              </w:rPr>
            </w:pPr>
          </w:p>
          <w:p w14:paraId="4B7C991A" w14:textId="0760EEE2" w:rsidR="00B3756A" w:rsidRDefault="00E93929" w:rsidP="00E93929">
            <w:pPr>
              <w:jc w:val="both"/>
              <w:rPr>
                <w:rFonts w:ascii="Arial" w:hAnsi="Arial" w:cs="Arial"/>
                <w:sz w:val="24"/>
                <w:szCs w:val="24"/>
              </w:rPr>
            </w:pPr>
            <w:r w:rsidRPr="00E93929">
              <w:rPr>
                <w:rFonts w:ascii="Arial" w:hAnsi="Arial" w:cs="Arial"/>
                <w:sz w:val="24"/>
                <w:szCs w:val="24"/>
              </w:rPr>
              <w:t xml:space="preserve">After reviewing both the pre- and post-2024 Revisions guidance, CFAE determined that the </w:t>
            </w:r>
            <w:r>
              <w:rPr>
                <w:rFonts w:ascii="Arial" w:hAnsi="Arial" w:cs="Arial"/>
                <w:sz w:val="24"/>
                <w:szCs w:val="24"/>
              </w:rPr>
              <w:t xml:space="preserve">Public Housing Operating Fund </w:t>
            </w:r>
            <w:r w:rsidRPr="00E93929">
              <w:rPr>
                <w:rFonts w:ascii="Arial" w:hAnsi="Arial" w:cs="Arial"/>
                <w:sz w:val="24"/>
                <w:szCs w:val="24"/>
              </w:rPr>
              <w:t>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2473085"/>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lastRenderedPageBreak/>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459C231D"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2C84D2FA"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09705004" w:rsidR="004717CE" w:rsidRPr="00F00D94" w:rsidRDefault="004717CE" w:rsidP="008B4BCE">
      <w:pPr>
        <w:pStyle w:val="BodyText"/>
        <w:widowControl w:val="0"/>
        <w:numPr>
          <w:ilvl w:val="0"/>
          <w:numId w:val="24"/>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2B74FFF0" w:rsidR="004717CE" w:rsidRPr="00F00D94" w:rsidRDefault="004717CE" w:rsidP="008B4BCE">
      <w:pPr>
        <w:pStyle w:val="BodyText"/>
        <w:widowControl w:val="0"/>
        <w:numPr>
          <w:ilvl w:val="0"/>
          <w:numId w:val="24"/>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1E418994" w:rsidR="004717CE" w:rsidRPr="00D74A1B" w:rsidRDefault="00D74A1B" w:rsidP="008B4BCE">
      <w:pPr>
        <w:pStyle w:val="BodyText"/>
        <w:widowControl w:val="0"/>
        <w:numPr>
          <w:ilvl w:val="0"/>
          <w:numId w:val="24"/>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3F7C9593" w:rsidR="00DF7D32" w:rsidRPr="00F00D94" w:rsidRDefault="004717CE" w:rsidP="008B4BCE">
      <w:pPr>
        <w:pStyle w:val="BodyText"/>
        <w:widowControl w:val="0"/>
        <w:numPr>
          <w:ilvl w:val="0"/>
          <w:numId w:val="24"/>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8B4BCE">
      <w:pPr>
        <w:pStyle w:val="ListParagraph"/>
        <w:numPr>
          <w:ilvl w:val="1"/>
          <w:numId w:val="21"/>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2473086"/>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0C02657A"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5C478F16"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35381019"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2473087"/>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35F64978" w14:textId="3F3297FB" w:rsidR="00D34A79"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2473085" w:history="1">
            <w:r w:rsidR="00D34A79" w:rsidRPr="00CB25A7">
              <w:rPr>
                <w:rStyle w:val="Hyperlink"/>
                <w:rFonts w:cs="Arial"/>
                <w:noProof/>
              </w:rPr>
              <w:t>Important Information</w:t>
            </w:r>
            <w:r w:rsidR="00D34A79">
              <w:rPr>
                <w:noProof/>
                <w:webHidden/>
              </w:rPr>
              <w:tab/>
            </w:r>
            <w:r w:rsidR="00D34A79">
              <w:rPr>
                <w:noProof/>
                <w:webHidden/>
              </w:rPr>
              <w:fldChar w:fldCharType="begin"/>
            </w:r>
            <w:r w:rsidR="00D34A79">
              <w:rPr>
                <w:noProof/>
                <w:webHidden/>
              </w:rPr>
              <w:instrText xml:space="preserve"> PAGEREF _Toc212473085 \h </w:instrText>
            </w:r>
            <w:r w:rsidR="00D34A79">
              <w:rPr>
                <w:noProof/>
                <w:webHidden/>
              </w:rPr>
            </w:r>
            <w:r w:rsidR="00D34A79">
              <w:rPr>
                <w:noProof/>
                <w:webHidden/>
              </w:rPr>
              <w:fldChar w:fldCharType="separate"/>
            </w:r>
            <w:r w:rsidR="00D34A79">
              <w:rPr>
                <w:noProof/>
                <w:webHidden/>
              </w:rPr>
              <w:t>2</w:t>
            </w:r>
            <w:r w:rsidR="00D34A79">
              <w:rPr>
                <w:noProof/>
                <w:webHidden/>
              </w:rPr>
              <w:fldChar w:fldCharType="end"/>
            </w:r>
          </w:hyperlink>
        </w:p>
        <w:p w14:paraId="446D3F89" w14:textId="17F08801" w:rsidR="00D34A79" w:rsidRDefault="00D34A79">
          <w:pPr>
            <w:pStyle w:val="TOC1"/>
            <w:rPr>
              <w:rFonts w:asciiTheme="minorHAnsi" w:eastAsiaTheme="minorEastAsia" w:hAnsiTheme="minorHAnsi" w:cstheme="minorBidi"/>
              <w:noProof/>
              <w:kern w:val="2"/>
              <w:sz w:val="24"/>
              <w:szCs w:val="24"/>
              <w14:ligatures w14:val="standardContextual"/>
            </w:rPr>
          </w:pPr>
          <w:hyperlink w:anchor="_Toc212473086" w:history="1">
            <w:r w:rsidRPr="00CB25A7">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_Toc212473086 \h </w:instrText>
            </w:r>
            <w:r>
              <w:rPr>
                <w:noProof/>
                <w:webHidden/>
              </w:rPr>
            </w:r>
            <w:r>
              <w:rPr>
                <w:noProof/>
                <w:webHidden/>
              </w:rPr>
              <w:fldChar w:fldCharType="separate"/>
            </w:r>
            <w:r>
              <w:rPr>
                <w:noProof/>
                <w:webHidden/>
              </w:rPr>
              <w:t>3</w:t>
            </w:r>
            <w:r>
              <w:rPr>
                <w:noProof/>
                <w:webHidden/>
              </w:rPr>
              <w:fldChar w:fldCharType="end"/>
            </w:r>
          </w:hyperlink>
        </w:p>
        <w:p w14:paraId="2E2B346D" w14:textId="333619E7" w:rsidR="00D34A79" w:rsidRDefault="00D34A79">
          <w:pPr>
            <w:pStyle w:val="TOC1"/>
            <w:rPr>
              <w:rFonts w:asciiTheme="minorHAnsi" w:eastAsiaTheme="minorEastAsia" w:hAnsiTheme="minorHAnsi" w:cstheme="minorBidi"/>
              <w:noProof/>
              <w:kern w:val="2"/>
              <w:sz w:val="24"/>
              <w:szCs w:val="24"/>
              <w14:ligatures w14:val="standardContextual"/>
            </w:rPr>
          </w:pPr>
          <w:hyperlink w:anchor="_Toc212473087" w:history="1">
            <w:r w:rsidRPr="00CB25A7">
              <w:rPr>
                <w:rStyle w:val="Hyperlink"/>
                <w:rFonts w:cs="Arial"/>
                <w:noProof/>
              </w:rPr>
              <w:t>Table of Contents</w:t>
            </w:r>
            <w:r>
              <w:rPr>
                <w:noProof/>
                <w:webHidden/>
              </w:rPr>
              <w:tab/>
            </w:r>
            <w:r>
              <w:rPr>
                <w:noProof/>
                <w:webHidden/>
              </w:rPr>
              <w:fldChar w:fldCharType="begin"/>
            </w:r>
            <w:r>
              <w:rPr>
                <w:noProof/>
                <w:webHidden/>
              </w:rPr>
              <w:instrText xml:space="preserve"> PAGEREF _Toc212473087 \h </w:instrText>
            </w:r>
            <w:r>
              <w:rPr>
                <w:noProof/>
                <w:webHidden/>
              </w:rPr>
            </w:r>
            <w:r>
              <w:rPr>
                <w:noProof/>
                <w:webHidden/>
              </w:rPr>
              <w:fldChar w:fldCharType="separate"/>
            </w:r>
            <w:r>
              <w:rPr>
                <w:noProof/>
                <w:webHidden/>
              </w:rPr>
              <w:t>4</w:t>
            </w:r>
            <w:r>
              <w:rPr>
                <w:noProof/>
                <w:webHidden/>
              </w:rPr>
              <w:fldChar w:fldCharType="end"/>
            </w:r>
          </w:hyperlink>
        </w:p>
        <w:p w14:paraId="4A870247" w14:textId="525A3EA9" w:rsidR="00D34A79" w:rsidRDefault="00D34A79">
          <w:pPr>
            <w:pStyle w:val="TOC1"/>
            <w:rPr>
              <w:rFonts w:asciiTheme="minorHAnsi" w:eastAsiaTheme="minorEastAsia" w:hAnsiTheme="minorHAnsi" w:cstheme="minorBidi"/>
              <w:noProof/>
              <w:kern w:val="2"/>
              <w:sz w:val="24"/>
              <w:szCs w:val="24"/>
              <w14:ligatures w14:val="standardContextual"/>
            </w:rPr>
          </w:pPr>
          <w:hyperlink w:anchor="_Toc212473088" w:history="1">
            <w:r w:rsidRPr="00CB25A7">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_Toc212473088 \h </w:instrText>
            </w:r>
            <w:r>
              <w:rPr>
                <w:noProof/>
                <w:webHidden/>
              </w:rPr>
            </w:r>
            <w:r>
              <w:rPr>
                <w:noProof/>
                <w:webHidden/>
              </w:rPr>
              <w:fldChar w:fldCharType="separate"/>
            </w:r>
            <w:r>
              <w:rPr>
                <w:noProof/>
                <w:webHidden/>
              </w:rPr>
              <w:t>11</w:t>
            </w:r>
            <w:r>
              <w:rPr>
                <w:noProof/>
                <w:webHidden/>
              </w:rPr>
              <w:fldChar w:fldCharType="end"/>
            </w:r>
          </w:hyperlink>
        </w:p>
        <w:p w14:paraId="386F3EFA" w14:textId="2E316BB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89" w:history="1">
            <w:r w:rsidRPr="00CB25A7">
              <w:rPr>
                <w:rStyle w:val="Hyperlink"/>
                <w:rFonts w:cs="Arial"/>
                <w:noProof/>
              </w:rPr>
              <w:t>I. Program Objectives</w:t>
            </w:r>
            <w:r>
              <w:rPr>
                <w:noProof/>
                <w:webHidden/>
              </w:rPr>
              <w:tab/>
            </w:r>
            <w:r>
              <w:rPr>
                <w:noProof/>
                <w:webHidden/>
              </w:rPr>
              <w:fldChar w:fldCharType="begin"/>
            </w:r>
            <w:r>
              <w:rPr>
                <w:noProof/>
                <w:webHidden/>
              </w:rPr>
              <w:instrText xml:space="preserve"> PAGEREF _Toc212473089 \h </w:instrText>
            </w:r>
            <w:r>
              <w:rPr>
                <w:noProof/>
                <w:webHidden/>
              </w:rPr>
            </w:r>
            <w:r>
              <w:rPr>
                <w:noProof/>
                <w:webHidden/>
              </w:rPr>
              <w:fldChar w:fldCharType="separate"/>
            </w:r>
            <w:r>
              <w:rPr>
                <w:noProof/>
                <w:webHidden/>
              </w:rPr>
              <w:t>11</w:t>
            </w:r>
            <w:r>
              <w:rPr>
                <w:noProof/>
                <w:webHidden/>
              </w:rPr>
              <w:fldChar w:fldCharType="end"/>
            </w:r>
          </w:hyperlink>
        </w:p>
        <w:p w14:paraId="1ECFC6DA" w14:textId="26167C7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0" w:history="1">
            <w:r w:rsidRPr="00CB25A7">
              <w:rPr>
                <w:rStyle w:val="Hyperlink"/>
                <w:rFonts w:cs="Arial"/>
                <w:noProof/>
              </w:rPr>
              <w:t>II. Program Procedures</w:t>
            </w:r>
            <w:r>
              <w:rPr>
                <w:noProof/>
                <w:webHidden/>
              </w:rPr>
              <w:tab/>
            </w:r>
            <w:r>
              <w:rPr>
                <w:noProof/>
                <w:webHidden/>
              </w:rPr>
              <w:fldChar w:fldCharType="begin"/>
            </w:r>
            <w:r>
              <w:rPr>
                <w:noProof/>
                <w:webHidden/>
              </w:rPr>
              <w:instrText xml:space="preserve"> PAGEREF _Toc212473090 \h </w:instrText>
            </w:r>
            <w:r>
              <w:rPr>
                <w:noProof/>
                <w:webHidden/>
              </w:rPr>
            </w:r>
            <w:r>
              <w:rPr>
                <w:noProof/>
                <w:webHidden/>
              </w:rPr>
              <w:fldChar w:fldCharType="separate"/>
            </w:r>
            <w:r>
              <w:rPr>
                <w:noProof/>
                <w:webHidden/>
              </w:rPr>
              <w:t>11</w:t>
            </w:r>
            <w:r>
              <w:rPr>
                <w:noProof/>
                <w:webHidden/>
              </w:rPr>
              <w:fldChar w:fldCharType="end"/>
            </w:r>
          </w:hyperlink>
        </w:p>
        <w:p w14:paraId="240C5E5B" w14:textId="1357F4F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1" w:history="1">
            <w:r w:rsidRPr="00CB25A7">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_Toc212473091 \h </w:instrText>
            </w:r>
            <w:r>
              <w:rPr>
                <w:noProof/>
                <w:webHidden/>
              </w:rPr>
            </w:r>
            <w:r>
              <w:rPr>
                <w:noProof/>
                <w:webHidden/>
              </w:rPr>
              <w:fldChar w:fldCharType="separate"/>
            </w:r>
            <w:r>
              <w:rPr>
                <w:noProof/>
                <w:webHidden/>
              </w:rPr>
              <w:t>13</w:t>
            </w:r>
            <w:r>
              <w:rPr>
                <w:noProof/>
                <w:webHidden/>
              </w:rPr>
              <w:fldChar w:fldCharType="end"/>
            </w:r>
          </w:hyperlink>
        </w:p>
        <w:p w14:paraId="098C95A4" w14:textId="3193B8D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2" w:history="1">
            <w:r w:rsidRPr="00CB25A7">
              <w:rPr>
                <w:rStyle w:val="Hyperlink"/>
                <w:rFonts w:cs="Arial"/>
                <w:noProof/>
              </w:rPr>
              <w:t>IV. Other Information</w:t>
            </w:r>
            <w:r>
              <w:rPr>
                <w:noProof/>
                <w:webHidden/>
              </w:rPr>
              <w:tab/>
            </w:r>
            <w:r>
              <w:rPr>
                <w:noProof/>
                <w:webHidden/>
              </w:rPr>
              <w:fldChar w:fldCharType="begin"/>
            </w:r>
            <w:r>
              <w:rPr>
                <w:noProof/>
                <w:webHidden/>
              </w:rPr>
              <w:instrText xml:space="preserve"> PAGEREF _Toc212473092 \h </w:instrText>
            </w:r>
            <w:r>
              <w:rPr>
                <w:noProof/>
                <w:webHidden/>
              </w:rPr>
            </w:r>
            <w:r>
              <w:rPr>
                <w:noProof/>
                <w:webHidden/>
              </w:rPr>
              <w:fldChar w:fldCharType="separate"/>
            </w:r>
            <w:r>
              <w:rPr>
                <w:noProof/>
                <w:webHidden/>
              </w:rPr>
              <w:t>14</w:t>
            </w:r>
            <w:r>
              <w:rPr>
                <w:noProof/>
                <w:webHidden/>
              </w:rPr>
              <w:fldChar w:fldCharType="end"/>
            </w:r>
          </w:hyperlink>
        </w:p>
        <w:p w14:paraId="71555A1D" w14:textId="0062715C" w:rsidR="00D34A79" w:rsidRDefault="00D34A79">
          <w:pPr>
            <w:pStyle w:val="TOC1"/>
            <w:rPr>
              <w:rFonts w:asciiTheme="minorHAnsi" w:eastAsiaTheme="minorEastAsia" w:hAnsiTheme="minorHAnsi" w:cstheme="minorBidi"/>
              <w:noProof/>
              <w:kern w:val="2"/>
              <w:sz w:val="24"/>
              <w:szCs w:val="24"/>
              <w14:ligatures w14:val="standardContextual"/>
            </w:rPr>
          </w:pPr>
          <w:hyperlink w:anchor="_Toc212473093" w:history="1">
            <w:r w:rsidRPr="00CB25A7">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_Toc212473093 \h </w:instrText>
            </w:r>
            <w:r>
              <w:rPr>
                <w:noProof/>
                <w:webHidden/>
              </w:rPr>
            </w:r>
            <w:r>
              <w:rPr>
                <w:noProof/>
                <w:webHidden/>
              </w:rPr>
              <w:fldChar w:fldCharType="separate"/>
            </w:r>
            <w:r>
              <w:rPr>
                <w:noProof/>
                <w:webHidden/>
              </w:rPr>
              <w:t>15</w:t>
            </w:r>
            <w:r>
              <w:rPr>
                <w:noProof/>
                <w:webHidden/>
              </w:rPr>
              <w:fldChar w:fldCharType="end"/>
            </w:r>
          </w:hyperlink>
        </w:p>
        <w:p w14:paraId="726F0ACF" w14:textId="2B0258D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4" w:history="1">
            <w:r w:rsidRPr="00CB25A7">
              <w:rPr>
                <w:rStyle w:val="Hyperlink"/>
                <w:rFonts w:cs="Arial"/>
                <w:noProof/>
              </w:rPr>
              <w:t>Program Overview</w:t>
            </w:r>
            <w:r>
              <w:rPr>
                <w:noProof/>
                <w:webHidden/>
              </w:rPr>
              <w:tab/>
            </w:r>
            <w:r>
              <w:rPr>
                <w:noProof/>
                <w:webHidden/>
              </w:rPr>
              <w:fldChar w:fldCharType="begin"/>
            </w:r>
            <w:r>
              <w:rPr>
                <w:noProof/>
                <w:webHidden/>
              </w:rPr>
              <w:instrText xml:space="preserve"> PAGEREF _Toc212473094 \h </w:instrText>
            </w:r>
            <w:r>
              <w:rPr>
                <w:noProof/>
                <w:webHidden/>
              </w:rPr>
            </w:r>
            <w:r>
              <w:rPr>
                <w:noProof/>
                <w:webHidden/>
              </w:rPr>
              <w:fldChar w:fldCharType="separate"/>
            </w:r>
            <w:r>
              <w:rPr>
                <w:noProof/>
                <w:webHidden/>
              </w:rPr>
              <w:t>15</w:t>
            </w:r>
            <w:r>
              <w:rPr>
                <w:noProof/>
                <w:webHidden/>
              </w:rPr>
              <w:fldChar w:fldCharType="end"/>
            </w:r>
          </w:hyperlink>
        </w:p>
        <w:p w14:paraId="28FEA634" w14:textId="4862D3A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5" w:history="1">
            <w:r w:rsidRPr="00CB25A7">
              <w:rPr>
                <w:rStyle w:val="Hyperlink"/>
                <w:rFonts w:cs="Arial"/>
                <w:noProof/>
              </w:rPr>
              <w:t>Testing Considerations</w:t>
            </w:r>
            <w:r>
              <w:rPr>
                <w:noProof/>
                <w:webHidden/>
              </w:rPr>
              <w:tab/>
            </w:r>
            <w:r>
              <w:rPr>
                <w:noProof/>
                <w:webHidden/>
              </w:rPr>
              <w:fldChar w:fldCharType="begin"/>
            </w:r>
            <w:r>
              <w:rPr>
                <w:noProof/>
                <w:webHidden/>
              </w:rPr>
              <w:instrText xml:space="preserve"> PAGEREF _Toc212473095 \h </w:instrText>
            </w:r>
            <w:r>
              <w:rPr>
                <w:noProof/>
                <w:webHidden/>
              </w:rPr>
            </w:r>
            <w:r>
              <w:rPr>
                <w:noProof/>
                <w:webHidden/>
              </w:rPr>
              <w:fldChar w:fldCharType="separate"/>
            </w:r>
            <w:r>
              <w:rPr>
                <w:noProof/>
                <w:webHidden/>
              </w:rPr>
              <w:t>15</w:t>
            </w:r>
            <w:r>
              <w:rPr>
                <w:noProof/>
                <w:webHidden/>
              </w:rPr>
              <w:fldChar w:fldCharType="end"/>
            </w:r>
          </w:hyperlink>
        </w:p>
        <w:p w14:paraId="4C3AEE3C" w14:textId="35D63F8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6" w:history="1">
            <w:r w:rsidRPr="00CB25A7">
              <w:rPr>
                <w:rStyle w:val="Hyperlink"/>
                <w:rFonts w:cs="Arial"/>
                <w:noProof/>
              </w:rPr>
              <w:t>Reporting</w:t>
            </w:r>
            <w:r>
              <w:rPr>
                <w:noProof/>
                <w:webHidden/>
              </w:rPr>
              <w:tab/>
            </w:r>
            <w:r>
              <w:rPr>
                <w:noProof/>
                <w:webHidden/>
              </w:rPr>
              <w:fldChar w:fldCharType="begin"/>
            </w:r>
            <w:r>
              <w:rPr>
                <w:noProof/>
                <w:webHidden/>
              </w:rPr>
              <w:instrText xml:space="preserve"> PAGEREF _Toc212473096 \h </w:instrText>
            </w:r>
            <w:r>
              <w:rPr>
                <w:noProof/>
                <w:webHidden/>
              </w:rPr>
            </w:r>
            <w:r>
              <w:rPr>
                <w:noProof/>
                <w:webHidden/>
              </w:rPr>
              <w:fldChar w:fldCharType="separate"/>
            </w:r>
            <w:r>
              <w:rPr>
                <w:noProof/>
                <w:webHidden/>
              </w:rPr>
              <w:t>15</w:t>
            </w:r>
            <w:r>
              <w:rPr>
                <w:noProof/>
                <w:webHidden/>
              </w:rPr>
              <w:fldChar w:fldCharType="end"/>
            </w:r>
          </w:hyperlink>
        </w:p>
        <w:p w14:paraId="0BD2495E" w14:textId="6095419D" w:rsidR="00D34A79" w:rsidRDefault="00D34A79">
          <w:pPr>
            <w:pStyle w:val="TOC1"/>
            <w:rPr>
              <w:rFonts w:asciiTheme="minorHAnsi" w:eastAsiaTheme="minorEastAsia" w:hAnsiTheme="minorHAnsi" w:cstheme="minorBidi"/>
              <w:noProof/>
              <w:kern w:val="2"/>
              <w:sz w:val="24"/>
              <w:szCs w:val="24"/>
              <w14:ligatures w14:val="standardContextual"/>
            </w:rPr>
          </w:pPr>
          <w:hyperlink w:anchor="_Toc212473097" w:history="1">
            <w:r w:rsidRPr="00CB25A7">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_Toc212473097 \h </w:instrText>
            </w:r>
            <w:r>
              <w:rPr>
                <w:noProof/>
                <w:webHidden/>
              </w:rPr>
            </w:r>
            <w:r>
              <w:rPr>
                <w:noProof/>
                <w:webHidden/>
              </w:rPr>
              <w:fldChar w:fldCharType="separate"/>
            </w:r>
            <w:r>
              <w:rPr>
                <w:noProof/>
                <w:webHidden/>
              </w:rPr>
              <w:t>16</w:t>
            </w:r>
            <w:r>
              <w:rPr>
                <w:noProof/>
                <w:webHidden/>
              </w:rPr>
              <w:fldChar w:fldCharType="end"/>
            </w:r>
          </w:hyperlink>
        </w:p>
        <w:p w14:paraId="1D555F43" w14:textId="659B2BF9" w:rsidR="00D34A79" w:rsidRDefault="00D34A79">
          <w:pPr>
            <w:pStyle w:val="TOC2"/>
            <w:rPr>
              <w:rFonts w:asciiTheme="minorHAnsi" w:eastAsiaTheme="minorEastAsia" w:hAnsiTheme="minorHAnsi" w:cstheme="minorBidi"/>
              <w:bCs w:val="0"/>
              <w:kern w:val="2"/>
              <w:sz w:val="24"/>
              <w14:ligatures w14:val="standardContextual"/>
            </w:rPr>
          </w:pPr>
          <w:hyperlink w:anchor="_Toc212473098" w:history="1">
            <w:r w:rsidRPr="00CB25A7">
              <w:rPr>
                <w:rStyle w:val="Hyperlink"/>
              </w:rPr>
              <w:t>A.  ACTIVITIES ALLOWED OR UNALLOWED</w:t>
            </w:r>
            <w:r>
              <w:rPr>
                <w:webHidden/>
              </w:rPr>
              <w:tab/>
            </w:r>
            <w:r>
              <w:rPr>
                <w:webHidden/>
              </w:rPr>
              <w:fldChar w:fldCharType="begin"/>
            </w:r>
            <w:r>
              <w:rPr>
                <w:webHidden/>
              </w:rPr>
              <w:instrText xml:space="preserve"> PAGEREF _Toc212473098 \h </w:instrText>
            </w:r>
            <w:r>
              <w:rPr>
                <w:webHidden/>
              </w:rPr>
            </w:r>
            <w:r>
              <w:rPr>
                <w:webHidden/>
              </w:rPr>
              <w:fldChar w:fldCharType="separate"/>
            </w:r>
            <w:r>
              <w:rPr>
                <w:webHidden/>
              </w:rPr>
              <w:t>16</w:t>
            </w:r>
            <w:r>
              <w:rPr>
                <w:webHidden/>
              </w:rPr>
              <w:fldChar w:fldCharType="end"/>
            </w:r>
          </w:hyperlink>
        </w:p>
        <w:p w14:paraId="6F344515" w14:textId="5B20E34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099"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_Toc212473099 \h </w:instrText>
            </w:r>
            <w:r>
              <w:rPr>
                <w:noProof/>
                <w:webHidden/>
              </w:rPr>
            </w:r>
            <w:r>
              <w:rPr>
                <w:noProof/>
                <w:webHidden/>
              </w:rPr>
              <w:fldChar w:fldCharType="separate"/>
            </w:r>
            <w:r>
              <w:rPr>
                <w:noProof/>
                <w:webHidden/>
              </w:rPr>
              <w:t>16</w:t>
            </w:r>
            <w:r>
              <w:rPr>
                <w:noProof/>
                <w:webHidden/>
              </w:rPr>
              <w:fldChar w:fldCharType="end"/>
            </w:r>
          </w:hyperlink>
        </w:p>
        <w:p w14:paraId="434B3C3A" w14:textId="08E24E2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0"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_Toc212473100 \h </w:instrText>
            </w:r>
            <w:r>
              <w:rPr>
                <w:noProof/>
                <w:webHidden/>
              </w:rPr>
            </w:r>
            <w:r>
              <w:rPr>
                <w:noProof/>
                <w:webHidden/>
              </w:rPr>
              <w:fldChar w:fldCharType="separate"/>
            </w:r>
            <w:r>
              <w:rPr>
                <w:noProof/>
                <w:webHidden/>
              </w:rPr>
              <w:t>19</w:t>
            </w:r>
            <w:r>
              <w:rPr>
                <w:noProof/>
                <w:webHidden/>
              </w:rPr>
              <w:fldChar w:fldCharType="end"/>
            </w:r>
          </w:hyperlink>
        </w:p>
        <w:p w14:paraId="385251D1" w14:textId="1AB6A5B7"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1" w:history="1">
            <w:r w:rsidRPr="00CB25A7">
              <w:rPr>
                <w:rStyle w:val="Hyperlink"/>
                <w:noProof/>
              </w:rPr>
              <w:t>Audit Objectives and Control Testing</w:t>
            </w:r>
            <w:r>
              <w:rPr>
                <w:noProof/>
                <w:webHidden/>
              </w:rPr>
              <w:tab/>
            </w:r>
            <w:r>
              <w:rPr>
                <w:noProof/>
                <w:webHidden/>
              </w:rPr>
              <w:fldChar w:fldCharType="begin"/>
            </w:r>
            <w:r>
              <w:rPr>
                <w:noProof/>
                <w:webHidden/>
              </w:rPr>
              <w:instrText xml:space="preserve"> PAGEREF _Toc212473101 \h </w:instrText>
            </w:r>
            <w:r>
              <w:rPr>
                <w:noProof/>
                <w:webHidden/>
              </w:rPr>
            </w:r>
            <w:r>
              <w:rPr>
                <w:noProof/>
                <w:webHidden/>
              </w:rPr>
              <w:fldChar w:fldCharType="separate"/>
            </w:r>
            <w:r>
              <w:rPr>
                <w:noProof/>
                <w:webHidden/>
              </w:rPr>
              <w:t>19</w:t>
            </w:r>
            <w:r>
              <w:rPr>
                <w:noProof/>
                <w:webHidden/>
              </w:rPr>
              <w:fldChar w:fldCharType="end"/>
            </w:r>
          </w:hyperlink>
        </w:p>
        <w:p w14:paraId="4919831C" w14:textId="58DF60F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2"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_Toc212473102 \h </w:instrText>
            </w:r>
            <w:r>
              <w:rPr>
                <w:noProof/>
                <w:webHidden/>
              </w:rPr>
            </w:r>
            <w:r>
              <w:rPr>
                <w:noProof/>
                <w:webHidden/>
              </w:rPr>
              <w:fldChar w:fldCharType="separate"/>
            </w:r>
            <w:r>
              <w:rPr>
                <w:noProof/>
                <w:webHidden/>
              </w:rPr>
              <w:t>20</w:t>
            </w:r>
            <w:r>
              <w:rPr>
                <w:noProof/>
                <w:webHidden/>
              </w:rPr>
              <w:fldChar w:fldCharType="end"/>
            </w:r>
          </w:hyperlink>
        </w:p>
        <w:p w14:paraId="72C7AE3F" w14:textId="224DAB27"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3"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_Toc212473103 \h </w:instrText>
            </w:r>
            <w:r>
              <w:rPr>
                <w:noProof/>
                <w:webHidden/>
              </w:rPr>
            </w:r>
            <w:r>
              <w:rPr>
                <w:noProof/>
                <w:webHidden/>
              </w:rPr>
              <w:fldChar w:fldCharType="separate"/>
            </w:r>
            <w:r>
              <w:rPr>
                <w:noProof/>
                <w:webHidden/>
              </w:rPr>
              <w:t>20</w:t>
            </w:r>
            <w:r>
              <w:rPr>
                <w:noProof/>
                <w:webHidden/>
              </w:rPr>
              <w:fldChar w:fldCharType="end"/>
            </w:r>
          </w:hyperlink>
        </w:p>
        <w:p w14:paraId="7174A85C" w14:textId="0E6D7A38" w:rsidR="00D34A79" w:rsidRDefault="00D34A79">
          <w:pPr>
            <w:pStyle w:val="TOC2"/>
            <w:rPr>
              <w:rFonts w:asciiTheme="minorHAnsi" w:eastAsiaTheme="minorEastAsia" w:hAnsiTheme="minorHAnsi" w:cstheme="minorBidi"/>
              <w:bCs w:val="0"/>
              <w:kern w:val="2"/>
              <w:sz w:val="24"/>
              <w14:ligatures w14:val="standardContextual"/>
            </w:rPr>
          </w:pPr>
          <w:hyperlink w:anchor="_Toc212473104" w:history="1">
            <w:r w:rsidRPr="00CB25A7">
              <w:rPr>
                <w:rStyle w:val="Hyperlink"/>
              </w:rPr>
              <w:t>B.  ALLOWABLE COSTS/COST PRINCIPLES</w:t>
            </w:r>
            <w:r>
              <w:rPr>
                <w:webHidden/>
              </w:rPr>
              <w:tab/>
            </w:r>
            <w:r>
              <w:rPr>
                <w:webHidden/>
              </w:rPr>
              <w:fldChar w:fldCharType="begin"/>
            </w:r>
            <w:r>
              <w:rPr>
                <w:webHidden/>
              </w:rPr>
              <w:instrText xml:space="preserve"> PAGEREF _Toc212473104 \h </w:instrText>
            </w:r>
            <w:r>
              <w:rPr>
                <w:webHidden/>
              </w:rPr>
            </w:r>
            <w:r>
              <w:rPr>
                <w:webHidden/>
              </w:rPr>
              <w:fldChar w:fldCharType="separate"/>
            </w:r>
            <w:r>
              <w:rPr>
                <w:webHidden/>
              </w:rPr>
              <w:t>22</w:t>
            </w:r>
            <w:r>
              <w:rPr>
                <w:webHidden/>
              </w:rPr>
              <w:fldChar w:fldCharType="end"/>
            </w:r>
          </w:hyperlink>
        </w:p>
        <w:p w14:paraId="236BCCD5" w14:textId="3F8E773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5" w:history="1">
            <w:r w:rsidRPr="00CB25A7">
              <w:rPr>
                <w:rStyle w:val="Hyperlink"/>
                <w:rFonts w:cs="Arial"/>
                <w:noProof/>
              </w:rPr>
              <w:t>Applicability of Cost Principles</w:t>
            </w:r>
            <w:r>
              <w:rPr>
                <w:noProof/>
                <w:webHidden/>
              </w:rPr>
              <w:tab/>
            </w:r>
            <w:r>
              <w:rPr>
                <w:noProof/>
                <w:webHidden/>
              </w:rPr>
              <w:fldChar w:fldCharType="begin"/>
            </w:r>
            <w:r>
              <w:rPr>
                <w:noProof/>
                <w:webHidden/>
              </w:rPr>
              <w:instrText xml:space="preserve"> PAGEREF _Toc212473105 \h </w:instrText>
            </w:r>
            <w:r>
              <w:rPr>
                <w:noProof/>
                <w:webHidden/>
              </w:rPr>
            </w:r>
            <w:r>
              <w:rPr>
                <w:noProof/>
                <w:webHidden/>
              </w:rPr>
              <w:fldChar w:fldCharType="separate"/>
            </w:r>
            <w:r>
              <w:rPr>
                <w:noProof/>
                <w:webHidden/>
              </w:rPr>
              <w:t>23</w:t>
            </w:r>
            <w:r>
              <w:rPr>
                <w:noProof/>
                <w:webHidden/>
              </w:rPr>
              <w:fldChar w:fldCharType="end"/>
            </w:r>
          </w:hyperlink>
        </w:p>
        <w:p w14:paraId="799DC125" w14:textId="12AB4FB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6"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_Toc212473106 \h </w:instrText>
            </w:r>
            <w:r>
              <w:rPr>
                <w:noProof/>
                <w:webHidden/>
              </w:rPr>
            </w:r>
            <w:r>
              <w:rPr>
                <w:noProof/>
                <w:webHidden/>
              </w:rPr>
              <w:fldChar w:fldCharType="separate"/>
            </w:r>
            <w:r>
              <w:rPr>
                <w:noProof/>
                <w:webHidden/>
              </w:rPr>
              <w:t>27</w:t>
            </w:r>
            <w:r>
              <w:rPr>
                <w:noProof/>
                <w:webHidden/>
              </w:rPr>
              <w:fldChar w:fldCharType="end"/>
            </w:r>
          </w:hyperlink>
        </w:p>
        <w:p w14:paraId="3407AA5E" w14:textId="145D6A6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7" w:history="1">
            <w:r w:rsidRPr="00CB25A7">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_Toc212473107 \h </w:instrText>
            </w:r>
            <w:r>
              <w:rPr>
                <w:noProof/>
                <w:webHidden/>
              </w:rPr>
            </w:r>
            <w:r>
              <w:rPr>
                <w:noProof/>
                <w:webHidden/>
              </w:rPr>
              <w:fldChar w:fldCharType="separate"/>
            </w:r>
            <w:r>
              <w:rPr>
                <w:noProof/>
                <w:webHidden/>
              </w:rPr>
              <w:t>27</w:t>
            </w:r>
            <w:r>
              <w:rPr>
                <w:noProof/>
                <w:webHidden/>
              </w:rPr>
              <w:fldChar w:fldCharType="end"/>
            </w:r>
          </w:hyperlink>
        </w:p>
        <w:p w14:paraId="251FB0CA" w14:textId="37E36E8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8"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_Toc212473108 \h </w:instrText>
            </w:r>
            <w:r>
              <w:rPr>
                <w:noProof/>
                <w:webHidden/>
              </w:rPr>
            </w:r>
            <w:r>
              <w:rPr>
                <w:noProof/>
                <w:webHidden/>
              </w:rPr>
              <w:fldChar w:fldCharType="separate"/>
            </w:r>
            <w:r>
              <w:rPr>
                <w:noProof/>
                <w:webHidden/>
              </w:rPr>
              <w:t>27</w:t>
            </w:r>
            <w:r>
              <w:rPr>
                <w:noProof/>
                <w:webHidden/>
              </w:rPr>
              <w:fldChar w:fldCharType="end"/>
            </w:r>
          </w:hyperlink>
        </w:p>
        <w:p w14:paraId="4BCE0AA7" w14:textId="61D791C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09"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_Toc212473109 \h </w:instrText>
            </w:r>
            <w:r>
              <w:rPr>
                <w:noProof/>
                <w:webHidden/>
              </w:rPr>
            </w:r>
            <w:r>
              <w:rPr>
                <w:noProof/>
                <w:webHidden/>
              </w:rPr>
              <w:fldChar w:fldCharType="separate"/>
            </w:r>
            <w:r>
              <w:rPr>
                <w:noProof/>
                <w:webHidden/>
              </w:rPr>
              <w:t>35</w:t>
            </w:r>
            <w:r>
              <w:rPr>
                <w:noProof/>
                <w:webHidden/>
              </w:rPr>
              <w:fldChar w:fldCharType="end"/>
            </w:r>
          </w:hyperlink>
        </w:p>
        <w:p w14:paraId="3A7B7745" w14:textId="06F54067" w:rsidR="00D34A79" w:rsidRDefault="00D34A79">
          <w:pPr>
            <w:pStyle w:val="TOC2"/>
            <w:rPr>
              <w:rFonts w:asciiTheme="minorHAnsi" w:eastAsiaTheme="minorEastAsia" w:hAnsiTheme="minorHAnsi" w:cstheme="minorBidi"/>
              <w:bCs w:val="0"/>
              <w:kern w:val="2"/>
              <w:sz w:val="24"/>
              <w14:ligatures w14:val="standardContextual"/>
            </w:rPr>
          </w:pPr>
          <w:hyperlink w:anchor="_Toc212473110" w:history="1">
            <w:r w:rsidRPr="00CB25A7">
              <w:rPr>
                <w:rStyle w:val="Hyperlink"/>
              </w:rPr>
              <w:t>E.  ELIGIBILITY</w:t>
            </w:r>
            <w:r>
              <w:rPr>
                <w:webHidden/>
              </w:rPr>
              <w:tab/>
            </w:r>
            <w:r>
              <w:rPr>
                <w:webHidden/>
              </w:rPr>
              <w:fldChar w:fldCharType="begin"/>
            </w:r>
            <w:r>
              <w:rPr>
                <w:webHidden/>
              </w:rPr>
              <w:instrText xml:space="preserve"> PAGEREF _Toc212473110 \h </w:instrText>
            </w:r>
            <w:r>
              <w:rPr>
                <w:webHidden/>
              </w:rPr>
            </w:r>
            <w:r>
              <w:rPr>
                <w:webHidden/>
              </w:rPr>
              <w:fldChar w:fldCharType="separate"/>
            </w:r>
            <w:r>
              <w:rPr>
                <w:webHidden/>
              </w:rPr>
              <w:t>37</w:t>
            </w:r>
            <w:r>
              <w:rPr>
                <w:webHidden/>
              </w:rPr>
              <w:fldChar w:fldCharType="end"/>
            </w:r>
          </w:hyperlink>
        </w:p>
        <w:p w14:paraId="2D9B5A4C" w14:textId="663D542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1"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_Toc212473111 \h </w:instrText>
            </w:r>
            <w:r>
              <w:rPr>
                <w:noProof/>
                <w:webHidden/>
              </w:rPr>
            </w:r>
            <w:r>
              <w:rPr>
                <w:noProof/>
                <w:webHidden/>
              </w:rPr>
              <w:fldChar w:fldCharType="separate"/>
            </w:r>
            <w:r>
              <w:rPr>
                <w:noProof/>
                <w:webHidden/>
              </w:rPr>
              <w:t>37</w:t>
            </w:r>
            <w:r>
              <w:rPr>
                <w:noProof/>
                <w:webHidden/>
              </w:rPr>
              <w:fldChar w:fldCharType="end"/>
            </w:r>
          </w:hyperlink>
        </w:p>
        <w:p w14:paraId="3BE3F358" w14:textId="610CAD9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2"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_Toc212473112 \h </w:instrText>
            </w:r>
            <w:r>
              <w:rPr>
                <w:noProof/>
                <w:webHidden/>
              </w:rPr>
            </w:r>
            <w:r>
              <w:rPr>
                <w:noProof/>
                <w:webHidden/>
              </w:rPr>
              <w:fldChar w:fldCharType="separate"/>
            </w:r>
            <w:r>
              <w:rPr>
                <w:noProof/>
                <w:webHidden/>
              </w:rPr>
              <w:t>38</w:t>
            </w:r>
            <w:r>
              <w:rPr>
                <w:noProof/>
                <w:webHidden/>
              </w:rPr>
              <w:fldChar w:fldCharType="end"/>
            </w:r>
          </w:hyperlink>
        </w:p>
        <w:p w14:paraId="32FB59BA" w14:textId="46BAA3D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3"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_Toc212473113 \h </w:instrText>
            </w:r>
            <w:r>
              <w:rPr>
                <w:noProof/>
                <w:webHidden/>
              </w:rPr>
            </w:r>
            <w:r>
              <w:rPr>
                <w:noProof/>
                <w:webHidden/>
              </w:rPr>
              <w:fldChar w:fldCharType="separate"/>
            </w:r>
            <w:r>
              <w:rPr>
                <w:noProof/>
                <w:webHidden/>
              </w:rPr>
              <w:t>38</w:t>
            </w:r>
            <w:r>
              <w:rPr>
                <w:noProof/>
                <w:webHidden/>
              </w:rPr>
              <w:fldChar w:fldCharType="end"/>
            </w:r>
          </w:hyperlink>
        </w:p>
        <w:p w14:paraId="6FADF77B" w14:textId="28BB5F0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4"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_Toc212473114 \h </w:instrText>
            </w:r>
            <w:r>
              <w:rPr>
                <w:noProof/>
                <w:webHidden/>
              </w:rPr>
            </w:r>
            <w:r>
              <w:rPr>
                <w:noProof/>
                <w:webHidden/>
              </w:rPr>
              <w:fldChar w:fldCharType="separate"/>
            </w:r>
            <w:r>
              <w:rPr>
                <w:noProof/>
                <w:webHidden/>
              </w:rPr>
              <w:t>39</w:t>
            </w:r>
            <w:r>
              <w:rPr>
                <w:noProof/>
                <w:webHidden/>
              </w:rPr>
              <w:fldChar w:fldCharType="end"/>
            </w:r>
          </w:hyperlink>
        </w:p>
        <w:p w14:paraId="7FFC0B63" w14:textId="37F5DC6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5"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_Toc212473115 \h </w:instrText>
            </w:r>
            <w:r>
              <w:rPr>
                <w:noProof/>
                <w:webHidden/>
              </w:rPr>
            </w:r>
            <w:r>
              <w:rPr>
                <w:noProof/>
                <w:webHidden/>
              </w:rPr>
              <w:fldChar w:fldCharType="separate"/>
            </w:r>
            <w:r>
              <w:rPr>
                <w:noProof/>
                <w:webHidden/>
              </w:rPr>
              <w:t>41</w:t>
            </w:r>
            <w:r>
              <w:rPr>
                <w:noProof/>
                <w:webHidden/>
              </w:rPr>
              <w:fldChar w:fldCharType="end"/>
            </w:r>
          </w:hyperlink>
        </w:p>
        <w:p w14:paraId="034DCFC7" w14:textId="585CAE9F" w:rsidR="00D34A79" w:rsidRDefault="00D34A79">
          <w:pPr>
            <w:pStyle w:val="TOC2"/>
            <w:rPr>
              <w:rFonts w:asciiTheme="minorHAnsi" w:eastAsiaTheme="minorEastAsia" w:hAnsiTheme="minorHAnsi" w:cstheme="minorBidi"/>
              <w:bCs w:val="0"/>
              <w:kern w:val="2"/>
              <w:sz w:val="24"/>
              <w14:ligatures w14:val="standardContextual"/>
            </w:rPr>
          </w:pPr>
          <w:hyperlink w:anchor="_Toc212473116" w:history="1">
            <w:r w:rsidRPr="00CB25A7">
              <w:rPr>
                <w:rStyle w:val="Hyperlink"/>
              </w:rPr>
              <w:t>I.  PROCUREMENT AND SUSPENSION AND DEBARMENT</w:t>
            </w:r>
            <w:r>
              <w:rPr>
                <w:webHidden/>
              </w:rPr>
              <w:tab/>
            </w:r>
            <w:r>
              <w:rPr>
                <w:webHidden/>
              </w:rPr>
              <w:fldChar w:fldCharType="begin"/>
            </w:r>
            <w:r>
              <w:rPr>
                <w:webHidden/>
              </w:rPr>
              <w:instrText xml:space="preserve"> PAGEREF _Toc212473116 \h </w:instrText>
            </w:r>
            <w:r>
              <w:rPr>
                <w:webHidden/>
              </w:rPr>
            </w:r>
            <w:r>
              <w:rPr>
                <w:webHidden/>
              </w:rPr>
              <w:fldChar w:fldCharType="separate"/>
            </w:r>
            <w:r>
              <w:rPr>
                <w:webHidden/>
              </w:rPr>
              <w:t>43</w:t>
            </w:r>
            <w:r>
              <w:rPr>
                <w:webHidden/>
              </w:rPr>
              <w:fldChar w:fldCharType="end"/>
            </w:r>
          </w:hyperlink>
        </w:p>
        <w:p w14:paraId="5B28ADAE" w14:textId="08F4D5E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7" w:history="1">
            <w:r w:rsidRPr="00CB25A7">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_Toc212473117 \h </w:instrText>
            </w:r>
            <w:r>
              <w:rPr>
                <w:noProof/>
                <w:webHidden/>
              </w:rPr>
            </w:r>
            <w:r>
              <w:rPr>
                <w:noProof/>
                <w:webHidden/>
              </w:rPr>
              <w:fldChar w:fldCharType="separate"/>
            </w:r>
            <w:r>
              <w:rPr>
                <w:noProof/>
                <w:webHidden/>
              </w:rPr>
              <w:t>43</w:t>
            </w:r>
            <w:r>
              <w:rPr>
                <w:noProof/>
                <w:webHidden/>
              </w:rPr>
              <w:fldChar w:fldCharType="end"/>
            </w:r>
          </w:hyperlink>
        </w:p>
        <w:p w14:paraId="429BC262" w14:textId="2CA507E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8" w:history="1">
            <w:r w:rsidRPr="00CB25A7">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_Toc212473118 \h </w:instrText>
            </w:r>
            <w:r>
              <w:rPr>
                <w:noProof/>
                <w:webHidden/>
              </w:rPr>
            </w:r>
            <w:r>
              <w:rPr>
                <w:noProof/>
                <w:webHidden/>
              </w:rPr>
              <w:fldChar w:fldCharType="separate"/>
            </w:r>
            <w:r>
              <w:rPr>
                <w:noProof/>
                <w:webHidden/>
              </w:rPr>
              <w:t>45</w:t>
            </w:r>
            <w:r>
              <w:rPr>
                <w:noProof/>
                <w:webHidden/>
              </w:rPr>
              <w:fldChar w:fldCharType="end"/>
            </w:r>
          </w:hyperlink>
        </w:p>
        <w:p w14:paraId="6C7CEFBB" w14:textId="1644FA1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19"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_Toc212473119 \h </w:instrText>
            </w:r>
            <w:r>
              <w:rPr>
                <w:noProof/>
                <w:webHidden/>
              </w:rPr>
            </w:r>
            <w:r>
              <w:rPr>
                <w:noProof/>
                <w:webHidden/>
              </w:rPr>
              <w:fldChar w:fldCharType="separate"/>
            </w:r>
            <w:r>
              <w:rPr>
                <w:noProof/>
                <w:webHidden/>
              </w:rPr>
              <w:t>46</w:t>
            </w:r>
            <w:r>
              <w:rPr>
                <w:noProof/>
                <w:webHidden/>
              </w:rPr>
              <w:fldChar w:fldCharType="end"/>
            </w:r>
          </w:hyperlink>
        </w:p>
        <w:p w14:paraId="1005D9BD" w14:textId="6F9A04D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0"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_Toc212473120 \h </w:instrText>
            </w:r>
            <w:r>
              <w:rPr>
                <w:noProof/>
                <w:webHidden/>
              </w:rPr>
            </w:r>
            <w:r>
              <w:rPr>
                <w:noProof/>
                <w:webHidden/>
              </w:rPr>
              <w:fldChar w:fldCharType="separate"/>
            </w:r>
            <w:r>
              <w:rPr>
                <w:noProof/>
                <w:webHidden/>
              </w:rPr>
              <w:t>46</w:t>
            </w:r>
            <w:r>
              <w:rPr>
                <w:noProof/>
                <w:webHidden/>
              </w:rPr>
              <w:fldChar w:fldCharType="end"/>
            </w:r>
          </w:hyperlink>
        </w:p>
        <w:p w14:paraId="4B7EE46D" w14:textId="0F30894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1"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_Toc212473121 \h </w:instrText>
            </w:r>
            <w:r>
              <w:rPr>
                <w:noProof/>
                <w:webHidden/>
              </w:rPr>
            </w:r>
            <w:r>
              <w:rPr>
                <w:noProof/>
                <w:webHidden/>
              </w:rPr>
              <w:fldChar w:fldCharType="separate"/>
            </w:r>
            <w:r>
              <w:rPr>
                <w:noProof/>
                <w:webHidden/>
              </w:rPr>
              <w:t>48</w:t>
            </w:r>
            <w:r>
              <w:rPr>
                <w:noProof/>
                <w:webHidden/>
              </w:rPr>
              <w:fldChar w:fldCharType="end"/>
            </w:r>
          </w:hyperlink>
        </w:p>
        <w:p w14:paraId="5E0E0F59" w14:textId="4781C55B"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2"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_Toc212473122 \h </w:instrText>
            </w:r>
            <w:r>
              <w:rPr>
                <w:noProof/>
                <w:webHidden/>
              </w:rPr>
            </w:r>
            <w:r>
              <w:rPr>
                <w:noProof/>
                <w:webHidden/>
              </w:rPr>
              <w:fldChar w:fldCharType="separate"/>
            </w:r>
            <w:r>
              <w:rPr>
                <w:noProof/>
                <w:webHidden/>
              </w:rPr>
              <w:t>50</w:t>
            </w:r>
            <w:r>
              <w:rPr>
                <w:noProof/>
                <w:webHidden/>
              </w:rPr>
              <w:fldChar w:fldCharType="end"/>
            </w:r>
          </w:hyperlink>
        </w:p>
        <w:p w14:paraId="5C6FBCCC" w14:textId="51FAF1AC" w:rsidR="00D34A79" w:rsidRDefault="00D34A79">
          <w:pPr>
            <w:pStyle w:val="TOC2"/>
            <w:rPr>
              <w:rFonts w:asciiTheme="minorHAnsi" w:eastAsiaTheme="minorEastAsia" w:hAnsiTheme="minorHAnsi" w:cstheme="minorBidi"/>
              <w:bCs w:val="0"/>
              <w:kern w:val="2"/>
              <w:sz w:val="24"/>
              <w14:ligatures w14:val="standardContextual"/>
            </w:rPr>
          </w:pPr>
          <w:hyperlink w:anchor="_Toc212473123" w:history="1">
            <w:r w:rsidRPr="00CB25A7">
              <w:rPr>
                <w:rStyle w:val="Hyperlink"/>
              </w:rPr>
              <w:t>N1.  SPECIAL TESTS AND PROVISIONS – WAGE RATE REQUIREMENTS</w:t>
            </w:r>
            <w:r>
              <w:rPr>
                <w:webHidden/>
              </w:rPr>
              <w:tab/>
            </w:r>
            <w:r>
              <w:rPr>
                <w:webHidden/>
              </w:rPr>
              <w:fldChar w:fldCharType="begin"/>
            </w:r>
            <w:r>
              <w:rPr>
                <w:webHidden/>
              </w:rPr>
              <w:instrText xml:space="preserve"> PAGEREF _Toc212473123 \h </w:instrText>
            </w:r>
            <w:r>
              <w:rPr>
                <w:webHidden/>
              </w:rPr>
            </w:r>
            <w:r>
              <w:rPr>
                <w:webHidden/>
              </w:rPr>
              <w:fldChar w:fldCharType="separate"/>
            </w:r>
            <w:r>
              <w:rPr>
                <w:webHidden/>
              </w:rPr>
              <w:t>51</w:t>
            </w:r>
            <w:r>
              <w:rPr>
                <w:webHidden/>
              </w:rPr>
              <w:fldChar w:fldCharType="end"/>
            </w:r>
          </w:hyperlink>
        </w:p>
        <w:p w14:paraId="45AAB46D" w14:textId="26344B0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4"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_Toc212473124 \h </w:instrText>
            </w:r>
            <w:r>
              <w:rPr>
                <w:noProof/>
                <w:webHidden/>
              </w:rPr>
            </w:r>
            <w:r>
              <w:rPr>
                <w:noProof/>
                <w:webHidden/>
              </w:rPr>
              <w:fldChar w:fldCharType="separate"/>
            </w:r>
            <w:r>
              <w:rPr>
                <w:noProof/>
                <w:webHidden/>
              </w:rPr>
              <w:t>51</w:t>
            </w:r>
            <w:r>
              <w:rPr>
                <w:noProof/>
                <w:webHidden/>
              </w:rPr>
              <w:fldChar w:fldCharType="end"/>
            </w:r>
          </w:hyperlink>
        </w:p>
        <w:p w14:paraId="40D89D07" w14:textId="2ACC2EF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5"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_Toc212473125 \h </w:instrText>
            </w:r>
            <w:r>
              <w:rPr>
                <w:noProof/>
                <w:webHidden/>
              </w:rPr>
            </w:r>
            <w:r>
              <w:rPr>
                <w:noProof/>
                <w:webHidden/>
              </w:rPr>
              <w:fldChar w:fldCharType="separate"/>
            </w:r>
            <w:r>
              <w:rPr>
                <w:noProof/>
                <w:webHidden/>
              </w:rPr>
              <w:t>52</w:t>
            </w:r>
            <w:r>
              <w:rPr>
                <w:noProof/>
                <w:webHidden/>
              </w:rPr>
              <w:fldChar w:fldCharType="end"/>
            </w:r>
          </w:hyperlink>
        </w:p>
        <w:p w14:paraId="510CF0CE" w14:textId="0452C16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6"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_Toc212473126 \h </w:instrText>
            </w:r>
            <w:r>
              <w:rPr>
                <w:noProof/>
                <w:webHidden/>
              </w:rPr>
            </w:r>
            <w:r>
              <w:rPr>
                <w:noProof/>
                <w:webHidden/>
              </w:rPr>
              <w:fldChar w:fldCharType="separate"/>
            </w:r>
            <w:r>
              <w:rPr>
                <w:noProof/>
                <w:webHidden/>
              </w:rPr>
              <w:t>52</w:t>
            </w:r>
            <w:r>
              <w:rPr>
                <w:noProof/>
                <w:webHidden/>
              </w:rPr>
              <w:fldChar w:fldCharType="end"/>
            </w:r>
          </w:hyperlink>
        </w:p>
        <w:p w14:paraId="787EF1D0" w14:textId="4CB6EAD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7"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_Toc212473127 \h </w:instrText>
            </w:r>
            <w:r>
              <w:rPr>
                <w:noProof/>
                <w:webHidden/>
              </w:rPr>
            </w:r>
            <w:r>
              <w:rPr>
                <w:noProof/>
                <w:webHidden/>
              </w:rPr>
              <w:fldChar w:fldCharType="separate"/>
            </w:r>
            <w:r>
              <w:rPr>
                <w:noProof/>
                <w:webHidden/>
              </w:rPr>
              <w:t>53</w:t>
            </w:r>
            <w:r>
              <w:rPr>
                <w:noProof/>
                <w:webHidden/>
              </w:rPr>
              <w:fldChar w:fldCharType="end"/>
            </w:r>
          </w:hyperlink>
        </w:p>
        <w:p w14:paraId="390FB6BE" w14:textId="7D71EFF1"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28"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_Toc212473128 \h </w:instrText>
            </w:r>
            <w:r>
              <w:rPr>
                <w:noProof/>
                <w:webHidden/>
              </w:rPr>
            </w:r>
            <w:r>
              <w:rPr>
                <w:noProof/>
                <w:webHidden/>
              </w:rPr>
              <w:fldChar w:fldCharType="separate"/>
            </w:r>
            <w:r>
              <w:rPr>
                <w:noProof/>
                <w:webHidden/>
              </w:rPr>
              <w:t>53</w:t>
            </w:r>
            <w:r>
              <w:rPr>
                <w:noProof/>
                <w:webHidden/>
              </w:rPr>
              <w:fldChar w:fldCharType="end"/>
            </w:r>
          </w:hyperlink>
        </w:p>
        <w:p w14:paraId="2AE26C5E" w14:textId="321D3A89" w:rsidR="00D34A79" w:rsidRDefault="00D34A79">
          <w:pPr>
            <w:pStyle w:val="TOC2"/>
            <w:rPr>
              <w:rFonts w:asciiTheme="minorHAnsi" w:eastAsiaTheme="minorEastAsia" w:hAnsiTheme="minorHAnsi" w:cstheme="minorBidi"/>
              <w:bCs w:val="0"/>
              <w:kern w:val="2"/>
              <w:sz w:val="24"/>
              <w14:ligatures w14:val="standardContextual"/>
            </w:rPr>
          </w:pPr>
          <w:hyperlink w:anchor="_Toc212473129" w:history="1">
            <w:r w:rsidRPr="00CB25A7">
              <w:rPr>
                <w:rStyle w:val="Hyperlink"/>
              </w:rPr>
              <w:t>N2.  SPECIAL TESTS AND PROVISIONS – PUBLIC HOUSING WAITING LIST</w:t>
            </w:r>
            <w:r>
              <w:rPr>
                <w:webHidden/>
              </w:rPr>
              <w:tab/>
            </w:r>
            <w:r>
              <w:rPr>
                <w:webHidden/>
              </w:rPr>
              <w:fldChar w:fldCharType="begin"/>
            </w:r>
            <w:r>
              <w:rPr>
                <w:webHidden/>
              </w:rPr>
              <w:instrText xml:space="preserve"> PAGEREF _Toc212473129 \h </w:instrText>
            </w:r>
            <w:r>
              <w:rPr>
                <w:webHidden/>
              </w:rPr>
            </w:r>
            <w:r>
              <w:rPr>
                <w:webHidden/>
              </w:rPr>
              <w:fldChar w:fldCharType="separate"/>
            </w:r>
            <w:r>
              <w:rPr>
                <w:webHidden/>
              </w:rPr>
              <w:t>55</w:t>
            </w:r>
            <w:r>
              <w:rPr>
                <w:webHidden/>
              </w:rPr>
              <w:fldChar w:fldCharType="end"/>
            </w:r>
          </w:hyperlink>
        </w:p>
        <w:p w14:paraId="4B6427B7" w14:textId="1BB16D6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0"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_Toc212473130 \h </w:instrText>
            </w:r>
            <w:r>
              <w:rPr>
                <w:noProof/>
                <w:webHidden/>
              </w:rPr>
            </w:r>
            <w:r>
              <w:rPr>
                <w:noProof/>
                <w:webHidden/>
              </w:rPr>
              <w:fldChar w:fldCharType="separate"/>
            </w:r>
            <w:r>
              <w:rPr>
                <w:noProof/>
                <w:webHidden/>
              </w:rPr>
              <w:t>55</w:t>
            </w:r>
            <w:r>
              <w:rPr>
                <w:noProof/>
                <w:webHidden/>
              </w:rPr>
              <w:fldChar w:fldCharType="end"/>
            </w:r>
          </w:hyperlink>
        </w:p>
        <w:p w14:paraId="5C5481F4" w14:textId="22A7CE3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1"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_Toc212473131 \h </w:instrText>
            </w:r>
            <w:r>
              <w:rPr>
                <w:noProof/>
                <w:webHidden/>
              </w:rPr>
            </w:r>
            <w:r>
              <w:rPr>
                <w:noProof/>
                <w:webHidden/>
              </w:rPr>
              <w:fldChar w:fldCharType="separate"/>
            </w:r>
            <w:r>
              <w:rPr>
                <w:noProof/>
                <w:webHidden/>
              </w:rPr>
              <w:t>55</w:t>
            </w:r>
            <w:r>
              <w:rPr>
                <w:noProof/>
                <w:webHidden/>
              </w:rPr>
              <w:fldChar w:fldCharType="end"/>
            </w:r>
          </w:hyperlink>
        </w:p>
        <w:p w14:paraId="310A4BC0" w14:textId="630A156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2"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_Toc212473132 \h </w:instrText>
            </w:r>
            <w:r>
              <w:rPr>
                <w:noProof/>
                <w:webHidden/>
              </w:rPr>
            </w:r>
            <w:r>
              <w:rPr>
                <w:noProof/>
                <w:webHidden/>
              </w:rPr>
              <w:fldChar w:fldCharType="separate"/>
            </w:r>
            <w:r>
              <w:rPr>
                <w:noProof/>
                <w:webHidden/>
              </w:rPr>
              <w:t>55</w:t>
            </w:r>
            <w:r>
              <w:rPr>
                <w:noProof/>
                <w:webHidden/>
              </w:rPr>
              <w:fldChar w:fldCharType="end"/>
            </w:r>
          </w:hyperlink>
        </w:p>
        <w:p w14:paraId="7308E3FB" w14:textId="2ED8984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3"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_Toc212473133 \h </w:instrText>
            </w:r>
            <w:r>
              <w:rPr>
                <w:noProof/>
                <w:webHidden/>
              </w:rPr>
            </w:r>
            <w:r>
              <w:rPr>
                <w:noProof/>
                <w:webHidden/>
              </w:rPr>
              <w:fldChar w:fldCharType="separate"/>
            </w:r>
            <w:r>
              <w:rPr>
                <w:noProof/>
                <w:webHidden/>
              </w:rPr>
              <w:t>56</w:t>
            </w:r>
            <w:r>
              <w:rPr>
                <w:noProof/>
                <w:webHidden/>
              </w:rPr>
              <w:fldChar w:fldCharType="end"/>
            </w:r>
          </w:hyperlink>
        </w:p>
        <w:p w14:paraId="371F0F37" w14:textId="2A57885B"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4"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_Toc212473134 \h </w:instrText>
            </w:r>
            <w:r>
              <w:rPr>
                <w:noProof/>
                <w:webHidden/>
              </w:rPr>
            </w:r>
            <w:r>
              <w:rPr>
                <w:noProof/>
                <w:webHidden/>
              </w:rPr>
              <w:fldChar w:fldCharType="separate"/>
            </w:r>
            <w:r>
              <w:rPr>
                <w:noProof/>
                <w:webHidden/>
              </w:rPr>
              <w:t>57</w:t>
            </w:r>
            <w:r>
              <w:rPr>
                <w:noProof/>
                <w:webHidden/>
              </w:rPr>
              <w:fldChar w:fldCharType="end"/>
            </w:r>
          </w:hyperlink>
        </w:p>
        <w:p w14:paraId="3D9794B6" w14:textId="36FF2CBF" w:rsidR="00D34A79" w:rsidRDefault="00D34A79">
          <w:pPr>
            <w:pStyle w:val="TOC2"/>
            <w:rPr>
              <w:rFonts w:asciiTheme="minorHAnsi" w:eastAsiaTheme="minorEastAsia" w:hAnsiTheme="minorHAnsi" w:cstheme="minorBidi"/>
              <w:bCs w:val="0"/>
              <w:kern w:val="2"/>
              <w:sz w:val="24"/>
              <w14:ligatures w14:val="standardContextual"/>
            </w:rPr>
          </w:pPr>
          <w:hyperlink w:anchor="_Toc212473135" w:history="1">
            <w:r w:rsidRPr="00CB25A7">
              <w:rPr>
                <w:rStyle w:val="Hyperlink"/>
              </w:rPr>
              <w:t>N3.  SPECIAL TESTS AND PROVISIONS – TENANT PARTICIPATION FUNDS</w:t>
            </w:r>
            <w:r>
              <w:rPr>
                <w:webHidden/>
              </w:rPr>
              <w:tab/>
            </w:r>
            <w:r>
              <w:rPr>
                <w:webHidden/>
              </w:rPr>
              <w:fldChar w:fldCharType="begin"/>
            </w:r>
            <w:r>
              <w:rPr>
                <w:webHidden/>
              </w:rPr>
              <w:instrText xml:space="preserve"> PAGEREF _Toc212473135 \h </w:instrText>
            </w:r>
            <w:r>
              <w:rPr>
                <w:webHidden/>
              </w:rPr>
            </w:r>
            <w:r>
              <w:rPr>
                <w:webHidden/>
              </w:rPr>
              <w:fldChar w:fldCharType="separate"/>
            </w:r>
            <w:r>
              <w:rPr>
                <w:webHidden/>
              </w:rPr>
              <w:t>58</w:t>
            </w:r>
            <w:r>
              <w:rPr>
                <w:webHidden/>
              </w:rPr>
              <w:fldChar w:fldCharType="end"/>
            </w:r>
          </w:hyperlink>
        </w:p>
        <w:p w14:paraId="7B30DAE3" w14:textId="06458B81"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6"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_Toc212473136 \h </w:instrText>
            </w:r>
            <w:r>
              <w:rPr>
                <w:noProof/>
                <w:webHidden/>
              </w:rPr>
            </w:r>
            <w:r>
              <w:rPr>
                <w:noProof/>
                <w:webHidden/>
              </w:rPr>
              <w:fldChar w:fldCharType="separate"/>
            </w:r>
            <w:r>
              <w:rPr>
                <w:noProof/>
                <w:webHidden/>
              </w:rPr>
              <w:t>58</w:t>
            </w:r>
            <w:r>
              <w:rPr>
                <w:noProof/>
                <w:webHidden/>
              </w:rPr>
              <w:fldChar w:fldCharType="end"/>
            </w:r>
          </w:hyperlink>
        </w:p>
        <w:p w14:paraId="1C4A2F54" w14:textId="32A9C94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7"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_Toc212473137 \h </w:instrText>
            </w:r>
            <w:r>
              <w:rPr>
                <w:noProof/>
                <w:webHidden/>
              </w:rPr>
            </w:r>
            <w:r>
              <w:rPr>
                <w:noProof/>
                <w:webHidden/>
              </w:rPr>
              <w:fldChar w:fldCharType="separate"/>
            </w:r>
            <w:r>
              <w:rPr>
                <w:noProof/>
                <w:webHidden/>
              </w:rPr>
              <w:t>58</w:t>
            </w:r>
            <w:r>
              <w:rPr>
                <w:noProof/>
                <w:webHidden/>
              </w:rPr>
              <w:fldChar w:fldCharType="end"/>
            </w:r>
          </w:hyperlink>
        </w:p>
        <w:p w14:paraId="65065C8A" w14:textId="348005B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8"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_Toc212473138 \h </w:instrText>
            </w:r>
            <w:r>
              <w:rPr>
                <w:noProof/>
                <w:webHidden/>
              </w:rPr>
            </w:r>
            <w:r>
              <w:rPr>
                <w:noProof/>
                <w:webHidden/>
              </w:rPr>
              <w:fldChar w:fldCharType="separate"/>
            </w:r>
            <w:r>
              <w:rPr>
                <w:noProof/>
                <w:webHidden/>
              </w:rPr>
              <w:t>59</w:t>
            </w:r>
            <w:r>
              <w:rPr>
                <w:noProof/>
                <w:webHidden/>
              </w:rPr>
              <w:fldChar w:fldCharType="end"/>
            </w:r>
          </w:hyperlink>
        </w:p>
        <w:p w14:paraId="40190EB9" w14:textId="707AAF9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39"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_Toc212473139 \h </w:instrText>
            </w:r>
            <w:r>
              <w:rPr>
                <w:noProof/>
                <w:webHidden/>
              </w:rPr>
            </w:r>
            <w:r>
              <w:rPr>
                <w:noProof/>
                <w:webHidden/>
              </w:rPr>
              <w:fldChar w:fldCharType="separate"/>
            </w:r>
            <w:r>
              <w:rPr>
                <w:noProof/>
                <w:webHidden/>
              </w:rPr>
              <w:t>59</w:t>
            </w:r>
            <w:r>
              <w:rPr>
                <w:noProof/>
                <w:webHidden/>
              </w:rPr>
              <w:fldChar w:fldCharType="end"/>
            </w:r>
          </w:hyperlink>
        </w:p>
        <w:p w14:paraId="1C569AF6" w14:textId="305F6F6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0"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_Toc212473140 \h </w:instrText>
            </w:r>
            <w:r>
              <w:rPr>
                <w:noProof/>
                <w:webHidden/>
              </w:rPr>
            </w:r>
            <w:r>
              <w:rPr>
                <w:noProof/>
                <w:webHidden/>
              </w:rPr>
              <w:fldChar w:fldCharType="separate"/>
            </w:r>
            <w:r>
              <w:rPr>
                <w:noProof/>
                <w:webHidden/>
              </w:rPr>
              <w:t>60</w:t>
            </w:r>
            <w:r>
              <w:rPr>
                <w:noProof/>
                <w:webHidden/>
              </w:rPr>
              <w:fldChar w:fldCharType="end"/>
            </w:r>
          </w:hyperlink>
        </w:p>
        <w:p w14:paraId="41839B58" w14:textId="59C3668A" w:rsidR="00D34A79" w:rsidRDefault="00D34A79">
          <w:pPr>
            <w:pStyle w:val="TOC2"/>
            <w:rPr>
              <w:rFonts w:asciiTheme="minorHAnsi" w:eastAsiaTheme="minorEastAsia" w:hAnsiTheme="minorHAnsi" w:cstheme="minorBidi"/>
              <w:bCs w:val="0"/>
              <w:kern w:val="2"/>
              <w:sz w:val="24"/>
              <w14:ligatures w14:val="standardContextual"/>
            </w:rPr>
          </w:pPr>
          <w:hyperlink w:anchor="_Toc212473141" w:history="1">
            <w:r w:rsidRPr="00CB25A7">
              <w:rPr>
                <w:rStyle w:val="Hyperlink"/>
              </w:rPr>
              <w:t>N4.  SPECIAL TESTS AND PROVISIONS – PROJECT-BASED BUDGETING AND ACCOUNTING</w:t>
            </w:r>
            <w:r>
              <w:rPr>
                <w:webHidden/>
              </w:rPr>
              <w:tab/>
            </w:r>
            <w:r>
              <w:rPr>
                <w:webHidden/>
              </w:rPr>
              <w:fldChar w:fldCharType="begin"/>
            </w:r>
            <w:r>
              <w:rPr>
                <w:webHidden/>
              </w:rPr>
              <w:instrText xml:space="preserve"> PAGEREF _Toc212473141 \h </w:instrText>
            </w:r>
            <w:r>
              <w:rPr>
                <w:webHidden/>
              </w:rPr>
            </w:r>
            <w:r>
              <w:rPr>
                <w:webHidden/>
              </w:rPr>
              <w:fldChar w:fldCharType="separate"/>
            </w:r>
            <w:r>
              <w:rPr>
                <w:webHidden/>
              </w:rPr>
              <w:t>61</w:t>
            </w:r>
            <w:r>
              <w:rPr>
                <w:webHidden/>
              </w:rPr>
              <w:fldChar w:fldCharType="end"/>
            </w:r>
          </w:hyperlink>
        </w:p>
        <w:p w14:paraId="70EB5FD9" w14:textId="46DB665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2"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_Toc212473142 \h </w:instrText>
            </w:r>
            <w:r>
              <w:rPr>
                <w:noProof/>
                <w:webHidden/>
              </w:rPr>
            </w:r>
            <w:r>
              <w:rPr>
                <w:noProof/>
                <w:webHidden/>
              </w:rPr>
              <w:fldChar w:fldCharType="separate"/>
            </w:r>
            <w:r>
              <w:rPr>
                <w:noProof/>
                <w:webHidden/>
              </w:rPr>
              <w:t>61</w:t>
            </w:r>
            <w:r>
              <w:rPr>
                <w:noProof/>
                <w:webHidden/>
              </w:rPr>
              <w:fldChar w:fldCharType="end"/>
            </w:r>
          </w:hyperlink>
        </w:p>
        <w:p w14:paraId="10C902B8" w14:textId="2266DC6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3"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_Toc212473143 \h </w:instrText>
            </w:r>
            <w:r>
              <w:rPr>
                <w:noProof/>
                <w:webHidden/>
              </w:rPr>
            </w:r>
            <w:r>
              <w:rPr>
                <w:noProof/>
                <w:webHidden/>
              </w:rPr>
              <w:fldChar w:fldCharType="separate"/>
            </w:r>
            <w:r>
              <w:rPr>
                <w:noProof/>
                <w:webHidden/>
              </w:rPr>
              <w:t>61</w:t>
            </w:r>
            <w:r>
              <w:rPr>
                <w:noProof/>
                <w:webHidden/>
              </w:rPr>
              <w:fldChar w:fldCharType="end"/>
            </w:r>
          </w:hyperlink>
        </w:p>
        <w:p w14:paraId="0A79FC21" w14:textId="32781FD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4"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_Toc212473144 \h </w:instrText>
            </w:r>
            <w:r>
              <w:rPr>
                <w:noProof/>
                <w:webHidden/>
              </w:rPr>
            </w:r>
            <w:r>
              <w:rPr>
                <w:noProof/>
                <w:webHidden/>
              </w:rPr>
              <w:fldChar w:fldCharType="separate"/>
            </w:r>
            <w:r>
              <w:rPr>
                <w:noProof/>
                <w:webHidden/>
              </w:rPr>
              <w:t>62</w:t>
            </w:r>
            <w:r>
              <w:rPr>
                <w:noProof/>
                <w:webHidden/>
              </w:rPr>
              <w:fldChar w:fldCharType="end"/>
            </w:r>
          </w:hyperlink>
        </w:p>
        <w:p w14:paraId="04CA22B5" w14:textId="3D916EC1"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5"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_Toc212473145 \h </w:instrText>
            </w:r>
            <w:r>
              <w:rPr>
                <w:noProof/>
                <w:webHidden/>
              </w:rPr>
            </w:r>
            <w:r>
              <w:rPr>
                <w:noProof/>
                <w:webHidden/>
              </w:rPr>
              <w:fldChar w:fldCharType="separate"/>
            </w:r>
            <w:r>
              <w:rPr>
                <w:noProof/>
                <w:webHidden/>
              </w:rPr>
              <w:t>63</w:t>
            </w:r>
            <w:r>
              <w:rPr>
                <w:noProof/>
                <w:webHidden/>
              </w:rPr>
              <w:fldChar w:fldCharType="end"/>
            </w:r>
          </w:hyperlink>
        </w:p>
        <w:p w14:paraId="59A22D61" w14:textId="742C6F5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6"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_Toc212473146 \h </w:instrText>
            </w:r>
            <w:r>
              <w:rPr>
                <w:noProof/>
                <w:webHidden/>
              </w:rPr>
            </w:r>
            <w:r>
              <w:rPr>
                <w:noProof/>
                <w:webHidden/>
              </w:rPr>
              <w:fldChar w:fldCharType="separate"/>
            </w:r>
            <w:r>
              <w:rPr>
                <w:noProof/>
                <w:webHidden/>
              </w:rPr>
              <w:t>63</w:t>
            </w:r>
            <w:r>
              <w:rPr>
                <w:noProof/>
                <w:webHidden/>
              </w:rPr>
              <w:fldChar w:fldCharType="end"/>
            </w:r>
          </w:hyperlink>
        </w:p>
        <w:p w14:paraId="3DB3C1D9" w14:textId="51363A68" w:rsidR="00D34A79" w:rsidRDefault="00D34A79">
          <w:pPr>
            <w:pStyle w:val="TOC2"/>
            <w:rPr>
              <w:rFonts w:asciiTheme="minorHAnsi" w:eastAsiaTheme="minorEastAsia" w:hAnsiTheme="minorHAnsi" w:cstheme="minorBidi"/>
              <w:bCs w:val="0"/>
              <w:kern w:val="2"/>
              <w:sz w:val="24"/>
              <w14:ligatures w14:val="standardContextual"/>
            </w:rPr>
          </w:pPr>
          <w:hyperlink w:anchor="_Toc212473147" w:history="1">
            <w:r w:rsidRPr="00CB25A7">
              <w:rPr>
                <w:rStyle w:val="Hyperlink"/>
              </w:rPr>
              <w:t>N5.  SPECIAL TESTS AND PROVISIONS – BALANCE SHEET ALLOCATIONS</w:t>
            </w:r>
            <w:r>
              <w:rPr>
                <w:webHidden/>
              </w:rPr>
              <w:tab/>
            </w:r>
            <w:r>
              <w:rPr>
                <w:webHidden/>
              </w:rPr>
              <w:fldChar w:fldCharType="begin"/>
            </w:r>
            <w:r>
              <w:rPr>
                <w:webHidden/>
              </w:rPr>
              <w:instrText xml:space="preserve"> PAGEREF _Toc212473147 \h </w:instrText>
            </w:r>
            <w:r>
              <w:rPr>
                <w:webHidden/>
              </w:rPr>
            </w:r>
            <w:r>
              <w:rPr>
                <w:webHidden/>
              </w:rPr>
              <w:fldChar w:fldCharType="separate"/>
            </w:r>
            <w:r>
              <w:rPr>
                <w:webHidden/>
              </w:rPr>
              <w:t>65</w:t>
            </w:r>
            <w:r>
              <w:rPr>
                <w:webHidden/>
              </w:rPr>
              <w:fldChar w:fldCharType="end"/>
            </w:r>
          </w:hyperlink>
        </w:p>
        <w:p w14:paraId="342072FB" w14:textId="40D1117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8"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_Toc212473148 \h </w:instrText>
            </w:r>
            <w:r>
              <w:rPr>
                <w:noProof/>
                <w:webHidden/>
              </w:rPr>
            </w:r>
            <w:r>
              <w:rPr>
                <w:noProof/>
                <w:webHidden/>
              </w:rPr>
              <w:fldChar w:fldCharType="separate"/>
            </w:r>
            <w:r>
              <w:rPr>
                <w:noProof/>
                <w:webHidden/>
              </w:rPr>
              <w:t>65</w:t>
            </w:r>
            <w:r>
              <w:rPr>
                <w:noProof/>
                <w:webHidden/>
              </w:rPr>
              <w:fldChar w:fldCharType="end"/>
            </w:r>
          </w:hyperlink>
        </w:p>
        <w:p w14:paraId="5BE7D628" w14:textId="17A5064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49"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_Toc212473149 \h </w:instrText>
            </w:r>
            <w:r>
              <w:rPr>
                <w:noProof/>
                <w:webHidden/>
              </w:rPr>
            </w:r>
            <w:r>
              <w:rPr>
                <w:noProof/>
                <w:webHidden/>
              </w:rPr>
              <w:fldChar w:fldCharType="separate"/>
            </w:r>
            <w:r>
              <w:rPr>
                <w:noProof/>
                <w:webHidden/>
              </w:rPr>
              <w:t>65</w:t>
            </w:r>
            <w:r>
              <w:rPr>
                <w:noProof/>
                <w:webHidden/>
              </w:rPr>
              <w:fldChar w:fldCharType="end"/>
            </w:r>
          </w:hyperlink>
        </w:p>
        <w:p w14:paraId="680FA79A" w14:textId="4179F5F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0"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_Toc212473150 \h </w:instrText>
            </w:r>
            <w:r>
              <w:rPr>
                <w:noProof/>
                <w:webHidden/>
              </w:rPr>
            </w:r>
            <w:r>
              <w:rPr>
                <w:noProof/>
                <w:webHidden/>
              </w:rPr>
              <w:fldChar w:fldCharType="separate"/>
            </w:r>
            <w:r>
              <w:rPr>
                <w:noProof/>
                <w:webHidden/>
              </w:rPr>
              <w:t>66</w:t>
            </w:r>
            <w:r>
              <w:rPr>
                <w:noProof/>
                <w:webHidden/>
              </w:rPr>
              <w:fldChar w:fldCharType="end"/>
            </w:r>
          </w:hyperlink>
        </w:p>
        <w:p w14:paraId="3B9DAE70" w14:textId="07475D61"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1"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_Toc212473151 \h </w:instrText>
            </w:r>
            <w:r>
              <w:rPr>
                <w:noProof/>
                <w:webHidden/>
              </w:rPr>
            </w:r>
            <w:r>
              <w:rPr>
                <w:noProof/>
                <w:webHidden/>
              </w:rPr>
              <w:fldChar w:fldCharType="separate"/>
            </w:r>
            <w:r>
              <w:rPr>
                <w:noProof/>
                <w:webHidden/>
              </w:rPr>
              <w:t>66</w:t>
            </w:r>
            <w:r>
              <w:rPr>
                <w:noProof/>
                <w:webHidden/>
              </w:rPr>
              <w:fldChar w:fldCharType="end"/>
            </w:r>
          </w:hyperlink>
        </w:p>
        <w:p w14:paraId="2B39E351" w14:textId="4924897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2"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_Toc212473152 \h </w:instrText>
            </w:r>
            <w:r>
              <w:rPr>
                <w:noProof/>
                <w:webHidden/>
              </w:rPr>
            </w:r>
            <w:r>
              <w:rPr>
                <w:noProof/>
                <w:webHidden/>
              </w:rPr>
              <w:fldChar w:fldCharType="separate"/>
            </w:r>
            <w:r>
              <w:rPr>
                <w:noProof/>
                <w:webHidden/>
              </w:rPr>
              <w:t>67</w:t>
            </w:r>
            <w:r>
              <w:rPr>
                <w:noProof/>
                <w:webHidden/>
              </w:rPr>
              <w:fldChar w:fldCharType="end"/>
            </w:r>
          </w:hyperlink>
        </w:p>
        <w:p w14:paraId="66D27217" w14:textId="1CC51919" w:rsidR="00D34A79" w:rsidRDefault="00D34A79">
          <w:pPr>
            <w:pStyle w:val="TOC2"/>
            <w:rPr>
              <w:rFonts w:asciiTheme="minorHAnsi" w:eastAsiaTheme="minorEastAsia" w:hAnsiTheme="minorHAnsi" w:cstheme="minorBidi"/>
              <w:bCs w:val="0"/>
              <w:kern w:val="2"/>
              <w:sz w:val="24"/>
              <w14:ligatures w14:val="standardContextual"/>
            </w:rPr>
          </w:pPr>
          <w:hyperlink w:anchor="_Toc212473153" w:history="1">
            <w:r w:rsidRPr="00CB25A7">
              <w:rPr>
                <w:rStyle w:val="Hyperlink"/>
              </w:rPr>
              <w:t>N6.  SPECIAL TESTS AND PROVISIONS – FEES CHARGED FOR CENTRALIZED SERVICES</w:t>
            </w:r>
            <w:r>
              <w:rPr>
                <w:webHidden/>
              </w:rPr>
              <w:tab/>
            </w:r>
            <w:r>
              <w:rPr>
                <w:webHidden/>
              </w:rPr>
              <w:fldChar w:fldCharType="begin"/>
            </w:r>
            <w:r>
              <w:rPr>
                <w:webHidden/>
              </w:rPr>
              <w:instrText xml:space="preserve"> PAGEREF _Toc212473153 \h </w:instrText>
            </w:r>
            <w:r>
              <w:rPr>
                <w:webHidden/>
              </w:rPr>
            </w:r>
            <w:r>
              <w:rPr>
                <w:webHidden/>
              </w:rPr>
              <w:fldChar w:fldCharType="separate"/>
            </w:r>
            <w:r>
              <w:rPr>
                <w:webHidden/>
              </w:rPr>
              <w:t>68</w:t>
            </w:r>
            <w:r>
              <w:rPr>
                <w:webHidden/>
              </w:rPr>
              <w:fldChar w:fldCharType="end"/>
            </w:r>
          </w:hyperlink>
        </w:p>
        <w:p w14:paraId="326FCA20" w14:textId="25A7234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4"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_Toc212473154 \h </w:instrText>
            </w:r>
            <w:r>
              <w:rPr>
                <w:noProof/>
                <w:webHidden/>
              </w:rPr>
            </w:r>
            <w:r>
              <w:rPr>
                <w:noProof/>
                <w:webHidden/>
              </w:rPr>
              <w:fldChar w:fldCharType="separate"/>
            </w:r>
            <w:r>
              <w:rPr>
                <w:noProof/>
                <w:webHidden/>
              </w:rPr>
              <w:t>68</w:t>
            </w:r>
            <w:r>
              <w:rPr>
                <w:noProof/>
                <w:webHidden/>
              </w:rPr>
              <w:fldChar w:fldCharType="end"/>
            </w:r>
          </w:hyperlink>
        </w:p>
        <w:p w14:paraId="05AA0B70" w14:textId="2B73D70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5"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_Toc212473155 \h </w:instrText>
            </w:r>
            <w:r>
              <w:rPr>
                <w:noProof/>
                <w:webHidden/>
              </w:rPr>
            </w:r>
            <w:r>
              <w:rPr>
                <w:noProof/>
                <w:webHidden/>
              </w:rPr>
              <w:fldChar w:fldCharType="separate"/>
            </w:r>
            <w:r>
              <w:rPr>
                <w:noProof/>
                <w:webHidden/>
              </w:rPr>
              <w:t>68</w:t>
            </w:r>
            <w:r>
              <w:rPr>
                <w:noProof/>
                <w:webHidden/>
              </w:rPr>
              <w:fldChar w:fldCharType="end"/>
            </w:r>
          </w:hyperlink>
        </w:p>
        <w:p w14:paraId="67858B0C" w14:textId="15E7EBF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6"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_Toc212473156 \h </w:instrText>
            </w:r>
            <w:r>
              <w:rPr>
                <w:noProof/>
                <w:webHidden/>
              </w:rPr>
            </w:r>
            <w:r>
              <w:rPr>
                <w:noProof/>
                <w:webHidden/>
              </w:rPr>
              <w:fldChar w:fldCharType="separate"/>
            </w:r>
            <w:r>
              <w:rPr>
                <w:noProof/>
                <w:webHidden/>
              </w:rPr>
              <w:t>69</w:t>
            </w:r>
            <w:r>
              <w:rPr>
                <w:noProof/>
                <w:webHidden/>
              </w:rPr>
              <w:fldChar w:fldCharType="end"/>
            </w:r>
          </w:hyperlink>
        </w:p>
        <w:p w14:paraId="09343084" w14:textId="0CCDC5C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7"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_Toc212473157 \h </w:instrText>
            </w:r>
            <w:r>
              <w:rPr>
                <w:noProof/>
                <w:webHidden/>
              </w:rPr>
            </w:r>
            <w:r>
              <w:rPr>
                <w:noProof/>
                <w:webHidden/>
              </w:rPr>
              <w:fldChar w:fldCharType="separate"/>
            </w:r>
            <w:r>
              <w:rPr>
                <w:noProof/>
                <w:webHidden/>
              </w:rPr>
              <w:t>69</w:t>
            </w:r>
            <w:r>
              <w:rPr>
                <w:noProof/>
                <w:webHidden/>
              </w:rPr>
              <w:fldChar w:fldCharType="end"/>
            </w:r>
          </w:hyperlink>
        </w:p>
        <w:p w14:paraId="3235F3AC" w14:textId="28253E07"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58"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_Toc212473158 \h </w:instrText>
            </w:r>
            <w:r>
              <w:rPr>
                <w:noProof/>
                <w:webHidden/>
              </w:rPr>
            </w:r>
            <w:r>
              <w:rPr>
                <w:noProof/>
                <w:webHidden/>
              </w:rPr>
              <w:fldChar w:fldCharType="separate"/>
            </w:r>
            <w:r>
              <w:rPr>
                <w:noProof/>
                <w:webHidden/>
              </w:rPr>
              <w:t>70</w:t>
            </w:r>
            <w:r>
              <w:rPr>
                <w:noProof/>
                <w:webHidden/>
              </w:rPr>
              <w:fldChar w:fldCharType="end"/>
            </w:r>
          </w:hyperlink>
        </w:p>
        <w:p w14:paraId="5AD1DE68" w14:textId="418FA878" w:rsidR="00D34A79" w:rsidRDefault="00D34A79">
          <w:pPr>
            <w:pStyle w:val="TOC2"/>
            <w:rPr>
              <w:rFonts w:asciiTheme="minorHAnsi" w:eastAsiaTheme="minorEastAsia" w:hAnsiTheme="minorHAnsi" w:cstheme="minorBidi"/>
              <w:bCs w:val="0"/>
              <w:kern w:val="2"/>
              <w:sz w:val="24"/>
              <w14:ligatures w14:val="standardContextual"/>
            </w:rPr>
          </w:pPr>
          <w:hyperlink w:anchor="_Toc212473159" w:history="1">
            <w:r w:rsidRPr="00CB25A7">
              <w:rPr>
                <w:rStyle w:val="Hyperlink"/>
              </w:rPr>
              <w:t>N7.  SPECIAL TESTS AND PROVISIONS – PRORATING FRONT-LINE CENTRALIZED SERVICES</w:t>
            </w:r>
            <w:r>
              <w:rPr>
                <w:webHidden/>
              </w:rPr>
              <w:tab/>
            </w:r>
            <w:r>
              <w:rPr>
                <w:webHidden/>
              </w:rPr>
              <w:fldChar w:fldCharType="begin"/>
            </w:r>
            <w:r>
              <w:rPr>
                <w:webHidden/>
              </w:rPr>
              <w:instrText xml:space="preserve"> PAGEREF _Toc212473159 \h </w:instrText>
            </w:r>
            <w:r>
              <w:rPr>
                <w:webHidden/>
              </w:rPr>
            </w:r>
            <w:r>
              <w:rPr>
                <w:webHidden/>
              </w:rPr>
              <w:fldChar w:fldCharType="separate"/>
            </w:r>
            <w:r>
              <w:rPr>
                <w:webHidden/>
              </w:rPr>
              <w:t>71</w:t>
            </w:r>
            <w:r>
              <w:rPr>
                <w:webHidden/>
              </w:rPr>
              <w:fldChar w:fldCharType="end"/>
            </w:r>
          </w:hyperlink>
        </w:p>
        <w:p w14:paraId="404E1C37" w14:textId="68FE45C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0"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_Toc212473160 \h </w:instrText>
            </w:r>
            <w:r>
              <w:rPr>
                <w:noProof/>
                <w:webHidden/>
              </w:rPr>
            </w:r>
            <w:r>
              <w:rPr>
                <w:noProof/>
                <w:webHidden/>
              </w:rPr>
              <w:fldChar w:fldCharType="separate"/>
            </w:r>
            <w:r>
              <w:rPr>
                <w:noProof/>
                <w:webHidden/>
              </w:rPr>
              <w:t>71</w:t>
            </w:r>
            <w:r>
              <w:rPr>
                <w:noProof/>
                <w:webHidden/>
              </w:rPr>
              <w:fldChar w:fldCharType="end"/>
            </w:r>
          </w:hyperlink>
        </w:p>
        <w:p w14:paraId="0F9D3B0E" w14:textId="059DF8F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1"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_Toc212473161 \h </w:instrText>
            </w:r>
            <w:r>
              <w:rPr>
                <w:noProof/>
                <w:webHidden/>
              </w:rPr>
            </w:r>
            <w:r>
              <w:rPr>
                <w:noProof/>
                <w:webHidden/>
              </w:rPr>
              <w:fldChar w:fldCharType="separate"/>
            </w:r>
            <w:r>
              <w:rPr>
                <w:noProof/>
                <w:webHidden/>
              </w:rPr>
              <w:t>71</w:t>
            </w:r>
            <w:r>
              <w:rPr>
                <w:noProof/>
                <w:webHidden/>
              </w:rPr>
              <w:fldChar w:fldCharType="end"/>
            </w:r>
          </w:hyperlink>
        </w:p>
        <w:p w14:paraId="1DEF5018" w14:textId="0A74B32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2"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_Toc212473162 \h </w:instrText>
            </w:r>
            <w:r>
              <w:rPr>
                <w:noProof/>
                <w:webHidden/>
              </w:rPr>
            </w:r>
            <w:r>
              <w:rPr>
                <w:noProof/>
                <w:webHidden/>
              </w:rPr>
              <w:fldChar w:fldCharType="separate"/>
            </w:r>
            <w:r>
              <w:rPr>
                <w:noProof/>
                <w:webHidden/>
              </w:rPr>
              <w:t>72</w:t>
            </w:r>
            <w:r>
              <w:rPr>
                <w:noProof/>
                <w:webHidden/>
              </w:rPr>
              <w:fldChar w:fldCharType="end"/>
            </w:r>
          </w:hyperlink>
        </w:p>
        <w:p w14:paraId="00E0718E" w14:textId="7EC3A9B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3"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_Toc212473163 \h </w:instrText>
            </w:r>
            <w:r>
              <w:rPr>
                <w:noProof/>
                <w:webHidden/>
              </w:rPr>
            </w:r>
            <w:r>
              <w:rPr>
                <w:noProof/>
                <w:webHidden/>
              </w:rPr>
              <w:fldChar w:fldCharType="separate"/>
            </w:r>
            <w:r>
              <w:rPr>
                <w:noProof/>
                <w:webHidden/>
              </w:rPr>
              <w:t>72</w:t>
            </w:r>
            <w:r>
              <w:rPr>
                <w:noProof/>
                <w:webHidden/>
              </w:rPr>
              <w:fldChar w:fldCharType="end"/>
            </w:r>
          </w:hyperlink>
        </w:p>
        <w:p w14:paraId="3D70F6FA" w14:textId="2AED0BA0"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4"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_Toc212473164 \h </w:instrText>
            </w:r>
            <w:r>
              <w:rPr>
                <w:noProof/>
                <w:webHidden/>
              </w:rPr>
            </w:r>
            <w:r>
              <w:rPr>
                <w:noProof/>
                <w:webHidden/>
              </w:rPr>
              <w:fldChar w:fldCharType="separate"/>
            </w:r>
            <w:r>
              <w:rPr>
                <w:noProof/>
                <w:webHidden/>
              </w:rPr>
              <w:t>73</w:t>
            </w:r>
            <w:r>
              <w:rPr>
                <w:noProof/>
                <w:webHidden/>
              </w:rPr>
              <w:fldChar w:fldCharType="end"/>
            </w:r>
          </w:hyperlink>
        </w:p>
        <w:p w14:paraId="31BFBCF9" w14:textId="54C2F1B6" w:rsidR="00D34A79" w:rsidRDefault="00D34A79">
          <w:pPr>
            <w:pStyle w:val="TOC2"/>
            <w:rPr>
              <w:rFonts w:asciiTheme="minorHAnsi" w:eastAsiaTheme="minorEastAsia" w:hAnsiTheme="minorHAnsi" w:cstheme="minorBidi"/>
              <w:bCs w:val="0"/>
              <w:kern w:val="2"/>
              <w:sz w:val="24"/>
              <w14:ligatures w14:val="standardContextual"/>
            </w:rPr>
          </w:pPr>
          <w:hyperlink w:anchor="_Toc212473165" w:history="1">
            <w:r w:rsidRPr="00CB25A7">
              <w:rPr>
                <w:rStyle w:val="Hyperlink"/>
              </w:rPr>
              <w:t>N8.  SPECIAL TESTS AND PROVISIONS – ASSET MANAGEMENT FEE</w:t>
            </w:r>
            <w:r>
              <w:rPr>
                <w:webHidden/>
              </w:rPr>
              <w:tab/>
            </w:r>
            <w:r>
              <w:rPr>
                <w:webHidden/>
              </w:rPr>
              <w:fldChar w:fldCharType="begin"/>
            </w:r>
            <w:r>
              <w:rPr>
                <w:webHidden/>
              </w:rPr>
              <w:instrText xml:space="preserve"> PAGEREF _Toc212473165 \h </w:instrText>
            </w:r>
            <w:r>
              <w:rPr>
                <w:webHidden/>
              </w:rPr>
            </w:r>
            <w:r>
              <w:rPr>
                <w:webHidden/>
              </w:rPr>
              <w:fldChar w:fldCharType="separate"/>
            </w:r>
            <w:r>
              <w:rPr>
                <w:webHidden/>
              </w:rPr>
              <w:t>74</w:t>
            </w:r>
            <w:r>
              <w:rPr>
                <w:webHidden/>
              </w:rPr>
              <w:fldChar w:fldCharType="end"/>
            </w:r>
          </w:hyperlink>
        </w:p>
        <w:p w14:paraId="23C16DD5" w14:textId="3410738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6"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_Toc212473166 \h </w:instrText>
            </w:r>
            <w:r>
              <w:rPr>
                <w:noProof/>
                <w:webHidden/>
              </w:rPr>
            </w:r>
            <w:r>
              <w:rPr>
                <w:noProof/>
                <w:webHidden/>
              </w:rPr>
              <w:fldChar w:fldCharType="separate"/>
            </w:r>
            <w:r>
              <w:rPr>
                <w:noProof/>
                <w:webHidden/>
              </w:rPr>
              <w:t>74</w:t>
            </w:r>
            <w:r>
              <w:rPr>
                <w:noProof/>
                <w:webHidden/>
              </w:rPr>
              <w:fldChar w:fldCharType="end"/>
            </w:r>
          </w:hyperlink>
        </w:p>
        <w:p w14:paraId="4E9F41E5" w14:textId="50B1FD11"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7"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_Toc212473167 \h </w:instrText>
            </w:r>
            <w:r>
              <w:rPr>
                <w:noProof/>
                <w:webHidden/>
              </w:rPr>
            </w:r>
            <w:r>
              <w:rPr>
                <w:noProof/>
                <w:webHidden/>
              </w:rPr>
              <w:fldChar w:fldCharType="separate"/>
            </w:r>
            <w:r>
              <w:rPr>
                <w:noProof/>
                <w:webHidden/>
              </w:rPr>
              <w:t>74</w:t>
            </w:r>
            <w:r>
              <w:rPr>
                <w:noProof/>
                <w:webHidden/>
              </w:rPr>
              <w:fldChar w:fldCharType="end"/>
            </w:r>
          </w:hyperlink>
        </w:p>
        <w:p w14:paraId="4EAFCCE6" w14:textId="406BD17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8"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_Toc212473168 \h </w:instrText>
            </w:r>
            <w:r>
              <w:rPr>
                <w:noProof/>
                <w:webHidden/>
              </w:rPr>
            </w:r>
            <w:r>
              <w:rPr>
                <w:noProof/>
                <w:webHidden/>
              </w:rPr>
              <w:fldChar w:fldCharType="separate"/>
            </w:r>
            <w:r>
              <w:rPr>
                <w:noProof/>
                <w:webHidden/>
              </w:rPr>
              <w:t>75</w:t>
            </w:r>
            <w:r>
              <w:rPr>
                <w:noProof/>
                <w:webHidden/>
              </w:rPr>
              <w:fldChar w:fldCharType="end"/>
            </w:r>
          </w:hyperlink>
        </w:p>
        <w:p w14:paraId="4954842C" w14:textId="0BCA9A8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69"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_Toc212473169 \h </w:instrText>
            </w:r>
            <w:r>
              <w:rPr>
                <w:noProof/>
                <w:webHidden/>
              </w:rPr>
            </w:r>
            <w:r>
              <w:rPr>
                <w:noProof/>
                <w:webHidden/>
              </w:rPr>
              <w:fldChar w:fldCharType="separate"/>
            </w:r>
            <w:r>
              <w:rPr>
                <w:noProof/>
                <w:webHidden/>
              </w:rPr>
              <w:t>75</w:t>
            </w:r>
            <w:r>
              <w:rPr>
                <w:noProof/>
                <w:webHidden/>
              </w:rPr>
              <w:fldChar w:fldCharType="end"/>
            </w:r>
          </w:hyperlink>
        </w:p>
        <w:p w14:paraId="4A5F660C" w14:textId="3B57BF8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0"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_Toc212473170 \h </w:instrText>
            </w:r>
            <w:r>
              <w:rPr>
                <w:noProof/>
                <w:webHidden/>
              </w:rPr>
            </w:r>
            <w:r>
              <w:rPr>
                <w:noProof/>
                <w:webHidden/>
              </w:rPr>
              <w:fldChar w:fldCharType="separate"/>
            </w:r>
            <w:r>
              <w:rPr>
                <w:noProof/>
                <w:webHidden/>
              </w:rPr>
              <w:t>76</w:t>
            </w:r>
            <w:r>
              <w:rPr>
                <w:noProof/>
                <w:webHidden/>
              </w:rPr>
              <w:fldChar w:fldCharType="end"/>
            </w:r>
          </w:hyperlink>
        </w:p>
        <w:p w14:paraId="48DAC0F0" w14:textId="47C11250" w:rsidR="00D34A79" w:rsidRDefault="00D34A79">
          <w:pPr>
            <w:pStyle w:val="TOC2"/>
            <w:rPr>
              <w:rFonts w:asciiTheme="minorHAnsi" w:eastAsiaTheme="minorEastAsia" w:hAnsiTheme="minorHAnsi" w:cstheme="minorBidi"/>
              <w:bCs w:val="0"/>
              <w:kern w:val="2"/>
              <w:sz w:val="24"/>
              <w14:ligatures w14:val="standardContextual"/>
            </w:rPr>
          </w:pPr>
          <w:hyperlink w:anchor="_Toc212473171" w:history="1">
            <w:r w:rsidRPr="00CB25A7">
              <w:rPr>
                <w:rStyle w:val="Hyperlink"/>
              </w:rPr>
              <w:t>N9.  SPECIAL TESTS AND PROVISIONS – MANAGEMENT FEES</w:t>
            </w:r>
            <w:r>
              <w:rPr>
                <w:webHidden/>
              </w:rPr>
              <w:tab/>
            </w:r>
            <w:r>
              <w:rPr>
                <w:webHidden/>
              </w:rPr>
              <w:fldChar w:fldCharType="begin"/>
            </w:r>
            <w:r>
              <w:rPr>
                <w:webHidden/>
              </w:rPr>
              <w:instrText xml:space="preserve"> PAGEREF _Toc212473171 \h </w:instrText>
            </w:r>
            <w:r>
              <w:rPr>
                <w:webHidden/>
              </w:rPr>
            </w:r>
            <w:r>
              <w:rPr>
                <w:webHidden/>
              </w:rPr>
              <w:fldChar w:fldCharType="separate"/>
            </w:r>
            <w:r>
              <w:rPr>
                <w:webHidden/>
              </w:rPr>
              <w:t>77</w:t>
            </w:r>
            <w:r>
              <w:rPr>
                <w:webHidden/>
              </w:rPr>
              <w:fldChar w:fldCharType="end"/>
            </w:r>
          </w:hyperlink>
        </w:p>
        <w:p w14:paraId="0B288438" w14:textId="74CB6DB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2"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_Toc212473172 \h </w:instrText>
            </w:r>
            <w:r>
              <w:rPr>
                <w:noProof/>
                <w:webHidden/>
              </w:rPr>
            </w:r>
            <w:r>
              <w:rPr>
                <w:noProof/>
                <w:webHidden/>
              </w:rPr>
              <w:fldChar w:fldCharType="separate"/>
            </w:r>
            <w:r>
              <w:rPr>
                <w:noProof/>
                <w:webHidden/>
              </w:rPr>
              <w:t>77</w:t>
            </w:r>
            <w:r>
              <w:rPr>
                <w:noProof/>
                <w:webHidden/>
              </w:rPr>
              <w:fldChar w:fldCharType="end"/>
            </w:r>
          </w:hyperlink>
        </w:p>
        <w:p w14:paraId="2C650155" w14:textId="1CEAAD50"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3"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_Toc212473173 \h </w:instrText>
            </w:r>
            <w:r>
              <w:rPr>
                <w:noProof/>
                <w:webHidden/>
              </w:rPr>
            </w:r>
            <w:r>
              <w:rPr>
                <w:noProof/>
                <w:webHidden/>
              </w:rPr>
              <w:fldChar w:fldCharType="separate"/>
            </w:r>
            <w:r>
              <w:rPr>
                <w:noProof/>
                <w:webHidden/>
              </w:rPr>
              <w:t>77</w:t>
            </w:r>
            <w:r>
              <w:rPr>
                <w:noProof/>
                <w:webHidden/>
              </w:rPr>
              <w:fldChar w:fldCharType="end"/>
            </w:r>
          </w:hyperlink>
        </w:p>
        <w:p w14:paraId="39F0DB11" w14:textId="2A98323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4"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_Toc212473174 \h </w:instrText>
            </w:r>
            <w:r>
              <w:rPr>
                <w:noProof/>
                <w:webHidden/>
              </w:rPr>
            </w:r>
            <w:r>
              <w:rPr>
                <w:noProof/>
                <w:webHidden/>
              </w:rPr>
              <w:fldChar w:fldCharType="separate"/>
            </w:r>
            <w:r>
              <w:rPr>
                <w:noProof/>
                <w:webHidden/>
              </w:rPr>
              <w:t>78</w:t>
            </w:r>
            <w:r>
              <w:rPr>
                <w:noProof/>
                <w:webHidden/>
              </w:rPr>
              <w:fldChar w:fldCharType="end"/>
            </w:r>
          </w:hyperlink>
        </w:p>
        <w:p w14:paraId="6810F610" w14:textId="52161A7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5"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_Toc212473175 \h </w:instrText>
            </w:r>
            <w:r>
              <w:rPr>
                <w:noProof/>
                <w:webHidden/>
              </w:rPr>
            </w:r>
            <w:r>
              <w:rPr>
                <w:noProof/>
                <w:webHidden/>
              </w:rPr>
              <w:fldChar w:fldCharType="separate"/>
            </w:r>
            <w:r>
              <w:rPr>
                <w:noProof/>
                <w:webHidden/>
              </w:rPr>
              <w:t>78</w:t>
            </w:r>
            <w:r>
              <w:rPr>
                <w:noProof/>
                <w:webHidden/>
              </w:rPr>
              <w:fldChar w:fldCharType="end"/>
            </w:r>
          </w:hyperlink>
        </w:p>
        <w:p w14:paraId="6DBCAA50" w14:textId="14A0226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6"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_Toc212473176 \h </w:instrText>
            </w:r>
            <w:r>
              <w:rPr>
                <w:noProof/>
                <w:webHidden/>
              </w:rPr>
            </w:r>
            <w:r>
              <w:rPr>
                <w:noProof/>
                <w:webHidden/>
              </w:rPr>
              <w:fldChar w:fldCharType="separate"/>
            </w:r>
            <w:r>
              <w:rPr>
                <w:noProof/>
                <w:webHidden/>
              </w:rPr>
              <w:t>79</w:t>
            </w:r>
            <w:r>
              <w:rPr>
                <w:noProof/>
                <w:webHidden/>
              </w:rPr>
              <w:fldChar w:fldCharType="end"/>
            </w:r>
          </w:hyperlink>
        </w:p>
        <w:p w14:paraId="79DEAB7B" w14:textId="54576B91" w:rsidR="00D34A79" w:rsidRDefault="00D34A79">
          <w:pPr>
            <w:pStyle w:val="TOC2"/>
            <w:rPr>
              <w:rFonts w:asciiTheme="minorHAnsi" w:eastAsiaTheme="minorEastAsia" w:hAnsiTheme="minorHAnsi" w:cstheme="minorBidi"/>
              <w:bCs w:val="0"/>
              <w:kern w:val="2"/>
              <w:sz w:val="24"/>
              <w14:ligatures w14:val="standardContextual"/>
            </w:rPr>
          </w:pPr>
          <w:hyperlink w:anchor="_Toc212473177" w:history="1">
            <w:r w:rsidRPr="00CB25A7">
              <w:rPr>
                <w:rStyle w:val="Hyperlink"/>
              </w:rPr>
              <w:t>N10.  SPECIAL TESTS AND PROVISIONS – ALLOCATED OVERHEAD</w:t>
            </w:r>
            <w:r>
              <w:rPr>
                <w:webHidden/>
              </w:rPr>
              <w:tab/>
            </w:r>
            <w:r>
              <w:rPr>
                <w:webHidden/>
              </w:rPr>
              <w:fldChar w:fldCharType="begin"/>
            </w:r>
            <w:r>
              <w:rPr>
                <w:webHidden/>
              </w:rPr>
              <w:instrText xml:space="preserve"> PAGEREF _Toc212473177 \h </w:instrText>
            </w:r>
            <w:r>
              <w:rPr>
                <w:webHidden/>
              </w:rPr>
            </w:r>
            <w:r>
              <w:rPr>
                <w:webHidden/>
              </w:rPr>
              <w:fldChar w:fldCharType="separate"/>
            </w:r>
            <w:r>
              <w:rPr>
                <w:webHidden/>
              </w:rPr>
              <w:t>80</w:t>
            </w:r>
            <w:r>
              <w:rPr>
                <w:webHidden/>
              </w:rPr>
              <w:fldChar w:fldCharType="end"/>
            </w:r>
          </w:hyperlink>
        </w:p>
        <w:p w14:paraId="6E658797" w14:textId="2FA967D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8"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_Toc212473178 \h </w:instrText>
            </w:r>
            <w:r>
              <w:rPr>
                <w:noProof/>
                <w:webHidden/>
              </w:rPr>
            </w:r>
            <w:r>
              <w:rPr>
                <w:noProof/>
                <w:webHidden/>
              </w:rPr>
              <w:fldChar w:fldCharType="separate"/>
            </w:r>
            <w:r>
              <w:rPr>
                <w:noProof/>
                <w:webHidden/>
              </w:rPr>
              <w:t>80</w:t>
            </w:r>
            <w:r>
              <w:rPr>
                <w:noProof/>
                <w:webHidden/>
              </w:rPr>
              <w:fldChar w:fldCharType="end"/>
            </w:r>
          </w:hyperlink>
        </w:p>
        <w:p w14:paraId="480F9A13" w14:textId="296711D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79"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_Toc212473179 \h </w:instrText>
            </w:r>
            <w:r>
              <w:rPr>
                <w:noProof/>
                <w:webHidden/>
              </w:rPr>
            </w:r>
            <w:r>
              <w:rPr>
                <w:noProof/>
                <w:webHidden/>
              </w:rPr>
              <w:fldChar w:fldCharType="separate"/>
            </w:r>
            <w:r>
              <w:rPr>
                <w:noProof/>
                <w:webHidden/>
              </w:rPr>
              <w:t>80</w:t>
            </w:r>
            <w:r>
              <w:rPr>
                <w:noProof/>
                <w:webHidden/>
              </w:rPr>
              <w:fldChar w:fldCharType="end"/>
            </w:r>
          </w:hyperlink>
        </w:p>
        <w:p w14:paraId="1996AC3D" w14:textId="5B43337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0"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_Toc212473180 \h </w:instrText>
            </w:r>
            <w:r>
              <w:rPr>
                <w:noProof/>
                <w:webHidden/>
              </w:rPr>
            </w:r>
            <w:r>
              <w:rPr>
                <w:noProof/>
                <w:webHidden/>
              </w:rPr>
              <w:fldChar w:fldCharType="separate"/>
            </w:r>
            <w:r>
              <w:rPr>
                <w:noProof/>
                <w:webHidden/>
              </w:rPr>
              <w:t>81</w:t>
            </w:r>
            <w:r>
              <w:rPr>
                <w:noProof/>
                <w:webHidden/>
              </w:rPr>
              <w:fldChar w:fldCharType="end"/>
            </w:r>
          </w:hyperlink>
        </w:p>
        <w:p w14:paraId="445A51C3" w14:textId="3A754F4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1"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_Toc212473181 \h </w:instrText>
            </w:r>
            <w:r>
              <w:rPr>
                <w:noProof/>
                <w:webHidden/>
              </w:rPr>
            </w:r>
            <w:r>
              <w:rPr>
                <w:noProof/>
                <w:webHidden/>
              </w:rPr>
              <w:fldChar w:fldCharType="separate"/>
            </w:r>
            <w:r>
              <w:rPr>
                <w:noProof/>
                <w:webHidden/>
              </w:rPr>
              <w:t>81</w:t>
            </w:r>
            <w:r>
              <w:rPr>
                <w:noProof/>
                <w:webHidden/>
              </w:rPr>
              <w:fldChar w:fldCharType="end"/>
            </w:r>
          </w:hyperlink>
        </w:p>
        <w:p w14:paraId="57FF891E" w14:textId="67CB01E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2"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_Toc212473182 \h </w:instrText>
            </w:r>
            <w:r>
              <w:rPr>
                <w:noProof/>
                <w:webHidden/>
              </w:rPr>
            </w:r>
            <w:r>
              <w:rPr>
                <w:noProof/>
                <w:webHidden/>
              </w:rPr>
              <w:fldChar w:fldCharType="separate"/>
            </w:r>
            <w:r>
              <w:rPr>
                <w:noProof/>
                <w:webHidden/>
              </w:rPr>
              <w:t>82</w:t>
            </w:r>
            <w:r>
              <w:rPr>
                <w:noProof/>
                <w:webHidden/>
              </w:rPr>
              <w:fldChar w:fldCharType="end"/>
            </w:r>
          </w:hyperlink>
        </w:p>
        <w:p w14:paraId="013C3798" w14:textId="31A0CD7A" w:rsidR="00D34A79" w:rsidRDefault="00D34A79">
          <w:pPr>
            <w:pStyle w:val="TOC2"/>
            <w:rPr>
              <w:rFonts w:asciiTheme="minorHAnsi" w:eastAsiaTheme="minorEastAsia" w:hAnsiTheme="minorHAnsi" w:cstheme="minorBidi"/>
              <w:bCs w:val="0"/>
              <w:kern w:val="2"/>
              <w:sz w:val="24"/>
              <w14:ligatures w14:val="standardContextual"/>
            </w:rPr>
          </w:pPr>
          <w:hyperlink w:anchor="_Toc212473183" w:history="1">
            <w:r w:rsidRPr="00CB25A7">
              <w:rPr>
                <w:rStyle w:val="Hyperlink"/>
              </w:rPr>
              <w:t>N11.  SPECIAL TESTS AND PROVISIONS – FUNDING CENTRAL OFFICE WITH CAPITAL FUND PROGRAM FUNDS</w:t>
            </w:r>
            <w:r>
              <w:rPr>
                <w:webHidden/>
              </w:rPr>
              <w:tab/>
            </w:r>
            <w:r>
              <w:rPr>
                <w:webHidden/>
              </w:rPr>
              <w:fldChar w:fldCharType="begin"/>
            </w:r>
            <w:r>
              <w:rPr>
                <w:webHidden/>
              </w:rPr>
              <w:instrText xml:space="preserve"> PAGEREF _Toc212473183 \h </w:instrText>
            </w:r>
            <w:r>
              <w:rPr>
                <w:webHidden/>
              </w:rPr>
            </w:r>
            <w:r>
              <w:rPr>
                <w:webHidden/>
              </w:rPr>
              <w:fldChar w:fldCharType="separate"/>
            </w:r>
            <w:r>
              <w:rPr>
                <w:webHidden/>
              </w:rPr>
              <w:t>83</w:t>
            </w:r>
            <w:r>
              <w:rPr>
                <w:webHidden/>
              </w:rPr>
              <w:fldChar w:fldCharType="end"/>
            </w:r>
          </w:hyperlink>
        </w:p>
        <w:p w14:paraId="7E2D60B6" w14:textId="333F65A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4"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_Toc212473184 \h </w:instrText>
            </w:r>
            <w:r>
              <w:rPr>
                <w:noProof/>
                <w:webHidden/>
              </w:rPr>
            </w:r>
            <w:r>
              <w:rPr>
                <w:noProof/>
                <w:webHidden/>
              </w:rPr>
              <w:fldChar w:fldCharType="separate"/>
            </w:r>
            <w:r>
              <w:rPr>
                <w:noProof/>
                <w:webHidden/>
              </w:rPr>
              <w:t>83</w:t>
            </w:r>
            <w:r>
              <w:rPr>
                <w:noProof/>
                <w:webHidden/>
              </w:rPr>
              <w:fldChar w:fldCharType="end"/>
            </w:r>
          </w:hyperlink>
        </w:p>
        <w:p w14:paraId="2DE4238D" w14:textId="6918A49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5"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_Toc212473185 \h </w:instrText>
            </w:r>
            <w:r>
              <w:rPr>
                <w:noProof/>
                <w:webHidden/>
              </w:rPr>
            </w:r>
            <w:r>
              <w:rPr>
                <w:noProof/>
                <w:webHidden/>
              </w:rPr>
              <w:fldChar w:fldCharType="separate"/>
            </w:r>
            <w:r>
              <w:rPr>
                <w:noProof/>
                <w:webHidden/>
              </w:rPr>
              <w:t>84</w:t>
            </w:r>
            <w:r>
              <w:rPr>
                <w:noProof/>
                <w:webHidden/>
              </w:rPr>
              <w:fldChar w:fldCharType="end"/>
            </w:r>
          </w:hyperlink>
        </w:p>
        <w:p w14:paraId="243499C9" w14:textId="738E636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6"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_Toc212473186 \h </w:instrText>
            </w:r>
            <w:r>
              <w:rPr>
                <w:noProof/>
                <w:webHidden/>
              </w:rPr>
            </w:r>
            <w:r>
              <w:rPr>
                <w:noProof/>
                <w:webHidden/>
              </w:rPr>
              <w:fldChar w:fldCharType="separate"/>
            </w:r>
            <w:r>
              <w:rPr>
                <w:noProof/>
                <w:webHidden/>
              </w:rPr>
              <w:t>84</w:t>
            </w:r>
            <w:r>
              <w:rPr>
                <w:noProof/>
                <w:webHidden/>
              </w:rPr>
              <w:fldChar w:fldCharType="end"/>
            </w:r>
          </w:hyperlink>
        </w:p>
        <w:p w14:paraId="10FC8B64" w14:textId="760661F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7"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_Toc212473187 \h </w:instrText>
            </w:r>
            <w:r>
              <w:rPr>
                <w:noProof/>
                <w:webHidden/>
              </w:rPr>
            </w:r>
            <w:r>
              <w:rPr>
                <w:noProof/>
                <w:webHidden/>
              </w:rPr>
              <w:fldChar w:fldCharType="separate"/>
            </w:r>
            <w:r>
              <w:rPr>
                <w:noProof/>
                <w:webHidden/>
              </w:rPr>
              <w:t>85</w:t>
            </w:r>
            <w:r>
              <w:rPr>
                <w:noProof/>
                <w:webHidden/>
              </w:rPr>
              <w:fldChar w:fldCharType="end"/>
            </w:r>
          </w:hyperlink>
        </w:p>
        <w:p w14:paraId="437C26DD" w14:textId="5742673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88"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_Toc212473188 \h </w:instrText>
            </w:r>
            <w:r>
              <w:rPr>
                <w:noProof/>
                <w:webHidden/>
              </w:rPr>
            </w:r>
            <w:r>
              <w:rPr>
                <w:noProof/>
                <w:webHidden/>
              </w:rPr>
              <w:fldChar w:fldCharType="separate"/>
            </w:r>
            <w:r>
              <w:rPr>
                <w:noProof/>
                <w:webHidden/>
              </w:rPr>
              <w:t>85</w:t>
            </w:r>
            <w:r>
              <w:rPr>
                <w:noProof/>
                <w:webHidden/>
              </w:rPr>
              <w:fldChar w:fldCharType="end"/>
            </w:r>
          </w:hyperlink>
        </w:p>
        <w:p w14:paraId="0CEBB438" w14:textId="0861A9AA" w:rsidR="00D34A79" w:rsidRDefault="00D34A79">
          <w:pPr>
            <w:pStyle w:val="TOC2"/>
            <w:rPr>
              <w:rFonts w:asciiTheme="minorHAnsi" w:eastAsiaTheme="minorEastAsia" w:hAnsiTheme="minorHAnsi" w:cstheme="minorBidi"/>
              <w:bCs w:val="0"/>
              <w:kern w:val="2"/>
              <w:sz w:val="24"/>
              <w14:ligatures w14:val="standardContextual"/>
            </w:rPr>
          </w:pPr>
          <w:hyperlink w:anchor="_Toc212473189" w:history="1">
            <w:r w:rsidRPr="00CB25A7">
              <w:rPr>
                <w:rStyle w:val="Hyperlink"/>
              </w:rPr>
              <w:t>N12.  SPECIAL TESTS AND PROVISIONS – PHA UTILITIES OPERATING FUNDING REQUESTS</w:t>
            </w:r>
            <w:r>
              <w:rPr>
                <w:webHidden/>
              </w:rPr>
              <w:tab/>
            </w:r>
            <w:r>
              <w:rPr>
                <w:webHidden/>
              </w:rPr>
              <w:fldChar w:fldCharType="begin"/>
            </w:r>
            <w:r>
              <w:rPr>
                <w:webHidden/>
              </w:rPr>
              <w:instrText xml:space="preserve"> PAGEREF _Toc212473189 \h </w:instrText>
            </w:r>
            <w:r>
              <w:rPr>
                <w:webHidden/>
              </w:rPr>
            </w:r>
            <w:r>
              <w:rPr>
                <w:webHidden/>
              </w:rPr>
              <w:fldChar w:fldCharType="separate"/>
            </w:r>
            <w:r>
              <w:rPr>
                <w:webHidden/>
              </w:rPr>
              <w:t>87</w:t>
            </w:r>
            <w:r>
              <w:rPr>
                <w:webHidden/>
              </w:rPr>
              <w:fldChar w:fldCharType="end"/>
            </w:r>
          </w:hyperlink>
        </w:p>
        <w:p w14:paraId="496D8A35" w14:textId="6620AFF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0"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_Toc212473190 \h </w:instrText>
            </w:r>
            <w:r>
              <w:rPr>
                <w:noProof/>
                <w:webHidden/>
              </w:rPr>
            </w:r>
            <w:r>
              <w:rPr>
                <w:noProof/>
                <w:webHidden/>
              </w:rPr>
              <w:fldChar w:fldCharType="separate"/>
            </w:r>
            <w:r>
              <w:rPr>
                <w:noProof/>
                <w:webHidden/>
              </w:rPr>
              <w:t>87</w:t>
            </w:r>
            <w:r>
              <w:rPr>
                <w:noProof/>
                <w:webHidden/>
              </w:rPr>
              <w:fldChar w:fldCharType="end"/>
            </w:r>
          </w:hyperlink>
        </w:p>
        <w:p w14:paraId="0A5BE022" w14:textId="4E92737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1"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_Toc212473191 \h </w:instrText>
            </w:r>
            <w:r>
              <w:rPr>
                <w:noProof/>
                <w:webHidden/>
              </w:rPr>
            </w:r>
            <w:r>
              <w:rPr>
                <w:noProof/>
                <w:webHidden/>
              </w:rPr>
              <w:fldChar w:fldCharType="separate"/>
            </w:r>
            <w:r>
              <w:rPr>
                <w:noProof/>
                <w:webHidden/>
              </w:rPr>
              <w:t>87</w:t>
            </w:r>
            <w:r>
              <w:rPr>
                <w:noProof/>
                <w:webHidden/>
              </w:rPr>
              <w:fldChar w:fldCharType="end"/>
            </w:r>
          </w:hyperlink>
        </w:p>
        <w:p w14:paraId="01B239C5" w14:textId="460BECD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2"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_Toc212473192 \h </w:instrText>
            </w:r>
            <w:r>
              <w:rPr>
                <w:noProof/>
                <w:webHidden/>
              </w:rPr>
            </w:r>
            <w:r>
              <w:rPr>
                <w:noProof/>
                <w:webHidden/>
              </w:rPr>
              <w:fldChar w:fldCharType="separate"/>
            </w:r>
            <w:r>
              <w:rPr>
                <w:noProof/>
                <w:webHidden/>
              </w:rPr>
              <w:t>88</w:t>
            </w:r>
            <w:r>
              <w:rPr>
                <w:noProof/>
                <w:webHidden/>
              </w:rPr>
              <w:fldChar w:fldCharType="end"/>
            </w:r>
          </w:hyperlink>
        </w:p>
        <w:p w14:paraId="2D5EDDA2" w14:textId="7E6327B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3"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_Toc212473193 \h </w:instrText>
            </w:r>
            <w:r>
              <w:rPr>
                <w:noProof/>
                <w:webHidden/>
              </w:rPr>
            </w:r>
            <w:r>
              <w:rPr>
                <w:noProof/>
                <w:webHidden/>
              </w:rPr>
              <w:fldChar w:fldCharType="separate"/>
            </w:r>
            <w:r>
              <w:rPr>
                <w:noProof/>
                <w:webHidden/>
              </w:rPr>
              <w:t>88</w:t>
            </w:r>
            <w:r>
              <w:rPr>
                <w:noProof/>
                <w:webHidden/>
              </w:rPr>
              <w:fldChar w:fldCharType="end"/>
            </w:r>
          </w:hyperlink>
        </w:p>
        <w:p w14:paraId="2B6969FF" w14:textId="7146615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4"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_Toc212473194 \h </w:instrText>
            </w:r>
            <w:r>
              <w:rPr>
                <w:noProof/>
                <w:webHidden/>
              </w:rPr>
            </w:r>
            <w:r>
              <w:rPr>
                <w:noProof/>
                <w:webHidden/>
              </w:rPr>
              <w:fldChar w:fldCharType="separate"/>
            </w:r>
            <w:r>
              <w:rPr>
                <w:noProof/>
                <w:webHidden/>
              </w:rPr>
              <w:t>89</w:t>
            </w:r>
            <w:r>
              <w:rPr>
                <w:noProof/>
                <w:webHidden/>
              </w:rPr>
              <w:fldChar w:fldCharType="end"/>
            </w:r>
          </w:hyperlink>
        </w:p>
        <w:p w14:paraId="06141376" w14:textId="7BFA4EB5" w:rsidR="00D34A79" w:rsidRDefault="00D34A79">
          <w:pPr>
            <w:pStyle w:val="TOC2"/>
            <w:rPr>
              <w:rFonts w:asciiTheme="minorHAnsi" w:eastAsiaTheme="minorEastAsia" w:hAnsiTheme="minorHAnsi" w:cstheme="minorBidi"/>
              <w:bCs w:val="0"/>
              <w:kern w:val="2"/>
              <w:sz w:val="24"/>
              <w14:ligatures w14:val="standardContextual"/>
            </w:rPr>
          </w:pPr>
          <w:hyperlink w:anchor="_Toc212473195" w:history="1">
            <w:r w:rsidRPr="00CB25A7">
              <w:rPr>
                <w:rStyle w:val="Hyperlink"/>
              </w:rPr>
              <w:t>N13.  SPECIAL TESTS AND PROVISIONS – RECORDING OF DECLARATIONS OF TRUST/DECLARATION OF RESTRICTIVE COVENANTS AGAINST PUBLIC HOUSING PROPERTY</w:t>
            </w:r>
            <w:r>
              <w:rPr>
                <w:webHidden/>
              </w:rPr>
              <w:tab/>
            </w:r>
            <w:r>
              <w:rPr>
                <w:webHidden/>
              </w:rPr>
              <w:fldChar w:fldCharType="begin"/>
            </w:r>
            <w:r>
              <w:rPr>
                <w:webHidden/>
              </w:rPr>
              <w:instrText xml:space="preserve"> PAGEREF _Toc212473195 \h </w:instrText>
            </w:r>
            <w:r>
              <w:rPr>
                <w:webHidden/>
              </w:rPr>
            </w:r>
            <w:r>
              <w:rPr>
                <w:webHidden/>
              </w:rPr>
              <w:fldChar w:fldCharType="separate"/>
            </w:r>
            <w:r>
              <w:rPr>
                <w:webHidden/>
              </w:rPr>
              <w:t>90</w:t>
            </w:r>
            <w:r>
              <w:rPr>
                <w:webHidden/>
              </w:rPr>
              <w:fldChar w:fldCharType="end"/>
            </w:r>
          </w:hyperlink>
        </w:p>
        <w:p w14:paraId="4B3B55B5" w14:textId="3EECD2D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6"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_Toc212473196 \h </w:instrText>
            </w:r>
            <w:r>
              <w:rPr>
                <w:noProof/>
                <w:webHidden/>
              </w:rPr>
            </w:r>
            <w:r>
              <w:rPr>
                <w:noProof/>
                <w:webHidden/>
              </w:rPr>
              <w:fldChar w:fldCharType="separate"/>
            </w:r>
            <w:r>
              <w:rPr>
                <w:noProof/>
                <w:webHidden/>
              </w:rPr>
              <w:t>90</w:t>
            </w:r>
            <w:r>
              <w:rPr>
                <w:noProof/>
                <w:webHidden/>
              </w:rPr>
              <w:fldChar w:fldCharType="end"/>
            </w:r>
          </w:hyperlink>
        </w:p>
        <w:p w14:paraId="3E53D14D" w14:textId="7DA574E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7"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_Toc212473197 \h </w:instrText>
            </w:r>
            <w:r>
              <w:rPr>
                <w:noProof/>
                <w:webHidden/>
              </w:rPr>
            </w:r>
            <w:r>
              <w:rPr>
                <w:noProof/>
                <w:webHidden/>
              </w:rPr>
              <w:fldChar w:fldCharType="separate"/>
            </w:r>
            <w:r>
              <w:rPr>
                <w:noProof/>
                <w:webHidden/>
              </w:rPr>
              <w:t>91</w:t>
            </w:r>
            <w:r>
              <w:rPr>
                <w:noProof/>
                <w:webHidden/>
              </w:rPr>
              <w:fldChar w:fldCharType="end"/>
            </w:r>
          </w:hyperlink>
        </w:p>
        <w:p w14:paraId="30915AEE" w14:textId="4DF1EA37"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8"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_Toc212473198 \h </w:instrText>
            </w:r>
            <w:r>
              <w:rPr>
                <w:noProof/>
                <w:webHidden/>
              </w:rPr>
            </w:r>
            <w:r>
              <w:rPr>
                <w:noProof/>
                <w:webHidden/>
              </w:rPr>
              <w:fldChar w:fldCharType="separate"/>
            </w:r>
            <w:r>
              <w:rPr>
                <w:noProof/>
                <w:webHidden/>
              </w:rPr>
              <w:t>91</w:t>
            </w:r>
            <w:r>
              <w:rPr>
                <w:noProof/>
                <w:webHidden/>
              </w:rPr>
              <w:fldChar w:fldCharType="end"/>
            </w:r>
          </w:hyperlink>
        </w:p>
        <w:p w14:paraId="535A1BC6" w14:textId="7992D52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199"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_Toc212473199 \h </w:instrText>
            </w:r>
            <w:r>
              <w:rPr>
                <w:noProof/>
                <w:webHidden/>
              </w:rPr>
            </w:r>
            <w:r>
              <w:rPr>
                <w:noProof/>
                <w:webHidden/>
              </w:rPr>
              <w:fldChar w:fldCharType="separate"/>
            </w:r>
            <w:r>
              <w:rPr>
                <w:noProof/>
                <w:webHidden/>
              </w:rPr>
              <w:t>92</w:t>
            </w:r>
            <w:r>
              <w:rPr>
                <w:noProof/>
                <w:webHidden/>
              </w:rPr>
              <w:fldChar w:fldCharType="end"/>
            </w:r>
          </w:hyperlink>
        </w:p>
        <w:p w14:paraId="42E8676D" w14:textId="3337FE3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0"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_Toc212473200 \h </w:instrText>
            </w:r>
            <w:r>
              <w:rPr>
                <w:noProof/>
                <w:webHidden/>
              </w:rPr>
            </w:r>
            <w:r>
              <w:rPr>
                <w:noProof/>
                <w:webHidden/>
              </w:rPr>
              <w:fldChar w:fldCharType="separate"/>
            </w:r>
            <w:r>
              <w:rPr>
                <w:noProof/>
                <w:webHidden/>
              </w:rPr>
              <w:t>92</w:t>
            </w:r>
            <w:r>
              <w:rPr>
                <w:noProof/>
                <w:webHidden/>
              </w:rPr>
              <w:fldChar w:fldCharType="end"/>
            </w:r>
          </w:hyperlink>
        </w:p>
        <w:p w14:paraId="68D49B09" w14:textId="05E37F34" w:rsidR="00D34A79" w:rsidRDefault="00D34A79">
          <w:pPr>
            <w:pStyle w:val="TOC2"/>
            <w:rPr>
              <w:rFonts w:asciiTheme="minorHAnsi" w:eastAsiaTheme="minorEastAsia" w:hAnsiTheme="minorHAnsi" w:cstheme="minorBidi"/>
              <w:bCs w:val="0"/>
              <w:kern w:val="2"/>
              <w:sz w:val="24"/>
              <w14:ligatures w14:val="standardContextual"/>
            </w:rPr>
          </w:pPr>
          <w:hyperlink w:anchor="_Toc212473201" w:history="1">
            <w:r w:rsidRPr="00CB25A7">
              <w:rPr>
                <w:rStyle w:val="Hyperlink"/>
              </w:rPr>
              <w:t>N14.  SPECIAL TESTS AND PROVISIONS – DEPOSITORY AGREEMENTS</w:t>
            </w:r>
            <w:r>
              <w:rPr>
                <w:webHidden/>
              </w:rPr>
              <w:tab/>
            </w:r>
            <w:r>
              <w:rPr>
                <w:webHidden/>
              </w:rPr>
              <w:fldChar w:fldCharType="begin"/>
            </w:r>
            <w:r>
              <w:rPr>
                <w:webHidden/>
              </w:rPr>
              <w:instrText xml:space="preserve"> PAGEREF _Toc212473201 \h </w:instrText>
            </w:r>
            <w:r>
              <w:rPr>
                <w:webHidden/>
              </w:rPr>
            </w:r>
            <w:r>
              <w:rPr>
                <w:webHidden/>
              </w:rPr>
              <w:fldChar w:fldCharType="separate"/>
            </w:r>
            <w:r>
              <w:rPr>
                <w:webHidden/>
              </w:rPr>
              <w:t>94</w:t>
            </w:r>
            <w:r>
              <w:rPr>
                <w:webHidden/>
              </w:rPr>
              <w:fldChar w:fldCharType="end"/>
            </w:r>
          </w:hyperlink>
        </w:p>
        <w:p w14:paraId="3F4C8B53" w14:textId="516047CB"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2"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_Toc212473202 \h </w:instrText>
            </w:r>
            <w:r>
              <w:rPr>
                <w:noProof/>
                <w:webHidden/>
              </w:rPr>
            </w:r>
            <w:r>
              <w:rPr>
                <w:noProof/>
                <w:webHidden/>
              </w:rPr>
              <w:fldChar w:fldCharType="separate"/>
            </w:r>
            <w:r>
              <w:rPr>
                <w:noProof/>
                <w:webHidden/>
              </w:rPr>
              <w:t>94</w:t>
            </w:r>
            <w:r>
              <w:rPr>
                <w:noProof/>
                <w:webHidden/>
              </w:rPr>
              <w:fldChar w:fldCharType="end"/>
            </w:r>
          </w:hyperlink>
        </w:p>
        <w:p w14:paraId="7689CDEF" w14:textId="5ABF9DC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3"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_Toc212473203 \h </w:instrText>
            </w:r>
            <w:r>
              <w:rPr>
                <w:noProof/>
                <w:webHidden/>
              </w:rPr>
            </w:r>
            <w:r>
              <w:rPr>
                <w:noProof/>
                <w:webHidden/>
              </w:rPr>
              <w:fldChar w:fldCharType="separate"/>
            </w:r>
            <w:r>
              <w:rPr>
                <w:noProof/>
                <w:webHidden/>
              </w:rPr>
              <w:t>94</w:t>
            </w:r>
            <w:r>
              <w:rPr>
                <w:noProof/>
                <w:webHidden/>
              </w:rPr>
              <w:fldChar w:fldCharType="end"/>
            </w:r>
          </w:hyperlink>
        </w:p>
        <w:p w14:paraId="1FAE4169" w14:textId="22403E0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4"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_Toc212473204 \h </w:instrText>
            </w:r>
            <w:r>
              <w:rPr>
                <w:noProof/>
                <w:webHidden/>
              </w:rPr>
            </w:r>
            <w:r>
              <w:rPr>
                <w:noProof/>
                <w:webHidden/>
              </w:rPr>
              <w:fldChar w:fldCharType="separate"/>
            </w:r>
            <w:r>
              <w:rPr>
                <w:noProof/>
                <w:webHidden/>
              </w:rPr>
              <w:t>95</w:t>
            </w:r>
            <w:r>
              <w:rPr>
                <w:noProof/>
                <w:webHidden/>
              </w:rPr>
              <w:fldChar w:fldCharType="end"/>
            </w:r>
          </w:hyperlink>
        </w:p>
        <w:p w14:paraId="7B102F16" w14:textId="35BC3317"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5"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_Toc212473205 \h </w:instrText>
            </w:r>
            <w:r>
              <w:rPr>
                <w:noProof/>
                <w:webHidden/>
              </w:rPr>
            </w:r>
            <w:r>
              <w:rPr>
                <w:noProof/>
                <w:webHidden/>
              </w:rPr>
              <w:fldChar w:fldCharType="separate"/>
            </w:r>
            <w:r>
              <w:rPr>
                <w:noProof/>
                <w:webHidden/>
              </w:rPr>
              <w:t>95</w:t>
            </w:r>
            <w:r>
              <w:rPr>
                <w:noProof/>
                <w:webHidden/>
              </w:rPr>
              <w:fldChar w:fldCharType="end"/>
            </w:r>
          </w:hyperlink>
        </w:p>
        <w:p w14:paraId="36EB45F2" w14:textId="0834D38D"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6"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_Toc212473206 \h </w:instrText>
            </w:r>
            <w:r>
              <w:rPr>
                <w:noProof/>
                <w:webHidden/>
              </w:rPr>
            </w:r>
            <w:r>
              <w:rPr>
                <w:noProof/>
                <w:webHidden/>
              </w:rPr>
              <w:fldChar w:fldCharType="separate"/>
            </w:r>
            <w:r>
              <w:rPr>
                <w:noProof/>
                <w:webHidden/>
              </w:rPr>
              <w:t>96</w:t>
            </w:r>
            <w:r>
              <w:rPr>
                <w:noProof/>
                <w:webHidden/>
              </w:rPr>
              <w:fldChar w:fldCharType="end"/>
            </w:r>
          </w:hyperlink>
        </w:p>
        <w:p w14:paraId="7AE71E91" w14:textId="5938DE90" w:rsidR="00D34A79" w:rsidRDefault="00D34A79">
          <w:pPr>
            <w:pStyle w:val="TOC2"/>
            <w:rPr>
              <w:rFonts w:asciiTheme="minorHAnsi" w:eastAsiaTheme="minorEastAsia" w:hAnsiTheme="minorHAnsi" w:cstheme="minorBidi"/>
              <w:bCs w:val="0"/>
              <w:kern w:val="2"/>
              <w:sz w:val="24"/>
              <w14:ligatures w14:val="standardContextual"/>
            </w:rPr>
          </w:pPr>
          <w:hyperlink w:anchor="_Toc212473207" w:history="1">
            <w:r w:rsidRPr="00CB25A7">
              <w:rPr>
                <w:rStyle w:val="Hyperlink"/>
              </w:rPr>
              <w:t>N15.  SPECIAL TESTS AND PROVISIONS -  INSURANCE PROCEEDS</w:t>
            </w:r>
            <w:r>
              <w:rPr>
                <w:webHidden/>
              </w:rPr>
              <w:tab/>
            </w:r>
            <w:r>
              <w:rPr>
                <w:webHidden/>
              </w:rPr>
              <w:fldChar w:fldCharType="begin"/>
            </w:r>
            <w:r>
              <w:rPr>
                <w:webHidden/>
              </w:rPr>
              <w:instrText xml:space="preserve"> PAGEREF _Toc212473207 \h </w:instrText>
            </w:r>
            <w:r>
              <w:rPr>
                <w:webHidden/>
              </w:rPr>
            </w:r>
            <w:r>
              <w:rPr>
                <w:webHidden/>
              </w:rPr>
              <w:fldChar w:fldCharType="separate"/>
            </w:r>
            <w:r>
              <w:rPr>
                <w:webHidden/>
              </w:rPr>
              <w:t>97</w:t>
            </w:r>
            <w:r>
              <w:rPr>
                <w:webHidden/>
              </w:rPr>
              <w:fldChar w:fldCharType="end"/>
            </w:r>
          </w:hyperlink>
        </w:p>
        <w:p w14:paraId="0F8C8FB9" w14:textId="3E8BECC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8"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_Toc212473208 \h </w:instrText>
            </w:r>
            <w:r>
              <w:rPr>
                <w:noProof/>
                <w:webHidden/>
              </w:rPr>
            </w:r>
            <w:r>
              <w:rPr>
                <w:noProof/>
                <w:webHidden/>
              </w:rPr>
              <w:fldChar w:fldCharType="separate"/>
            </w:r>
            <w:r>
              <w:rPr>
                <w:noProof/>
                <w:webHidden/>
              </w:rPr>
              <w:t>97</w:t>
            </w:r>
            <w:r>
              <w:rPr>
                <w:noProof/>
                <w:webHidden/>
              </w:rPr>
              <w:fldChar w:fldCharType="end"/>
            </w:r>
          </w:hyperlink>
        </w:p>
        <w:p w14:paraId="1E72672E" w14:textId="753459B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09"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_Toc212473209 \h </w:instrText>
            </w:r>
            <w:r>
              <w:rPr>
                <w:noProof/>
                <w:webHidden/>
              </w:rPr>
            </w:r>
            <w:r>
              <w:rPr>
                <w:noProof/>
                <w:webHidden/>
              </w:rPr>
              <w:fldChar w:fldCharType="separate"/>
            </w:r>
            <w:r>
              <w:rPr>
                <w:noProof/>
                <w:webHidden/>
              </w:rPr>
              <w:t>97</w:t>
            </w:r>
            <w:r>
              <w:rPr>
                <w:noProof/>
                <w:webHidden/>
              </w:rPr>
              <w:fldChar w:fldCharType="end"/>
            </w:r>
          </w:hyperlink>
        </w:p>
        <w:p w14:paraId="25ED0151" w14:textId="155AF8D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0"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_Toc212473210 \h </w:instrText>
            </w:r>
            <w:r>
              <w:rPr>
                <w:noProof/>
                <w:webHidden/>
              </w:rPr>
            </w:r>
            <w:r>
              <w:rPr>
                <w:noProof/>
                <w:webHidden/>
              </w:rPr>
              <w:fldChar w:fldCharType="separate"/>
            </w:r>
            <w:r>
              <w:rPr>
                <w:noProof/>
                <w:webHidden/>
              </w:rPr>
              <w:t>98</w:t>
            </w:r>
            <w:r>
              <w:rPr>
                <w:noProof/>
                <w:webHidden/>
              </w:rPr>
              <w:fldChar w:fldCharType="end"/>
            </w:r>
          </w:hyperlink>
        </w:p>
        <w:p w14:paraId="10583D59" w14:textId="23E81491"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1"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_Toc212473211 \h </w:instrText>
            </w:r>
            <w:r>
              <w:rPr>
                <w:noProof/>
                <w:webHidden/>
              </w:rPr>
            </w:r>
            <w:r>
              <w:rPr>
                <w:noProof/>
                <w:webHidden/>
              </w:rPr>
              <w:fldChar w:fldCharType="separate"/>
            </w:r>
            <w:r>
              <w:rPr>
                <w:noProof/>
                <w:webHidden/>
              </w:rPr>
              <w:t>98</w:t>
            </w:r>
            <w:r>
              <w:rPr>
                <w:noProof/>
                <w:webHidden/>
              </w:rPr>
              <w:fldChar w:fldCharType="end"/>
            </w:r>
          </w:hyperlink>
        </w:p>
        <w:p w14:paraId="2436264C" w14:textId="093A38F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2"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_Toc212473212 \h </w:instrText>
            </w:r>
            <w:r>
              <w:rPr>
                <w:noProof/>
                <w:webHidden/>
              </w:rPr>
            </w:r>
            <w:r>
              <w:rPr>
                <w:noProof/>
                <w:webHidden/>
              </w:rPr>
              <w:fldChar w:fldCharType="separate"/>
            </w:r>
            <w:r>
              <w:rPr>
                <w:noProof/>
                <w:webHidden/>
              </w:rPr>
              <w:t>99</w:t>
            </w:r>
            <w:r>
              <w:rPr>
                <w:noProof/>
                <w:webHidden/>
              </w:rPr>
              <w:fldChar w:fldCharType="end"/>
            </w:r>
          </w:hyperlink>
        </w:p>
        <w:p w14:paraId="4C67F678" w14:textId="4092588A" w:rsidR="00D34A79" w:rsidRDefault="00D34A79">
          <w:pPr>
            <w:pStyle w:val="TOC2"/>
            <w:rPr>
              <w:rFonts w:asciiTheme="minorHAnsi" w:eastAsiaTheme="minorEastAsia" w:hAnsiTheme="minorHAnsi" w:cstheme="minorBidi"/>
              <w:bCs w:val="0"/>
              <w:kern w:val="2"/>
              <w:sz w:val="24"/>
              <w14:ligatures w14:val="standardContextual"/>
            </w:rPr>
          </w:pPr>
          <w:hyperlink w:anchor="_Toc212473213" w:history="1">
            <w:r w:rsidRPr="00CB25A7">
              <w:rPr>
                <w:rStyle w:val="Hyperlink"/>
              </w:rPr>
              <w:t>N16.  SPECIAL TESTS AND PROVISIONS – ENVIRONMENTAL CONTAMINANTS TESTING AND REMEDIATION</w:t>
            </w:r>
            <w:r>
              <w:rPr>
                <w:webHidden/>
              </w:rPr>
              <w:tab/>
            </w:r>
            <w:r>
              <w:rPr>
                <w:webHidden/>
              </w:rPr>
              <w:fldChar w:fldCharType="begin"/>
            </w:r>
            <w:r>
              <w:rPr>
                <w:webHidden/>
              </w:rPr>
              <w:instrText xml:space="preserve"> PAGEREF _Toc212473213 \h </w:instrText>
            </w:r>
            <w:r>
              <w:rPr>
                <w:webHidden/>
              </w:rPr>
            </w:r>
            <w:r>
              <w:rPr>
                <w:webHidden/>
              </w:rPr>
              <w:fldChar w:fldCharType="separate"/>
            </w:r>
            <w:r>
              <w:rPr>
                <w:webHidden/>
              </w:rPr>
              <w:t>100</w:t>
            </w:r>
            <w:r>
              <w:rPr>
                <w:webHidden/>
              </w:rPr>
              <w:fldChar w:fldCharType="end"/>
            </w:r>
          </w:hyperlink>
        </w:p>
        <w:p w14:paraId="4B6730A9" w14:textId="53A2E3A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4"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_Toc212473214 \h </w:instrText>
            </w:r>
            <w:r>
              <w:rPr>
                <w:noProof/>
                <w:webHidden/>
              </w:rPr>
            </w:r>
            <w:r>
              <w:rPr>
                <w:noProof/>
                <w:webHidden/>
              </w:rPr>
              <w:fldChar w:fldCharType="separate"/>
            </w:r>
            <w:r>
              <w:rPr>
                <w:noProof/>
                <w:webHidden/>
              </w:rPr>
              <w:t>100</w:t>
            </w:r>
            <w:r>
              <w:rPr>
                <w:noProof/>
                <w:webHidden/>
              </w:rPr>
              <w:fldChar w:fldCharType="end"/>
            </w:r>
          </w:hyperlink>
        </w:p>
        <w:p w14:paraId="50C29FC8" w14:textId="5CD2539C"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5"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_Toc212473215 \h </w:instrText>
            </w:r>
            <w:r>
              <w:rPr>
                <w:noProof/>
                <w:webHidden/>
              </w:rPr>
            </w:r>
            <w:r>
              <w:rPr>
                <w:noProof/>
                <w:webHidden/>
              </w:rPr>
              <w:fldChar w:fldCharType="separate"/>
            </w:r>
            <w:r>
              <w:rPr>
                <w:noProof/>
                <w:webHidden/>
              </w:rPr>
              <w:t>100</w:t>
            </w:r>
            <w:r>
              <w:rPr>
                <w:noProof/>
                <w:webHidden/>
              </w:rPr>
              <w:fldChar w:fldCharType="end"/>
            </w:r>
          </w:hyperlink>
        </w:p>
        <w:p w14:paraId="55789412" w14:textId="6F049C9A"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6"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_Toc212473216 \h </w:instrText>
            </w:r>
            <w:r>
              <w:rPr>
                <w:noProof/>
                <w:webHidden/>
              </w:rPr>
            </w:r>
            <w:r>
              <w:rPr>
                <w:noProof/>
                <w:webHidden/>
              </w:rPr>
              <w:fldChar w:fldCharType="separate"/>
            </w:r>
            <w:r>
              <w:rPr>
                <w:noProof/>
                <w:webHidden/>
              </w:rPr>
              <w:t>101</w:t>
            </w:r>
            <w:r>
              <w:rPr>
                <w:noProof/>
                <w:webHidden/>
              </w:rPr>
              <w:fldChar w:fldCharType="end"/>
            </w:r>
          </w:hyperlink>
        </w:p>
        <w:p w14:paraId="0DD55D45" w14:textId="45FC1A0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7"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_Toc212473217 \h </w:instrText>
            </w:r>
            <w:r>
              <w:rPr>
                <w:noProof/>
                <w:webHidden/>
              </w:rPr>
            </w:r>
            <w:r>
              <w:rPr>
                <w:noProof/>
                <w:webHidden/>
              </w:rPr>
              <w:fldChar w:fldCharType="separate"/>
            </w:r>
            <w:r>
              <w:rPr>
                <w:noProof/>
                <w:webHidden/>
              </w:rPr>
              <w:t>102</w:t>
            </w:r>
            <w:r>
              <w:rPr>
                <w:noProof/>
                <w:webHidden/>
              </w:rPr>
              <w:fldChar w:fldCharType="end"/>
            </w:r>
          </w:hyperlink>
        </w:p>
        <w:p w14:paraId="4D67D4AA" w14:textId="1EE092F4"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18"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_Toc212473218 \h </w:instrText>
            </w:r>
            <w:r>
              <w:rPr>
                <w:noProof/>
                <w:webHidden/>
              </w:rPr>
            </w:r>
            <w:r>
              <w:rPr>
                <w:noProof/>
                <w:webHidden/>
              </w:rPr>
              <w:fldChar w:fldCharType="separate"/>
            </w:r>
            <w:r>
              <w:rPr>
                <w:noProof/>
                <w:webHidden/>
              </w:rPr>
              <w:t>102</w:t>
            </w:r>
            <w:r>
              <w:rPr>
                <w:noProof/>
                <w:webHidden/>
              </w:rPr>
              <w:fldChar w:fldCharType="end"/>
            </w:r>
          </w:hyperlink>
        </w:p>
        <w:p w14:paraId="23566B3B" w14:textId="47B7FDB4" w:rsidR="00D34A79" w:rsidRDefault="00D34A79">
          <w:pPr>
            <w:pStyle w:val="TOC2"/>
            <w:rPr>
              <w:rFonts w:asciiTheme="minorHAnsi" w:eastAsiaTheme="minorEastAsia" w:hAnsiTheme="minorHAnsi" w:cstheme="minorBidi"/>
              <w:bCs w:val="0"/>
              <w:kern w:val="2"/>
              <w:sz w:val="24"/>
              <w14:ligatures w14:val="standardContextual"/>
            </w:rPr>
          </w:pPr>
          <w:hyperlink w:anchor="_Toc212473219" w:history="1">
            <w:r w:rsidRPr="00CB25A7">
              <w:rPr>
                <w:rStyle w:val="Hyperlink"/>
              </w:rPr>
              <w:t>N17.  SPECIAL TESTS AND PROVISIONS – UEL FORMULA (FORM 52722 OMB APPROVAL NO. 2577-0029)</w:t>
            </w:r>
            <w:r>
              <w:rPr>
                <w:webHidden/>
              </w:rPr>
              <w:tab/>
            </w:r>
            <w:r>
              <w:rPr>
                <w:webHidden/>
              </w:rPr>
              <w:fldChar w:fldCharType="begin"/>
            </w:r>
            <w:r>
              <w:rPr>
                <w:webHidden/>
              </w:rPr>
              <w:instrText xml:space="preserve"> PAGEREF _Toc212473219 \h </w:instrText>
            </w:r>
            <w:r>
              <w:rPr>
                <w:webHidden/>
              </w:rPr>
            </w:r>
            <w:r>
              <w:rPr>
                <w:webHidden/>
              </w:rPr>
              <w:fldChar w:fldCharType="separate"/>
            </w:r>
            <w:r>
              <w:rPr>
                <w:webHidden/>
              </w:rPr>
              <w:t>103</w:t>
            </w:r>
            <w:r>
              <w:rPr>
                <w:webHidden/>
              </w:rPr>
              <w:fldChar w:fldCharType="end"/>
            </w:r>
          </w:hyperlink>
        </w:p>
        <w:p w14:paraId="455C785F" w14:textId="4A5D3243"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0"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_Toc212473220 \h </w:instrText>
            </w:r>
            <w:r>
              <w:rPr>
                <w:noProof/>
                <w:webHidden/>
              </w:rPr>
            </w:r>
            <w:r>
              <w:rPr>
                <w:noProof/>
                <w:webHidden/>
              </w:rPr>
              <w:fldChar w:fldCharType="separate"/>
            </w:r>
            <w:r>
              <w:rPr>
                <w:noProof/>
                <w:webHidden/>
              </w:rPr>
              <w:t>103</w:t>
            </w:r>
            <w:r>
              <w:rPr>
                <w:noProof/>
                <w:webHidden/>
              </w:rPr>
              <w:fldChar w:fldCharType="end"/>
            </w:r>
          </w:hyperlink>
        </w:p>
        <w:p w14:paraId="0782A85C" w14:textId="552AE53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1"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_Toc212473221 \h </w:instrText>
            </w:r>
            <w:r>
              <w:rPr>
                <w:noProof/>
                <w:webHidden/>
              </w:rPr>
            </w:r>
            <w:r>
              <w:rPr>
                <w:noProof/>
                <w:webHidden/>
              </w:rPr>
              <w:fldChar w:fldCharType="separate"/>
            </w:r>
            <w:r>
              <w:rPr>
                <w:noProof/>
                <w:webHidden/>
              </w:rPr>
              <w:t>103</w:t>
            </w:r>
            <w:r>
              <w:rPr>
                <w:noProof/>
                <w:webHidden/>
              </w:rPr>
              <w:fldChar w:fldCharType="end"/>
            </w:r>
          </w:hyperlink>
        </w:p>
        <w:p w14:paraId="3A818EB7" w14:textId="75CB0B4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2"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_Toc212473222 \h </w:instrText>
            </w:r>
            <w:r>
              <w:rPr>
                <w:noProof/>
                <w:webHidden/>
              </w:rPr>
            </w:r>
            <w:r>
              <w:rPr>
                <w:noProof/>
                <w:webHidden/>
              </w:rPr>
              <w:fldChar w:fldCharType="separate"/>
            </w:r>
            <w:r>
              <w:rPr>
                <w:noProof/>
                <w:webHidden/>
              </w:rPr>
              <w:t>104</w:t>
            </w:r>
            <w:r>
              <w:rPr>
                <w:noProof/>
                <w:webHidden/>
              </w:rPr>
              <w:fldChar w:fldCharType="end"/>
            </w:r>
          </w:hyperlink>
        </w:p>
        <w:p w14:paraId="174CCC4A" w14:textId="3603500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3"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_Toc212473223 \h </w:instrText>
            </w:r>
            <w:r>
              <w:rPr>
                <w:noProof/>
                <w:webHidden/>
              </w:rPr>
            </w:r>
            <w:r>
              <w:rPr>
                <w:noProof/>
                <w:webHidden/>
              </w:rPr>
              <w:fldChar w:fldCharType="separate"/>
            </w:r>
            <w:r>
              <w:rPr>
                <w:noProof/>
                <w:webHidden/>
              </w:rPr>
              <w:t>104</w:t>
            </w:r>
            <w:r>
              <w:rPr>
                <w:noProof/>
                <w:webHidden/>
              </w:rPr>
              <w:fldChar w:fldCharType="end"/>
            </w:r>
          </w:hyperlink>
        </w:p>
        <w:p w14:paraId="7845E322" w14:textId="1458C7A6"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4"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_Toc212473224 \h </w:instrText>
            </w:r>
            <w:r>
              <w:rPr>
                <w:noProof/>
                <w:webHidden/>
              </w:rPr>
            </w:r>
            <w:r>
              <w:rPr>
                <w:noProof/>
                <w:webHidden/>
              </w:rPr>
              <w:fldChar w:fldCharType="separate"/>
            </w:r>
            <w:r>
              <w:rPr>
                <w:noProof/>
                <w:webHidden/>
              </w:rPr>
              <w:t>105</w:t>
            </w:r>
            <w:r>
              <w:rPr>
                <w:noProof/>
                <w:webHidden/>
              </w:rPr>
              <w:fldChar w:fldCharType="end"/>
            </w:r>
          </w:hyperlink>
        </w:p>
        <w:p w14:paraId="2C278EA8" w14:textId="0CD76714" w:rsidR="00D34A79" w:rsidRDefault="00D34A79">
          <w:pPr>
            <w:pStyle w:val="TOC2"/>
            <w:rPr>
              <w:rFonts w:asciiTheme="minorHAnsi" w:eastAsiaTheme="minorEastAsia" w:hAnsiTheme="minorHAnsi" w:cstheme="minorBidi"/>
              <w:bCs w:val="0"/>
              <w:kern w:val="2"/>
              <w:sz w:val="24"/>
              <w14:ligatures w14:val="standardContextual"/>
            </w:rPr>
          </w:pPr>
          <w:hyperlink w:anchor="_Toc212473225" w:history="1">
            <w:r w:rsidRPr="00CB25A7">
              <w:rPr>
                <w:rStyle w:val="Hyperlink"/>
              </w:rPr>
              <w:t>N18.  SPECIAL TESTS AND PROVISIONS – FORMULA INCOME</w:t>
            </w:r>
            <w:r>
              <w:rPr>
                <w:webHidden/>
              </w:rPr>
              <w:tab/>
            </w:r>
            <w:r>
              <w:rPr>
                <w:webHidden/>
              </w:rPr>
              <w:fldChar w:fldCharType="begin"/>
            </w:r>
            <w:r>
              <w:rPr>
                <w:webHidden/>
              </w:rPr>
              <w:instrText xml:space="preserve"> PAGEREF _Toc212473225 \h </w:instrText>
            </w:r>
            <w:r>
              <w:rPr>
                <w:webHidden/>
              </w:rPr>
            </w:r>
            <w:r>
              <w:rPr>
                <w:webHidden/>
              </w:rPr>
              <w:fldChar w:fldCharType="separate"/>
            </w:r>
            <w:r>
              <w:rPr>
                <w:webHidden/>
              </w:rPr>
              <w:t>107</w:t>
            </w:r>
            <w:r>
              <w:rPr>
                <w:webHidden/>
              </w:rPr>
              <w:fldChar w:fldCharType="end"/>
            </w:r>
          </w:hyperlink>
        </w:p>
        <w:p w14:paraId="04988DE3" w14:textId="37D8C631"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6"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_Toc212473226 \h </w:instrText>
            </w:r>
            <w:r>
              <w:rPr>
                <w:noProof/>
                <w:webHidden/>
              </w:rPr>
            </w:r>
            <w:r>
              <w:rPr>
                <w:noProof/>
                <w:webHidden/>
              </w:rPr>
              <w:fldChar w:fldCharType="separate"/>
            </w:r>
            <w:r>
              <w:rPr>
                <w:noProof/>
                <w:webHidden/>
              </w:rPr>
              <w:t>107</w:t>
            </w:r>
            <w:r>
              <w:rPr>
                <w:noProof/>
                <w:webHidden/>
              </w:rPr>
              <w:fldChar w:fldCharType="end"/>
            </w:r>
          </w:hyperlink>
        </w:p>
        <w:p w14:paraId="6B88028C" w14:textId="0A657352"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7"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_Toc212473227 \h </w:instrText>
            </w:r>
            <w:r>
              <w:rPr>
                <w:noProof/>
                <w:webHidden/>
              </w:rPr>
            </w:r>
            <w:r>
              <w:rPr>
                <w:noProof/>
                <w:webHidden/>
              </w:rPr>
              <w:fldChar w:fldCharType="separate"/>
            </w:r>
            <w:r>
              <w:rPr>
                <w:noProof/>
                <w:webHidden/>
              </w:rPr>
              <w:t>107</w:t>
            </w:r>
            <w:r>
              <w:rPr>
                <w:noProof/>
                <w:webHidden/>
              </w:rPr>
              <w:fldChar w:fldCharType="end"/>
            </w:r>
          </w:hyperlink>
        </w:p>
        <w:p w14:paraId="5BD6A0D4" w14:textId="03E5A649"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8"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_Toc212473228 \h </w:instrText>
            </w:r>
            <w:r>
              <w:rPr>
                <w:noProof/>
                <w:webHidden/>
              </w:rPr>
            </w:r>
            <w:r>
              <w:rPr>
                <w:noProof/>
                <w:webHidden/>
              </w:rPr>
              <w:fldChar w:fldCharType="separate"/>
            </w:r>
            <w:r>
              <w:rPr>
                <w:noProof/>
                <w:webHidden/>
              </w:rPr>
              <w:t>107</w:t>
            </w:r>
            <w:r>
              <w:rPr>
                <w:noProof/>
                <w:webHidden/>
              </w:rPr>
              <w:fldChar w:fldCharType="end"/>
            </w:r>
          </w:hyperlink>
        </w:p>
        <w:p w14:paraId="53E4DB7A" w14:textId="6B0387DB"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29"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_Toc212473229 \h </w:instrText>
            </w:r>
            <w:r>
              <w:rPr>
                <w:noProof/>
                <w:webHidden/>
              </w:rPr>
            </w:r>
            <w:r>
              <w:rPr>
                <w:noProof/>
                <w:webHidden/>
              </w:rPr>
              <w:fldChar w:fldCharType="separate"/>
            </w:r>
            <w:r>
              <w:rPr>
                <w:noProof/>
                <w:webHidden/>
              </w:rPr>
              <w:t>109</w:t>
            </w:r>
            <w:r>
              <w:rPr>
                <w:noProof/>
                <w:webHidden/>
              </w:rPr>
              <w:fldChar w:fldCharType="end"/>
            </w:r>
          </w:hyperlink>
        </w:p>
        <w:p w14:paraId="0DC4B7D5" w14:textId="2036C2BF"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30"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_Toc212473230 \h </w:instrText>
            </w:r>
            <w:r>
              <w:rPr>
                <w:noProof/>
                <w:webHidden/>
              </w:rPr>
            </w:r>
            <w:r>
              <w:rPr>
                <w:noProof/>
                <w:webHidden/>
              </w:rPr>
              <w:fldChar w:fldCharType="separate"/>
            </w:r>
            <w:r>
              <w:rPr>
                <w:noProof/>
                <w:webHidden/>
              </w:rPr>
              <w:t>109</w:t>
            </w:r>
            <w:r>
              <w:rPr>
                <w:noProof/>
                <w:webHidden/>
              </w:rPr>
              <w:fldChar w:fldCharType="end"/>
            </w:r>
          </w:hyperlink>
        </w:p>
        <w:p w14:paraId="4ECD180E" w14:textId="131EE5BE" w:rsidR="00D34A79" w:rsidRDefault="00D34A79">
          <w:pPr>
            <w:pStyle w:val="TOC2"/>
            <w:rPr>
              <w:rFonts w:asciiTheme="minorHAnsi" w:eastAsiaTheme="minorEastAsia" w:hAnsiTheme="minorHAnsi" w:cstheme="minorBidi"/>
              <w:bCs w:val="0"/>
              <w:kern w:val="2"/>
              <w:sz w:val="24"/>
              <w14:ligatures w14:val="standardContextual"/>
            </w:rPr>
          </w:pPr>
          <w:hyperlink w:anchor="_Toc212473231" w:history="1">
            <w:r w:rsidRPr="00CB25A7">
              <w:rPr>
                <w:rStyle w:val="Hyperlink"/>
              </w:rPr>
              <w:t>N19. SPECIAL TESTS AND PROVISIONS – SHORTFALL FUNDING</w:t>
            </w:r>
            <w:r>
              <w:rPr>
                <w:webHidden/>
              </w:rPr>
              <w:tab/>
            </w:r>
            <w:r>
              <w:rPr>
                <w:webHidden/>
              </w:rPr>
              <w:fldChar w:fldCharType="begin"/>
            </w:r>
            <w:r>
              <w:rPr>
                <w:webHidden/>
              </w:rPr>
              <w:instrText xml:space="preserve"> PAGEREF _Toc212473231 \h </w:instrText>
            </w:r>
            <w:r>
              <w:rPr>
                <w:webHidden/>
              </w:rPr>
            </w:r>
            <w:r>
              <w:rPr>
                <w:webHidden/>
              </w:rPr>
              <w:fldChar w:fldCharType="separate"/>
            </w:r>
            <w:r>
              <w:rPr>
                <w:webHidden/>
              </w:rPr>
              <w:t>111</w:t>
            </w:r>
            <w:r>
              <w:rPr>
                <w:webHidden/>
              </w:rPr>
              <w:fldChar w:fldCharType="end"/>
            </w:r>
          </w:hyperlink>
        </w:p>
        <w:p w14:paraId="2D20BB56" w14:textId="46B59DB8"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32" w:history="1">
            <w:r w:rsidRPr="00CB25A7">
              <w:rPr>
                <w:rStyle w:val="Hyperlink"/>
                <w:rFonts w:cs="Arial"/>
                <w:noProof/>
              </w:rPr>
              <w:t>OMB Compliance Requirements</w:t>
            </w:r>
            <w:r>
              <w:rPr>
                <w:noProof/>
                <w:webHidden/>
              </w:rPr>
              <w:tab/>
            </w:r>
            <w:r>
              <w:rPr>
                <w:noProof/>
                <w:webHidden/>
              </w:rPr>
              <w:fldChar w:fldCharType="begin"/>
            </w:r>
            <w:r>
              <w:rPr>
                <w:noProof/>
                <w:webHidden/>
              </w:rPr>
              <w:instrText xml:space="preserve"> PAGEREF _Toc212473232 \h </w:instrText>
            </w:r>
            <w:r>
              <w:rPr>
                <w:noProof/>
                <w:webHidden/>
              </w:rPr>
            </w:r>
            <w:r>
              <w:rPr>
                <w:noProof/>
                <w:webHidden/>
              </w:rPr>
              <w:fldChar w:fldCharType="separate"/>
            </w:r>
            <w:r>
              <w:rPr>
                <w:noProof/>
                <w:webHidden/>
              </w:rPr>
              <w:t>111</w:t>
            </w:r>
            <w:r>
              <w:rPr>
                <w:noProof/>
                <w:webHidden/>
              </w:rPr>
              <w:fldChar w:fldCharType="end"/>
            </w:r>
          </w:hyperlink>
        </w:p>
        <w:p w14:paraId="5BBF9B72" w14:textId="34C4533B"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33" w:history="1">
            <w:r w:rsidRPr="00CB25A7">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_Toc212473233 \h </w:instrText>
            </w:r>
            <w:r>
              <w:rPr>
                <w:noProof/>
                <w:webHidden/>
              </w:rPr>
            </w:r>
            <w:r>
              <w:rPr>
                <w:noProof/>
                <w:webHidden/>
              </w:rPr>
              <w:fldChar w:fldCharType="separate"/>
            </w:r>
            <w:r>
              <w:rPr>
                <w:noProof/>
                <w:webHidden/>
              </w:rPr>
              <w:t>111</w:t>
            </w:r>
            <w:r>
              <w:rPr>
                <w:noProof/>
                <w:webHidden/>
              </w:rPr>
              <w:fldChar w:fldCharType="end"/>
            </w:r>
          </w:hyperlink>
        </w:p>
        <w:p w14:paraId="60BB5002" w14:textId="75745511"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34" w:history="1">
            <w:r w:rsidRPr="00CB25A7">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_Toc212473234 \h </w:instrText>
            </w:r>
            <w:r>
              <w:rPr>
                <w:noProof/>
                <w:webHidden/>
              </w:rPr>
            </w:r>
            <w:r>
              <w:rPr>
                <w:noProof/>
                <w:webHidden/>
              </w:rPr>
              <w:fldChar w:fldCharType="separate"/>
            </w:r>
            <w:r>
              <w:rPr>
                <w:noProof/>
                <w:webHidden/>
              </w:rPr>
              <w:t>111</w:t>
            </w:r>
            <w:r>
              <w:rPr>
                <w:noProof/>
                <w:webHidden/>
              </w:rPr>
              <w:fldChar w:fldCharType="end"/>
            </w:r>
          </w:hyperlink>
        </w:p>
        <w:p w14:paraId="0CF956A3" w14:textId="42454F25"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35" w:history="1">
            <w:r w:rsidRPr="00CB25A7">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_Toc212473235 \h </w:instrText>
            </w:r>
            <w:r>
              <w:rPr>
                <w:noProof/>
                <w:webHidden/>
              </w:rPr>
            </w:r>
            <w:r>
              <w:rPr>
                <w:noProof/>
                <w:webHidden/>
              </w:rPr>
              <w:fldChar w:fldCharType="separate"/>
            </w:r>
            <w:r>
              <w:rPr>
                <w:noProof/>
                <w:webHidden/>
              </w:rPr>
              <w:t>112</w:t>
            </w:r>
            <w:r>
              <w:rPr>
                <w:noProof/>
                <w:webHidden/>
              </w:rPr>
              <w:fldChar w:fldCharType="end"/>
            </w:r>
          </w:hyperlink>
        </w:p>
        <w:p w14:paraId="547D72FF" w14:textId="4EF2C5CE" w:rsidR="00D34A79" w:rsidRDefault="00D34A79">
          <w:pPr>
            <w:pStyle w:val="TOC3"/>
            <w:rPr>
              <w:rFonts w:asciiTheme="minorHAnsi" w:eastAsiaTheme="minorEastAsia" w:hAnsiTheme="minorHAnsi" w:cstheme="minorBidi"/>
              <w:b w:val="0"/>
              <w:noProof/>
              <w:kern w:val="2"/>
              <w:sz w:val="24"/>
              <w:szCs w:val="24"/>
              <w14:ligatures w14:val="standardContextual"/>
            </w:rPr>
          </w:pPr>
          <w:hyperlink w:anchor="_Toc212473236" w:history="1">
            <w:r w:rsidRPr="00CB25A7">
              <w:rPr>
                <w:rStyle w:val="Hyperlink"/>
                <w:rFonts w:cs="Arial"/>
                <w:noProof/>
              </w:rPr>
              <w:t>Audit Implications Summary</w:t>
            </w:r>
            <w:r>
              <w:rPr>
                <w:noProof/>
                <w:webHidden/>
              </w:rPr>
              <w:tab/>
            </w:r>
            <w:r>
              <w:rPr>
                <w:noProof/>
                <w:webHidden/>
              </w:rPr>
              <w:fldChar w:fldCharType="begin"/>
            </w:r>
            <w:r>
              <w:rPr>
                <w:noProof/>
                <w:webHidden/>
              </w:rPr>
              <w:instrText xml:space="preserve"> PAGEREF _Toc212473236 \h </w:instrText>
            </w:r>
            <w:r>
              <w:rPr>
                <w:noProof/>
                <w:webHidden/>
              </w:rPr>
            </w:r>
            <w:r>
              <w:rPr>
                <w:noProof/>
                <w:webHidden/>
              </w:rPr>
              <w:fldChar w:fldCharType="separate"/>
            </w:r>
            <w:r>
              <w:rPr>
                <w:noProof/>
                <w:webHidden/>
              </w:rPr>
              <w:t>112</w:t>
            </w:r>
            <w:r>
              <w:rPr>
                <w:noProof/>
                <w:webHidden/>
              </w:rPr>
              <w:fldChar w:fldCharType="end"/>
            </w:r>
          </w:hyperlink>
        </w:p>
        <w:p w14:paraId="6BB17AEC" w14:textId="29F348B2" w:rsidR="00D34A79" w:rsidRDefault="00D34A79">
          <w:pPr>
            <w:pStyle w:val="TOC2"/>
            <w:rPr>
              <w:rFonts w:asciiTheme="minorHAnsi" w:eastAsiaTheme="minorEastAsia" w:hAnsiTheme="minorHAnsi" w:cstheme="minorBidi"/>
              <w:bCs w:val="0"/>
              <w:kern w:val="2"/>
              <w:sz w:val="24"/>
              <w14:ligatures w14:val="standardContextual"/>
            </w:rPr>
          </w:pPr>
          <w:hyperlink w:anchor="_Toc212473237" w:history="1">
            <w:r w:rsidRPr="00CB25A7">
              <w:rPr>
                <w:rStyle w:val="Hyperlink"/>
              </w:rPr>
              <w:t>Program Testing Conclusion</w:t>
            </w:r>
            <w:r>
              <w:rPr>
                <w:webHidden/>
              </w:rPr>
              <w:tab/>
            </w:r>
            <w:r>
              <w:rPr>
                <w:webHidden/>
              </w:rPr>
              <w:fldChar w:fldCharType="begin"/>
            </w:r>
            <w:r>
              <w:rPr>
                <w:webHidden/>
              </w:rPr>
              <w:instrText xml:space="preserve"> PAGEREF _Toc212473237 \h </w:instrText>
            </w:r>
            <w:r>
              <w:rPr>
                <w:webHidden/>
              </w:rPr>
            </w:r>
            <w:r>
              <w:rPr>
                <w:webHidden/>
              </w:rPr>
              <w:fldChar w:fldCharType="separate"/>
            </w:r>
            <w:r>
              <w:rPr>
                <w:webHidden/>
              </w:rPr>
              <w:t>114</w:t>
            </w:r>
            <w:r>
              <w:rPr>
                <w:webHidden/>
              </w:rPr>
              <w:fldChar w:fldCharType="end"/>
            </w:r>
          </w:hyperlink>
        </w:p>
        <w:p w14:paraId="03C2BB18" w14:textId="12C5AB38"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8B4BCE">
      <w:pPr>
        <w:pStyle w:val="ListParagraph"/>
        <w:numPr>
          <w:ilvl w:val="0"/>
          <w:numId w:val="28"/>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8B4BCE">
      <w:pPr>
        <w:pStyle w:val="ListParagraph"/>
        <w:numPr>
          <w:ilvl w:val="0"/>
          <w:numId w:val="28"/>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8B4BCE">
      <w:pPr>
        <w:pStyle w:val="BodyText"/>
        <w:numPr>
          <w:ilvl w:val="0"/>
          <w:numId w:val="29"/>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8B4BCE">
      <w:pPr>
        <w:pStyle w:val="BodyText"/>
        <w:numPr>
          <w:ilvl w:val="0"/>
          <w:numId w:val="29"/>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8B4BCE">
      <w:pPr>
        <w:pStyle w:val="BodyText"/>
        <w:numPr>
          <w:ilvl w:val="0"/>
          <w:numId w:val="29"/>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8B4BCE">
      <w:pPr>
        <w:pStyle w:val="BodyText"/>
        <w:numPr>
          <w:ilvl w:val="0"/>
          <w:numId w:val="29"/>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04232BA"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8B4BCE">
      <w:pPr>
        <w:pStyle w:val="ListParagraph"/>
        <w:numPr>
          <w:ilvl w:val="0"/>
          <w:numId w:val="40"/>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8B4BCE">
      <w:pPr>
        <w:pStyle w:val="ListParagraph"/>
        <w:numPr>
          <w:ilvl w:val="0"/>
          <w:numId w:val="40"/>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2473088"/>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2473089"/>
      <w:r w:rsidRPr="00A0464C">
        <w:rPr>
          <w:rFonts w:cs="Arial"/>
          <w:sz w:val="24"/>
          <w:szCs w:val="24"/>
        </w:rPr>
        <w:t>I. Program Objectives</w:t>
      </w:r>
      <w:bookmarkEnd w:id="11"/>
    </w:p>
    <w:p w14:paraId="47FBF2E8" w14:textId="486CB655" w:rsidR="009656BB" w:rsidRPr="00F00D94" w:rsidRDefault="00227793" w:rsidP="006672EA">
      <w:pPr>
        <w:spacing w:after="240"/>
        <w:jc w:val="both"/>
        <w:rPr>
          <w:rFonts w:ascii="Arial" w:hAnsi="Arial" w:cs="Arial"/>
          <w:bCs/>
        </w:rPr>
      </w:pPr>
      <w:r w:rsidRPr="00227793">
        <w:rPr>
          <w:rFonts w:ascii="Arial" w:hAnsi="Arial" w:cs="Arial"/>
          <w:bCs/>
        </w:rPr>
        <w:t>The overall objective of the Office of Public and Indian Housing (PIH) program is to provide and operate cost-effective, decent, safe, and affordable dwellings for lower-income families through an authorized local Public Housing Agency (PHA).</w:t>
      </w:r>
    </w:p>
    <w:p w14:paraId="27A28DF7" w14:textId="73BCB511" w:rsidR="009656BB" w:rsidRPr="00F00D94" w:rsidRDefault="00227793" w:rsidP="006672EA">
      <w:pPr>
        <w:spacing w:after="240"/>
        <w:jc w:val="both"/>
        <w:rPr>
          <w:rFonts w:ascii="Arial" w:hAnsi="Arial" w:cs="Arial"/>
          <w:bCs/>
        </w:rPr>
      </w:pPr>
      <w:bookmarkStart w:id="12" w:name="_Hlk120608693"/>
      <w:r>
        <w:rPr>
          <w:rFonts w:ascii="Arial" w:hAnsi="Arial" w:cs="Arial"/>
          <w:bCs/>
          <w:i/>
          <w:iCs/>
        </w:rPr>
        <w:t>(Source: 2025 OMB Compliance Supplement, Part 4, HUD, #14.850 Public Housing Operating Fund)</w:t>
      </w:r>
      <w:bookmarkEnd w:id="12"/>
    </w:p>
    <w:p w14:paraId="222D14D9" w14:textId="77777777" w:rsidR="009656BB" w:rsidRPr="00A0464C" w:rsidRDefault="009656BB" w:rsidP="006672EA">
      <w:pPr>
        <w:pStyle w:val="Heading3"/>
        <w:jc w:val="both"/>
        <w:rPr>
          <w:rFonts w:cs="Arial"/>
          <w:sz w:val="24"/>
          <w:szCs w:val="24"/>
        </w:rPr>
      </w:pPr>
      <w:bookmarkStart w:id="13" w:name="_Toc212473090"/>
      <w:r w:rsidRPr="00A0464C">
        <w:rPr>
          <w:rFonts w:cs="Arial"/>
          <w:sz w:val="24"/>
          <w:szCs w:val="24"/>
        </w:rPr>
        <w:t>II. Program Procedures</w:t>
      </w:r>
      <w:bookmarkEnd w:id="13"/>
    </w:p>
    <w:p w14:paraId="5C617724" w14:textId="77777777" w:rsidR="00227793" w:rsidRPr="00227793" w:rsidRDefault="00227793" w:rsidP="00227793">
      <w:pPr>
        <w:spacing w:after="160" w:line="278" w:lineRule="auto"/>
        <w:jc w:val="both"/>
        <w:rPr>
          <w:rFonts w:ascii="Arial" w:eastAsia="Aptos" w:hAnsi="Arial" w:cs="Arial"/>
          <w:b/>
          <w:bCs/>
          <w:kern w:val="2"/>
          <w14:ligatures w14:val="standardContextual"/>
        </w:rPr>
      </w:pPr>
      <w:r w:rsidRPr="00227793">
        <w:rPr>
          <w:rFonts w:ascii="Arial" w:eastAsia="Aptos" w:hAnsi="Arial" w:cs="Arial"/>
          <w:b/>
          <w:bCs/>
          <w:kern w:val="2"/>
          <w14:ligatures w14:val="standardContextual"/>
        </w:rPr>
        <w:t>A.</w:t>
      </w:r>
      <w:r w:rsidRPr="00227793">
        <w:rPr>
          <w:rFonts w:ascii="Arial" w:eastAsia="Aptos" w:hAnsi="Arial" w:cs="Arial"/>
          <w:b/>
          <w:bCs/>
          <w:kern w:val="2"/>
          <w14:ligatures w14:val="standardContextual"/>
        </w:rPr>
        <w:tab/>
        <w:t>Overview</w:t>
      </w:r>
    </w:p>
    <w:p w14:paraId="222491E5" w14:textId="77777777" w:rsidR="00227793" w:rsidRPr="00227793" w:rsidRDefault="00227793" w:rsidP="00227793">
      <w:pPr>
        <w:spacing w:after="160" w:line="278" w:lineRule="auto"/>
        <w:ind w:left="720"/>
        <w:jc w:val="both"/>
        <w:rPr>
          <w:rFonts w:ascii="Arial" w:eastAsia="Aptos" w:hAnsi="Arial" w:cs="Arial"/>
          <w:kern w:val="2"/>
          <w14:ligatures w14:val="standardContextual"/>
        </w:rPr>
      </w:pPr>
      <w:r w:rsidRPr="00227793">
        <w:rPr>
          <w:rFonts w:ascii="Arial" w:eastAsia="Aptos" w:hAnsi="Arial" w:cs="Arial"/>
          <w:kern w:val="2"/>
          <w14:ligatures w14:val="standardContextual"/>
        </w:rPr>
        <w:t>Operating Fund grants are available to achieve and maintain adequate operating and maintenance service and reserve funds. Capital Fund grants are provided for modernization and development activities.</w:t>
      </w:r>
    </w:p>
    <w:p w14:paraId="77D42265" w14:textId="5A222586" w:rsidR="00227793" w:rsidRPr="00227793" w:rsidRDefault="00227793" w:rsidP="00227793">
      <w:pPr>
        <w:spacing w:after="160" w:line="278" w:lineRule="auto"/>
        <w:ind w:left="720"/>
        <w:jc w:val="both"/>
        <w:rPr>
          <w:rFonts w:ascii="Arial" w:eastAsia="Aptos" w:hAnsi="Arial" w:cs="Arial"/>
          <w:kern w:val="2"/>
          <w14:ligatures w14:val="standardContextual"/>
        </w:rPr>
      </w:pPr>
      <w:r w:rsidRPr="00227793">
        <w:rPr>
          <w:rFonts w:ascii="Arial" w:eastAsia="Aptos" w:hAnsi="Arial" w:cs="Arial"/>
          <w:kern w:val="2"/>
          <w14:ligatures w14:val="standardContextual"/>
        </w:rPr>
        <w:t>PHAs established in accordance with state law are eligible to administer the public housing program. The local governing body must approve the proposed program. Three core occupancy procedures are described in program regulations and other guidance: (1) determination of eligibility, (2) determination of income and rent, and (3) leasing and continuing occupancy.</w:t>
      </w:r>
    </w:p>
    <w:p w14:paraId="20387627" w14:textId="77777777" w:rsidR="00227793" w:rsidRPr="00227793" w:rsidRDefault="00227793" w:rsidP="00227793">
      <w:pPr>
        <w:spacing w:after="160" w:line="278" w:lineRule="auto"/>
        <w:jc w:val="both"/>
        <w:rPr>
          <w:rFonts w:ascii="Arial" w:eastAsia="Aptos" w:hAnsi="Arial" w:cs="Arial"/>
          <w:b/>
          <w:bCs/>
          <w:kern w:val="2"/>
          <w14:ligatures w14:val="standardContextual"/>
        </w:rPr>
      </w:pPr>
      <w:r w:rsidRPr="00227793">
        <w:rPr>
          <w:rFonts w:ascii="Arial" w:eastAsia="Aptos" w:hAnsi="Arial" w:cs="Arial"/>
          <w:b/>
          <w:bCs/>
          <w:kern w:val="2"/>
          <w14:ligatures w14:val="standardContextual"/>
        </w:rPr>
        <w:t>B.</w:t>
      </w:r>
      <w:r w:rsidRPr="00227793">
        <w:rPr>
          <w:rFonts w:ascii="Arial" w:eastAsia="Aptos" w:hAnsi="Arial" w:cs="Arial"/>
          <w:b/>
          <w:bCs/>
          <w:kern w:val="2"/>
          <w14:ligatures w14:val="standardContextual"/>
        </w:rPr>
        <w:tab/>
        <w:t>Subprograms/Program Elements</w:t>
      </w:r>
    </w:p>
    <w:p w14:paraId="31197A94" w14:textId="77777777" w:rsidR="00227793" w:rsidRPr="00227793" w:rsidRDefault="00227793" w:rsidP="0023503F">
      <w:pPr>
        <w:spacing w:after="160" w:line="278" w:lineRule="auto"/>
        <w:ind w:firstLine="720"/>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1.</w:t>
      </w:r>
      <w:r w:rsidRPr="00227793">
        <w:rPr>
          <w:rFonts w:ascii="Arial" w:eastAsia="Aptos" w:hAnsi="Arial" w:cs="Arial"/>
          <w:i/>
          <w:iCs/>
          <w:kern w:val="2"/>
          <w14:ligatures w14:val="standardContextual"/>
        </w:rPr>
        <w:tab/>
        <w:t>Operating Fund</w:t>
      </w:r>
    </w:p>
    <w:p w14:paraId="39805363"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PHAs with more than 250 rental dwelling units must manage properties according to an asset management model consistent with the management norms in the broader multi-family management industry. PHAs must comply with asset management requirements.</w:t>
      </w:r>
    </w:p>
    <w:p w14:paraId="0B0BCBB8"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Asset management has five interrelated core elements: project-based funding, budgeting, accounting, management, and oversight/performance assessment. PHAs must implement these project-based practices, which include project- specific financial reporting through the Financial Data Schedule (FDS). PHAs that own and operate 250 or more dwelling rental units and do not intend to fund central office operating costs with Capital Fund grants must establish a Central Office Cost Center (COCC) to account for non-project specific costs because, if using Capital Fund grants, these costs get charged to the project as opposed to a COCC.</w:t>
      </w:r>
    </w:p>
    <w:p w14:paraId="5E9301A5"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The COCC must charge each project for indirect costs (expenses of the “management company,” namely the COCC) using a fee-for-service approach.</w:t>
      </w:r>
    </w:p>
    <w:p w14:paraId="48B312CC"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Each project shall be charged for the services received and only to the extent that such amounts are reasonable. The asset management fee and funds transfers between projects (project fungibility) will be limited to the restrictions made on excess cash. Excess cash will also be monitored as a compliance requirement after the first year of asset management.</w:t>
      </w:r>
    </w:p>
    <w:p w14:paraId="18E4FF9E"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 xml:space="preserve">The grant assistance is made available from the Operating Fund through the Annual Contributions Contract (ACC). The ACC is a grant agreement between the Department of Housing and Urban Development (HUD) and the PHA, whereby HUD agrees to provide grant assistance, and the PHA agrees to comply with HUD requirements for the development and operation of its public housing projects (24 CFR section 990.115). </w:t>
      </w:r>
      <w:r w:rsidRPr="00227793">
        <w:rPr>
          <w:rFonts w:ascii="Arial" w:eastAsia="Aptos" w:hAnsi="Arial" w:cs="Arial"/>
          <w:kern w:val="2"/>
          <w14:ligatures w14:val="standardContextual"/>
        </w:rPr>
        <w:lastRenderedPageBreak/>
        <w:t>Funding is determined by a formula used to calculate the amount of eligible operating subsidy for each PHA. The operating subsidy is equal to the project’s Project Expense Level (PEL) plus the Utilities Expense Level (UEL), multiplied by Eligible Unit Months (EUM) plus other formula expenses (add-ons) minus formula income. The methodology and procedures for this calculation are found in 24 CFR Part 990.</w:t>
      </w:r>
    </w:p>
    <w:p w14:paraId="242F0C45"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The Operating Fund calculation is prepared in conjunction with the project’s annual operating subsidy worksheet in HUD Form 52723, Operating Fund Calculation of Operating Subsidy (OMB No. 2577-0029) and HUD Form 52722, Operating Fund Calculation of Utilities Expense Level (OMB No. 2577-0029). Both forms are prepared by PHAs and submitted to HUD before the beginning of the calendar year (CY) in accordance with the schedule established by HUD.</w:t>
      </w:r>
    </w:p>
    <w:p w14:paraId="3BF66B90"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Essentially, the PEL, which is the non-utility costs for each project, is based on what it would cost a well-managed project of comparable location and characteristics to operate based on such variables: (1) size of project (number of units); (2) age of property (date of full availability); (3) bedroom mix; (4) building type; (5) occupancy type; (6) location (an indicator of the type of community in which a property is located (location types include rural, city central metropolitan, and non-city central metropolitan (suburban) areas); (7) neighborhood poverty rate; (8) percentage of households assisted; (9) ownership type (profit, nonprofit, or limited dividend); and (10) geographic location.</w:t>
      </w:r>
    </w:p>
    <w:p w14:paraId="77894B80"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The resulting PELs are arrived at by application of the formula utilizing these variables. These costs are updated annually based on inflation and changes in the PHA characteristics included in the equation. The UEL is a figure that reflects payment to the PHA for PHA-paid utility costs for each project. The UEL is formula-determined, reflective of actual consumption during the previous four years, recent utility rates, and a factor for inflation.</w:t>
      </w:r>
    </w:p>
    <w:p w14:paraId="692265AF"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As owners, PHAs have asset management responsibilities that go above and beyond property management activities. These responsibilities include decision- making on topics such as long-term capital planning and allocation, the setting of ceiling or flat rents, review of financial information and physical stock, property management performance, long-term viability of properties, property repositioning and replacement strategies, risk management responsibilities pertaining to regulatory compliance, and those decisions otherwise consistent with the PHA’s ACC responsibilities, as appropriate.</w:t>
      </w:r>
    </w:p>
    <w:p w14:paraId="67A3D1E6" w14:textId="77777777" w:rsidR="00227793" w:rsidRPr="00227793" w:rsidRDefault="00227793" w:rsidP="0023503F">
      <w:pPr>
        <w:spacing w:after="160" w:line="278" w:lineRule="auto"/>
        <w:ind w:firstLine="720"/>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2.</w:t>
      </w:r>
      <w:r w:rsidRPr="00227793">
        <w:rPr>
          <w:rFonts w:ascii="Arial" w:eastAsia="Aptos" w:hAnsi="Arial" w:cs="Arial"/>
          <w:i/>
          <w:iCs/>
          <w:kern w:val="2"/>
          <w14:ligatures w14:val="standardContextual"/>
        </w:rPr>
        <w:tab/>
        <w:t>Rental Assistance Demonstration Program</w:t>
      </w:r>
    </w:p>
    <w:p w14:paraId="12B850E7"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In 2012, Congress authorized the Rental Assistance Demonstration (RAD) to test a new way to meet the large and growing capital improvement needs of the nation’s aging public housing stock and preserve projects funded under HUD’s “legacy” programs. Under RAD, properties “convert” their assistance to long- term, project-based Section 8 contracts. RAD allows PHAs to convert some or all its public housing units to a project-based voucher program (PBV) or a project- based rental assistance contract with HUD multifamily (PBRA). Currently, Congressional appropriation language allows for 455,000 units to be converted under the RAD program. Units approved under RAD are removed from the public housing system when the new PBV or PBRA Section 8 contract is effective.</w:t>
      </w:r>
    </w:p>
    <w:p w14:paraId="44047A6B"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 xml:space="preserve">Conversions may occur at any time during the year. While the project is effectively under a new federal program at closing, funding for these converted units under the PBV or PBRA </w:t>
      </w:r>
      <w:r w:rsidRPr="00227793">
        <w:rPr>
          <w:rFonts w:ascii="Arial" w:eastAsia="Aptos" w:hAnsi="Arial" w:cs="Arial"/>
          <w:kern w:val="2"/>
          <w14:ligatures w14:val="standardContextual"/>
        </w:rPr>
        <w:lastRenderedPageBreak/>
        <w:t>program will not begin until the beginning of the next calendar year (i.e., January 1st of the year following closing). Therefore, the funding mechanism from the conversion point through the end of the current calendar year remains Public Housing Operating Fund and/or the Capital Fund Program (CFP) grants. As such, any amounts (Operating Fund or CFP funds) received by the PHA under prior ACCs and transferred to the new RAD property as outlined by the documents of the RAD conversion are eligible and allowable costs of the respective program.</w:t>
      </w:r>
    </w:p>
    <w:p w14:paraId="7AD9462A" w14:textId="77777777" w:rsidR="00227793" w:rsidRPr="00227793" w:rsidRDefault="00227793" w:rsidP="0023503F">
      <w:pPr>
        <w:spacing w:after="160" w:line="278" w:lineRule="auto"/>
        <w:ind w:firstLine="720"/>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3.</w:t>
      </w:r>
      <w:r w:rsidRPr="00227793">
        <w:rPr>
          <w:rFonts w:ascii="Arial" w:eastAsia="Aptos" w:hAnsi="Arial" w:cs="Arial"/>
          <w:i/>
          <w:iCs/>
          <w:kern w:val="2"/>
          <w14:ligatures w14:val="standardContextual"/>
        </w:rPr>
        <w:tab/>
        <w:t>Shortfall Program</w:t>
      </w:r>
    </w:p>
    <w:p w14:paraId="7C65BDA7"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Shortfall Funds have been provided to PHAs on a competitive basis beginning in 2020. Shortfall Funds are provided to PHAs through the Shortfall Program. The Shortfall Program provides funding to PHAs who experience or are at risk of financial shortfalls. Shortfall Funds may be used for any eligible Operating Fund expense. The funds are allocated based on a needs-based approach, with the specific methodology used to determine eligibility and eligible amounts identified in a PIH Notice published annually for each year’s appropriation. Funding from the Shortfall program is disbursed at the PHA level rather than the project level.</w:t>
      </w:r>
    </w:p>
    <w:p w14:paraId="6629AE5F"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Shortfall Funds must be expended immediately upon drawdown. These funds will then be allocated to the projects as revenue and for expenditures. Award letters identify steps the PHA can take to improve financial performance and criteria that must be met to release funds. Eligible uses are those allowed under Section 9 (e) of the Housing and Community Development Act, except that non-troubled PHAs may also include eligible Capital Fund uses under Section 9 (g).</w:t>
      </w:r>
    </w:p>
    <w:p w14:paraId="68135258" w14:textId="77777777" w:rsidR="00227793" w:rsidRPr="00227793" w:rsidRDefault="00227793" w:rsidP="0023503F">
      <w:pPr>
        <w:spacing w:after="160" w:line="278" w:lineRule="auto"/>
        <w:ind w:left="-90"/>
        <w:jc w:val="both"/>
        <w:rPr>
          <w:rFonts w:ascii="Arial" w:eastAsia="Aptos" w:hAnsi="Arial" w:cs="Arial"/>
          <w:b/>
          <w:bCs/>
          <w:kern w:val="2"/>
          <w14:ligatures w14:val="standardContextual"/>
        </w:rPr>
      </w:pPr>
      <w:r w:rsidRPr="00227793">
        <w:rPr>
          <w:rFonts w:ascii="Arial" w:eastAsia="Aptos" w:hAnsi="Arial" w:cs="Arial"/>
          <w:kern w:val="2"/>
          <w14:ligatures w14:val="standardContextual"/>
        </w:rPr>
        <w:t xml:space="preserve"> </w:t>
      </w:r>
      <w:r w:rsidRPr="00227793">
        <w:rPr>
          <w:rFonts w:ascii="Arial" w:eastAsia="Aptos" w:hAnsi="Arial" w:cs="Arial"/>
          <w:kern w:val="2"/>
          <w14:ligatures w14:val="standardContextual"/>
        </w:rPr>
        <w:tab/>
      </w:r>
      <w:r w:rsidRPr="00227793">
        <w:rPr>
          <w:rFonts w:ascii="Arial" w:eastAsia="Aptos" w:hAnsi="Arial" w:cs="Arial"/>
          <w:b/>
          <w:bCs/>
          <w:kern w:val="2"/>
          <w14:ligatures w14:val="standardContextual"/>
        </w:rPr>
        <w:t>C.</w:t>
      </w:r>
      <w:r w:rsidRPr="00227793">
        <w:rPr>
          <w:rFonts w:ascii="Arial" w:eastAsia="Aptos" w:hAnsi="Arial" w:cs="Arial"/>
          <w:b/>
          <w:bCs/>
          <w:kern w:val="2"/>
          <w14:ligatures w14:val="standardContextual"/>
        </w:rPr>
        <w:tab/>
        <w:t>Other</w:t>
      </w:r>
    </w:p>
    <w:p w14:paraId="484AE005" w14:textId="77777777" w:rsidR="00227793" w:rsidRPr="00227793" w:rsidRDefault="00227793" w:rsidP="0023503F">
      <w:pPr>
        <w:spacing w:after="160" w:line="278" w:lineRule="auto"/>
        <w:ind w:firstLine="720"/>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1.</w:t>
      </w:r>
      <w:r w:rsidRPr="00227793">
        <w:rPr>
          <w:rFonts w:ascii="Arial" w:eastAsia="Aptos" w:hAnsi="Arial" w:cs="Arial"/>
          <w:i/>
          <w:iCs/>
          <w:kern w:val="2"/>
          <w14:ligatures w14:val="standardContextual"/>
        </w:rPr>
        <w:tab/>
        <w:t>Financial Reporting</w:t>
      </w:r>
    </w:p>
    <w:p w14:paraId="7B8108CA" w14:textId="77777777" w:rsidR="00227793" w:rsidRPr="00227793" w:rsidRDefault="00227793" w:rsidP="00227793">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In accordance with HUD’s Uniform Financial Reporting Standards rule, annually, a PHA is required to submit its financial statement, prepared in accordance with generally accepted accounting principles (GAAP), in the electronic format specified by HUD. The unaudited financial statement is due two months after the PHA’s fiscal year-end, and the audited financial statement is due nine months after its fiscal year-end (24 CFR section 5.801). The financial statement must include the financial activities of this program.</w:t>
      </w:r>
    </w:p>
    <w:p w14:paraId="36AA7DAE" w14:textId="76284D83" w:rsidR="00227793" w:rsidRPr="000F03FA" w:rsidRDefault="00227793" w:rsidP="00227793">
      <w:pPr>
        <w:spacing w:after="240"/>
        <w:jc w:val="both"/>
        <w:rPr>
          <w:rFonts w:ascii="Arial" w:hAnsi="Arial" w:cs="Arial"/>
          <w:bCs/>
          <w:i/>
          <w:iCs/>
        </w:rPr>
      </w:pPr>
      <w:r>
        <w:rPr>
          <w:rFonts w:ascii="Arial" w:hAnsi="Arial" w:cs="Arial"/>
          <w:bCs/>
          <w:i/>
          <w:iCs/>
        </w:rPr>
        <w:t>(Source: 2025 OMB Compliance Supplement, Part 4, HUD, #14.850 Public Housing Operating Fund)</w:t>
      </w:r>
    </w:p>
    <w:p w14:paraId="612B87C9" w14:textId="77777777" w:rsidR="009656BB" w:rsidRPr="00A0464C" w:rsidRDefault="009656BB" w:rsidP="006672EA">
      <w:pPr>
        <w:pStyle w:val="Heading3"/>
        <w:jc w:val="both"/>
        <w:rPr>
          <w:rFonts w:cs="Arial"/>
          <w:sz w:val="24"/>
          <w:szCs w:val="24"/>
        </w:rPr>
      </w:pPr>
      <w:bookmarkStart w:id="14" w:name="_Toc212473091"/>
      <w:r w:rsidRPr="00A0464C">
        <w:rPr>
          <w:rFonts w:cs="Arial"/>
          <w:sz w:val="24"/>
          <w:szCs w:val="24"/>
        </w:rPr>
        <w:t>III. Source of Governing Requirements</w:t>
      </w:r>
      <w:bookmarkEnd w:id="14"/>
    </w:p>
    <w:p w14:paraId="6A631B95" w14:textId="77777777" w:rsidR="00227793" w:rsidRPr="00227793" w:rsidRDefault="00227793" w:rsidP="00227793">
      <w:pPr>
        <w:pStyle w:val="BodyText"/>
        <w:ind w:right="596"/>
        <w:jc w:val="both"/>
        <w:rPr>
          <w:rFonts w:ascii="Arial" w:hAnsi="Arial" w:cs="Arial"/>
        </w:rPr>
      </w:pPr>
      <w:r w:rsidRPr="00227793">
        <w:rPr>
          <w:rFonts w:ascii="Arial" w:hAnsi="Arial" w:cs="Arial"/>
        </w:rPr>
        <w:t xml:space="preserve">This program is authorized by the US Housing Act of 1937, as amended (42 USC </w:t>
      </w:r>
      <w:r w:rsidRPr="00227793">
        <w:rPr>
          <w:rFonts w:ascii="Arial" w:hAnsi="Arial" w:cs="Arial"/>
          <w:spacing w:val="-3"/>
        </w:rPr>
        <w:t xml:space="preserve">1437d(j),  </w:t>
      </w:r>
      <w:r w:rsidRPr="00227793">
        <w:rPr>
          <w:rFonts w:ascii="Arial" w:hAnsi="Arial" w:cs="Arial"/>
        </w:rPr>
        <w:t>42</w:t>
      </w:r>
      <w:r w:rsidRPr="00227793">
        <w:rPr>
          <w:rFonts w:ascii="Arial" w:hAnsi="Arial" w:cs="Arial"/>
          <w:spacing w:val="-5"/>
        </w:rPr>
        <w:t xml:space="preserve"> </w:t>
      </w:r>
      <w:r w:rsidRPr="00227793">
        <w:rPr>
          <w:rFonts w:ascii="Arial" w:hAnsi="Arial" w:cs="Arial"/>
        </w:rPr>
        <w:t>USC</w:t>
      </w:r>
      <w:r w:rsidRPr="00227793">
        <w:rPr>
          <w:rFonts w:ascii="Arial" w:hAnsi="Arial" w:cs="Arial"/>
          <w:spacing w:val="-6"/>
        </w:rPr>
        <w:t xml:space="preserve"> </w:t>
      </w:r>
      <w:r w:rsidRPr="00227793">
        <w:rPr>
          <w:rFonts w:ascii="Arial" w:hAnsi="Arial" w:cs="Arial"/>
        </w:rPr>
        <w:t>1437g,</w:t>
      </w:r>
      <w:r w:rsidRPr="00227793">
        <w:rPr>
          <w:rFonts w:ascii="Arial" w:hAnsi="Arial" w:cs="Arial"/>
          <w:spacing w:val="-4"/>
        </w:rPr>
        <w:t xml:space="preserve"> </w:t>
      </w:r>
      <w:r w:rsidRPr="00227793">
        <w:rPr>
          <w:rFonts w:ascii="Arial" w:hAnsi="Arial" w:cs="Arial"/>
        </w:rPr>
        <w:t>and</w:t>
      </w:r>
      <w:r w:rsidRPr="00227793">
        <w:rPr>
          <w:rFonts w:ascii="Arial" w:hAnsi="Arial" w:cs="Arial"/>
          <w:spacing w:val="-5"/>
        </w:rPr>
        <w:t xml:space="preserve"> </w:t>
      </w:r>
      <w:r w:rsidRPr="00227793">
        <w:rPr>
          <w:rFonts w:ascii="Arial" w:hAnsi="Arial" w:cs="Arial"/>
        </w:rPr>
        <w:t>42</w:t>
      </w:r>
      <w:r w:rsidRPr="00227793">
        <w:rPr>
          <w:rFonts w:ascii="Arial" w:hAnsi="Arial" w:cs="Arial"/>
          <w:spacing w:val="-4"/>
        </w:rPr>
        <w:t xml:space="preserve"> </w:t>
      </w:r>
      <w:r w:rsidRPr="00227793">
        <w:rPr>
          <w:rFonts w:ascii="Arial" w:hAnsi="Arial" w:cs="Arial"/>
        </w:rPr>
        <w:t>USC</w:t>
      </w:r>
      <w:r w:rsidRPr="00227793">
        <w:rPr>
          <w:rFonts w:ascii="Arial" w:hAnsi="Arial" w:cs="Arial"/>
          <w:spacing w:val="-3"/>
        </w:rPr>
        <w:t xml:space="preserve"> </w:t>
      </w:r>
      <w:r w:rsidRPr="00227793">
        <w:rPr>
          <w:rFonts w:ascii="Arial" w:hAnsi="Arial" w:cs="Arial"/>
        </w:rPr>
        <w:t>3535(d)).</w:t>
      </w:r>
      <w:r w:rsidRPr="00227793">
        <w:rPr>
          <w:rFonts w:ascii="Arial" w:hAnsi="Arial" w:cs="Arial"/>
          <w:spacing w:val="-3"/>
        </w:rPr>
        <w:t xml:space="preserve"> </w:t>
      </w:r>
      <w:r w:rsidRPr="00227793">
        <w:rPr>
          <w:rFonts w:ascii="Arial" w:hAnsi="Arial" w:cs="Arial"/>
        </w:rPr>
        <w:t>Implementing</w:t>
      </w:r>
      <w:r w:rsidRPr="00227793">
        <w:rPr>
          <w:rFonts w:ascii="Arial" w:hAnsi="Arial" w:cs="Arial"/>
          <w:spacing w:val="-5"/>
        </w:rPr>
        <w:t xml:space="preserve"> </w:t>
      </w:r>
      <w:r w:rsidRPr="00227793">
        <w:rPr>
          <w:rFonts w:ascii="Arial" w:hAnsi="Arial" w:cs="Arial"/>
        </w:rPr>
        <w:t>regulations</w:t>
      </w:r>
      <w:r w:rsidRPr="00227793">
        <w:rPr>
          <w:rFonts w:ascii="Arial" w:hAnsi="Arial" w:cs="Arial"/>
          <w:spacing w:val="-4"/>
        </w:rPr>
        <w:t xml:space="preserve"> </w:t>
      </w:r>
      <w:r w:rsidRPr="00227793">
        <w:rPr>
          <w:rFonts w:ascii="Arial" w:hAnsi="Arial" w:cs="Arial"/>
        </w:rPr>
        <w:t>are</w:t>
      </w:r>
      <w:r w:rsidRPr="00227793">
        <w:rPr>
          <w:rFonts w:ascii="Arial" w:hAnsi="Arial" w:cs="Arial"/>
          <w:spacing w:val="-6"/>
        </w:rPr>
        <w:t xml:space="preserve"> </w:t>
      </w:r>
      <w:r w:rsidRPr="00227793">
        <w:rPr>
          <w:rFonts w:ascii="Arial" w:hAnsi="Arial" w:cs="Arial"/>
        </w:rPr>
        <w:t>24</w:t>
      </w:r>
      <w:r w:rsidRPr="00227793">
        <w:rPr>
          <w:rFonts w:ascii="Arial" w:hAnsi="Arial" w:cs="Arial"/>
          <w:spacing w:val="-6"/>
        </w:rPr>
        <w:t xml:space="preserve"> </w:t>
      </w:r>
      <w:r w:rsidRPr="00227793">
        <w:rPr>
          <w:rFonts w:ascii="Arial" w:hAnsi="Arial" w:cs="Arial"/>
        </w:rPr>
        <w:t>CFR</w:t>
      </w:r>
      <w:r w:rsidRPr="00227793">
        <w:rPr>
          <w:rFonts w:ascii="Arial" w:hAnsi="Arial" w:cs="Arial"/>
          <w:spacing w:val="-3"/>
        </w:rPr>
        <w:t xml:space="preserve"> </w:t>
      </w:r>
      <w:r w:rsidRPr="00227793">
        <w:rPr>
          <w:rFonts w:ascii="Arial" w:hAnsi="Arial" w:cs="Arial"/>
        </w:rPr>
        <w:t>parts</w:t>
      </w:r>
      <w:r w:rsidRPr="00227793">
        <w:rPr>
          <w:rFonts w:ascii="Arial" w:hAnsi="Arial" w:cs="Arial"/>
          <w:spacing w:val="-5"/>
        </w:rPr>
        <w:t xml:space="preserve"> </w:t>
      </w:r>
      <w:r w:rsidRPr="00227793">
        <w:rPr>
          <w:rFonts w:ascii="Arial" w:hAnsi="Arial" w:cs="Arial"/>
        </w:rPr>
        <w:t>5,</w:t>
      </w:r>
      <w:r w:rsidRPr="00227793">
        <w:rPr>
          <w:rFonts w:ascii="Arial" w:hAnsi="Arial" w:cs="Arial"/>
          <w:spacing w:val="-6"/>
        </w:rPr>
        <w:t xml:space="preserve"> </w:t>
      </w:r>
      <w:r w:rsidRPr="00227793">
        <w:rPr>
          <w:rFonts w:ascii="Arial" w:hAnsi="Arial" w:cs="Arial"/>
        </w:rPr>
        <w:t>902,</w:t>
      </w:r>
      <w:r w:rsidRPr="00227793">
        <w:rPr>
          <w:rFonts w:ascii="Arial" w:hAnsi="Arial" w:cs="Arial"/>
          <w:spacing w:val="-4"/>
        </w:rPr>
        <w:t xml:space="preserve"> </w:t>
      </w:r>
      <w:r w:rsidRPr="00227793">
        <w:rPr>
          <w:rFonts w:ascii="Arial" w:hAnsi="Arial" w:cs="Arial"/>
        </w:rPr>
        <w:t>960, 966, and 990. Operating Fund requirements are contained in 24 CFR Part 990. Guidance on financial</w:t>
      </w:r>
      <w:r w:rsidRPr="00227793">
        <w:rPr>
          <w:rFonts w:ascii="Arial" w:hAnsi="Arial" w:cs="Arial"/>
          <w:spacing w:val="-6"/>
        </w:rPr>
        <w:t xml:space="preserve"> </w:t>
      </w:r>
      <w:r w:rsidRPr="00227793">
        <w:rPr>
          <w:rFonts w:ascii="Arial" w:hAnsi="Arial" w:cs="Arial"/>
        </w:rPr>
        <w:t>management</w:t>
      </w:r>
      <w:r w:rsidRPr="00227793">
        <w:rPr>
          <w:rFonts w:ascii="Arial" w:hAnsi="Arial" w:cs="Arial"/>
          <w:spacing w:val="-5"/>
        </w:rPr>
        <w:t xml:space="preserve"> </w:t>
      </w:r>
      <w:r w:rsidRPr="00227793">
        <w:rPr>
          <w:rFonts w:ascii="Arial" w:hAnsi="Arial" w:cs="Arial"/>
        </w:rPr>
        <w:t>and</w:t>
      </w:r>
      <w:r w:rsidRPr="00227793">
        <w:rPr>
          <w:rFonts w:ascii="Arial" w:hAnsi="Arial" w:cs="Arial"/>
          <w:spacing w:val="-6"/>
        </w:rPr>
        <w:t xml:space="preserve"> </w:t>
      </w:r>
      <w:r w:rsidRPr="00227793">
        <w:rPr>
          <w:rFonts w:ascii="Arial" w:hAnsi="Arial" w:cs="Arial"/>
        </w:rPr>
        <w:t>reporting</w:t>
      </w:r>
      <w:r w:rsidRPr="00227793">
        <w:rPr>
          <w:rFonts w:ascii="Arial" w:hAnsi="Arial" w:cs="Arial"/>
          <w:spacing w:val="-5"/>
        </w:rPr>
        <w:t xml:space="preserve"> </w:t>
      </w:r>
      <w:r w:rsidRPr="00227793">
        <w:rPr>
          <w:rFonts w:ascii="Arial" w:hAnsi="Arial" w:cs="Arial"/>
        </w:rPr>
        <w:t>requirements</w:t>
      </w:r>
      <w:r w:rsidRPr="00227793">
        <w:rPr>
          <w:rFonts w:ascii="Arial" w:hAnsi="Arial" w:cs="Arial"/>
          <w:spacing w:val="-5"/>
        </w:rPr>
        <w:t xml:space="preserve"> </w:t>
      </w:r>
      <w:r w:rsidRPr="00227793">
        <w:rPr>
          <w:rFonts w:ascii="Arial" w:hAnsi="Arial" w:cs="Arial"/>
        </w:rPr>
        <w:t>for</w:t>
      </w:r>
      <w:r w:rsidRPr="00227793">
        <w:rPr>
          <w:rFonts w:ascii="Arial" w:hAnsi="Arial" w:cs="Arial"/>
          <w:spacing w:val="-6"/>
        </w:rPr>
        <w:t xml:space="preserve"> </w:t>
      </w:r>
      <w:r w:rsidRPr="00227793">
        <w:rPr>
          <w:rFonts w:ascii="Arial" w:hAnsi="Arial" w:cs="Arial"/>
        </w:rPr>
        <w:t>public</w:t>
      </w:r>
      <w:r w:rsidRPr="00227793">
        <w:rPr>
          <w:rFonts w:ascii="Arial" w:hAnsi="Arial" w:cs="Arial"/>
          <w:spacing w:val="-6"/>
        </w:rPr>
        <w:t xml:space="preserve"> </w:t>
      </w:r>
      <w:r w:rsidRPr="00227793">
        <w:rPr>
          <w:rFonts w:ascii="Arial" w:hAnsi="Arial" w:cs="Arial"/>
        </w:rPr>
        <w:t>housing</w:t>
      </w:r>
      <w:r w:rsidRPr="00227793">
        <w:rPr>
          <w:rFonts w:ascii="Arial" w:hAnsi="Arial" w:cs="Arial"/>
          <w:spacing w:val="-5"/>
        </w:rPr>
        <w:t xml:space="preserve"> </w:t>
      </w:r>
      <w:r w:rsidRPr="00227793">
        <w:rPr>
          <w:rFonts w:ascii="Arial" w:hAnsi="Arial" w:cs="Arial"/>
        </w:rPr>
        <w:t>authorities</w:t>
      </w:r>
      <w:r w:rsidRPr="00227793">
        <w:rPr>
          <w:rFonts w:ascii="Arial" w:hAnsi="Arial" w:cs="Arial"/>
          <w:spacing w:val="-6"/>
        </w:rPr>
        <w:t xml:space="preserve"> </w:t>
      </w:r>
      <w:r w:rsidRPr="00227793">
        <w:rPr>
          <w:rFonts w:ascii="Arial" w:hAnsi="Arial" w:cs="Arial"/>
        </w:rPr>
        <w:t>under</w:t>
      </w:r>
      <w:r w:rsidRPr="00227793">
        <w:rPr>
          <w:rFonts w:ascii="Arial" w:hAnsi="Arial" w:cs="Arial"/>
          <w:spacing w:val="-6"/>
        </w:rPr>
        <w:t xml:space="preserve"> </w:t>
      </w:r>
      <w:r w:rsidRPr="00227793">
        <w:rPr>
          <w:rFonts w:ascii="Arial" w:hAnsi="Arial" w:cs="Arial"/>
        </w:rPr>
        <w:t>24</w:t>
      </w:r>
      <w:r w:rsidRPr="00227793">
        <w:rPr>
          <w:rFonts w:ascii="Arial" w:hAnsi="Arial" w:cs="Arial"/>
          <w:spacing w:val="-6"/>
        </w:rPr>
        <w:t xml:space="preserve"> </w:t>
      </w:r>
      <w:r w:rsidRPr="00227793">
        <w:rPr>
          <w:rFonts w:ascii="Arial" w:hAnsi="Arial" w:cs="Arial"/>
        </w:rPr>
        <w:t>CFR Part 990 was published in Notice PIH 2007-9 (April 10, 2007), which included guidance in a Supplement to the Financial Management Handbook, Department of Housing and Urban Development (HUD) Handbook 7475.1, Changes in Financial Management and Reporting for Public Housing Agencies Under the New Operating Fund</w:t>
      </w:r>
      <w:r w:rsidRPr="00227793">
        <w:rPr>
          <w:rFonts w:ascii="Arial" w:hAnsi="Arial" w:cs="Arial"/>
          <w:spacing w:val="-4"/>
        </w:rPr>
        <w:t xml:space="preserve"> </w:t>
      </w:r>
      <w:r w:rsidRPr="00227793">
        <w:rPr>
          <w:rFonts w:ascii="Arial" w:hAnsi="Arial" w:cs="Arial"/>
        </w:rPr>
        <w:t>Rule.</w:t>
      </w:r>
    </w:p>
    <w:p w14:paraId="51DD6D35" w14:textId="77777777" w:rsidR="00227793" w:rsidRPr="000F03FA" w:rsidRDefault="00227793" w:rsidP="00227793">
      <w:pPr>
        <w:spacing w:after="240"/>
        <w:jc w:val="both"/>
        <w:rPr>
          <w:rFonts w:ascii="Arial" w:hAnsi="Arial" w:cs="Arial"/>
          <w:bCs/>
          <w:i/>
          <w:iCs/>
        </w:rPr>
      </w:pPr>
      <w:r>
        <w:rPr>
          <w:rFonts w:ascii="Arial" w:hAnsi="Arial" w:cs="Arial"/>
          <w:bCs/>
          <w:i/>
          <w:iCs/>
        </w:rPr>
        <w:t>(Source: 2025 OMB Compliance Supplement, Part 4, HUD, #14.850 Public Housing Operating Fund)</w:t>
      </w:r>
    </w:p>
    <w:p w14:paraId="05B90F53" w14:textId="77777777" w:rsidR="006F570B" w:rsidRPr="00F00D94" w:rsidRDefault="006F570B" w:rsidP="006672EA">
      <w:pPr>
        <w:spacing w:after="240"/>
        <w:jc w:val="both"/>
        <w:rPr>
          <w:rFonts w:ascii="Arial" w:hAnsi="Arial" w:cs="Arial"/>
          <w:bCs/>
        </w:rPr>
      </w:pPr>
    </w:p>
    <w:p w14:paraId="278D98F4" w14:textId="77777777" w:rsidR="006F570B" w:rsidRPr="00A0464C" w:rsidRDefault="00386445" w:rsidP="006672EA">
      <w:pPr>
        <w:pStyle w:val="Heading3"/>
        <w:jc w:val="both"/>
        <w:rPr>
          <w:rFonts w:cs="Arial"/>
          <w:sz w:val="24"/>
          <w:szCs w:val="24"/>
        </w:rPr>
      </w:pPr>
      <w:bookmarkStart w:id="15" w:name="_Toc212473092"/>
      <w:r w:rsidRPr="00A0464C">
        <w:rPr>
          <w:rFonts w:cs="Arial"/>
          <w:sz w:val="24"/>
          <w:szCs w:val="24"/>
        </w:rPr>
        <w:lastRenderedPageBreak/>
        <w:t xml:space="preserve">IV. </w:t>
      </w:r>
      <w:r w:rsidR="009C1FCD" w:rsidRPr="00A0464C">
        <w:rPr>
          <w:rFonts w:cs="Arial"/>
          <w:sz w:val="24"/>
          <w:szCs w:val="24"/>
        </w:rPr>
        <w:t>Other Information</w:t>
      </w:r>
      <w:bookmarkEnd w:id="15"/>
    </w:p>
    <w:p w14:paraId="33EA482B" w14:textId="77777777" w:rsidR="006D34C5" w:rsidRPr="006D34C5" w:rsidRDefault="006D34C5" w:rsidP="006D34C5">
      <w:pPr>
        <w:jc w:val="both"/>
        <w:rPr>
          <w:rFonts w:ascii="Arial" w:hAnsi="Arial" w:cs="Arial"/>
        </w:rPr>
      </w:pPr>
      <w:r w:rsidRPr="006D34C5">
        <w:rPr>
          <w:rFonts w:ascii="Arial" w:hAnsi="Arial" w:cs="Arial"/>
        </w:rPr>
        <w:t>The Moving to Work (MTW) demonstration program (Assistance Listing 14.881) allows selected PHAs the flexibility to design and test various approaches to providing and administering housing assistance consistent with the MTW Agreement executed by the PHA and HUD and under the MTW Operations Notice. An MTW agency may apply funding fungibility funds from the following three programs:</w:t>
      </w:r>
    </w:p>
    <w:p w14:paraId="3DDF684C" w14:textId="77777777" w:rsidR="006D34C5" w:rsidRPr="006D34C5" w:rsidRDefault="006D34C5" w:rsidP="006D34C5">
      <w:pPr>
        <w:jc w:val="both"/>
        <w:rPr>
          <w:rFonts w:ascii="Arial" w:hAnsi="Arial" w:cs="Arial"/>
        </w:rPr>
      </w:pPr>
    </w:p>
    <w:p w14:paraId="3EB0FACF" w14:textId="77777777" w:rsidR="006D34C5" w:rsidRPr="006D34C5" w:rsidRDefault="006D34C5" w:rsidP="006D34C5">
      <w:pPr>
        <w:ind w:left="720" w:hanging="450"/>
        <w:jc w:val="both"/>
        <w:rPr>
          <w:rFonts w:ascii="Arial" w:hAnsi="Arial" w:cs="Arial"/>
        </w:rPr>
      </w:pPr>
      <w:r w:rsidRPr="006D34C5">
        <w:rPr>
          <w:rFonts w:ascii="Arial" w:hAnsi="Arial" w:cs="Arial"/>
        </w:rPr>
        <w:t>a.</w:t>
      </w:r>
      <w:r w:rsidRPr="006D34C5">
        <w:rPr>
          <w:rFonts w:ascii="Arial" w:hAnsi="Arial" w:cs="Arial"/>
        </w:rPr>
        <w:tab/>
        <w:t>Section 8 Housing Choice Vouchers (Assistance Listing 14.871)</w:t>
      </w:r>
    </w:p>
    <w:p w14:paraId="2692B0D1" w14:textId="77777777" w:rsidR="006D34C5" w:rsidRPr="006D34C5" w:rsidRDefault="006D34C5" w:rsidP="006D34C5">
      <w:pPr>
        <w:ind w:left="720" w:hanging="450"/>
        <w:jc w:val="both"/>
        <w:rPr>
          <w:rFonts w:ascii="Arial" w:hAnsi="Arial" w:cs="Arial"/>
        </w:rPr>
      </w:pPr>
    </w:p>
    <w:p w14:paraId="6495FEB1" w14:textId="77777777" w:rsidR="006D34C5" w:rsidRPr="006D34C5" w:rsidRDefault="006D34C5" w:rsidP="006D34C5">
      <w:pPr>
        <w:ind w:left="720" w:hanging="450"/>
        <w:jc w:val="both"/>
        <w:rPr>
          <w:rFonts w:ascii="Arial" w:hAnsi="Arial" w:cs="Arial"/>
        </w:rPr>
      </w:pPr>
      <w:r w:rsidRPr="006D34C5">
        <w:rPr>
          <w:rFonts w:ascii="Arial" w:hAnsi="Arial" w:cs="Arial"/>
        </w:rPr>
        <w:t>b.</w:t>
      </w:r>
      <w:r w:rsidRPr="006D34C5">
        <w:rPr>
          <w:rFonts w:ascii="Arial" w:hAnsi="Arial" w:cs="Arial"/>
        </w:rPr>
        <w:tab/>
        <w:t>Public Housing Capital Fund (Assistance Listing 14.872)</w:t>
      </w:r>
    </w:p>
    <w:p w14:paraId="6958B20D" w14:textId="77777777" w:rsidR="006D34C5" w:rsidRPr="006D34C5" w:rsidRDefault="006D34C5" w:rsidP="006D34C5">
      <w:pPr>
        <w:ind w:left="720" w:hanging="450"/>
        <w:jc w:val="both"/>
        <w:rPr>
          <w:rFonts w:ascii="Arial" w:hAnsi="Arial" w:cs="Arial"/>
        </w:rPr>
      </w:pPr>
    </w:p>
    <w:p w14:paraId="0AB39031" w14:textId="77777777" w:rsidR="006D34C5" w:rsidRPr="006D34C5" w:rsidRDefault="006D34C5" w:rsidP="006D34C5">
      <w:pPr>
        <w:ind w:left="720" w:hanging="450"/>
        <w:jc w:val="both"/>
        <w:rPr>
          <w:rFonts w:ascii="Arial" w:hAnsi="Arial" w:cs="Arial"/>
        </w:rPr>
      </w:pPr>
      <w:r w:rsidRPr="006D34C5">
        <w:rPr>
          <w:rFonts w:ascii="Arial" w:hAnsi="Arial" w:cs="Arial"/>
        </w:rPr>
        <w:t>c.</w:t>
      </w:r>
      <w:r w:rsidRPr="006D34C5">
        <w:rPr>
          <w:rFonts w:ascii="Arial" w:hAnsi="Arial" w:cs="Arial"/>
        </w:rPr>
        <w:tab/>
        <w:t>Public and Indian Housing (Assistance Listing 14.850)</w:t>
      </w:r>
    </w:p>
    <w:p w14:paraId="25AF57C2" w14:textId="77777777" w:rsidR="006D34C5" w:rsidRPr="006D34C5" w:rsidRDefault="006D34C5" w:rsidP="006D34C5">
      <w:pPr>
        <w:jc w:val="both"/>
        <w:rPr>
          <w:rFonts w:ascii="Arial" w:hAnsi="Arial" w:cs="Arial"/>
        </w:rPr>
      </w:pPr>
    </w:p>
    <w:p w14:paraId="52C66A8B" w14:textId="77777777" w:rsidR="006D34C5" w:rsidRPr="006D34C5" w:rsidRDefault="006D34C5" w:rsidP="006D34C5">
      <w:pPr>
        <w:jc w:val="both"/>
        <w:rPr>
          <w:rFonts w:ascii="Arial" w:hAnsi="Arial" w:cs="Arial"/>
        </w:rPr>
      </w:pPr>
      <w:r w:rsidRPr="006D34C5">
        <w:rPr>
          <w:rFonts w:ascii="Arial" w:hAnsi="Arial" w:cs="Arial"/>
        </w:rPr>
        <w:t>Depending on if a PHA is operating under an MTW Agreement or the MTW Operations Notice, the auditor should look to the MTW Agreement or the MTW Operations Notice, as applicable, to determine which funds are included. If Public Housing funds are transferred out of Public Housing, pursuant to either an MTW Agreement or the MTW Operations Notice, they are subject to the requirements of the MTW Agreement or the MTW Operations Notice and should not be included in the audit universe and total expenditures for Public Housing when determining Type-A programs. On the Schedule of Expenditures of Federal Awards, the amounts transferred out should not be shown as Public Housing expenditures but should be shown as expenditures for the MTW Demonstration program. Also, if other program funds are transferred into the Public Housing account pursuant to an MTW Agreement or the MTW Operations Notice, all the Public Housing funds would then be considered MTW funds.</w:t>
      </w:r>
    </w:p>
    <w:p w14:paraId="72C9179B" w14:textId="77777777" w:rsidR="006D34C5" w:rsidRDefault="006D34C5" w:rsidP="006D34C5">
      <w:pPr>
        <w:jc w:val="both"/>
        <w:rPr>
          <w:rFonts w:ascii="Arial" w:hAnsi="Arial" w:cs="Arial"/>
        </w:rPr>
      </w:pPr>
    </w:p>
    <w:p w14:paraId="69351982" w14:textId="5E5EB816" w:rsidR="006D34C5" w:rsidRPr="006D34C5" w:rsidRDefault="006D34C5" w:rsidP="006D34C5">
      <w:pPr>
        <w:jc w:val="both"/>
        <w:rPr>
          <w:rFonts w:ascii="Arial" w:hAnsi="Arial" w:cs="Arial"/>
        </w:rPr>
      </w:pPr>
      <w:r w:rsidRPr="006D34C5">
        <w:rPr>
          <w:rFonts w:ascii="Arial" w:hAnsi="Arial" w:cs="Arial"/>
        </w:rPr>
        <w:t>If the MTW agency does not transfer all the funds from Public Housing into the MTW account or another program, those funds would be considered and audited, under Public Housing.</w:t>
      </w:r>
    </w:p>
    <w:p w14:paraId="1FFDCA13" w14:textId="77777777" w:rsidR="006D34C5" w:rsidRDefault="006D34C5" w:rsidP="006D34C5">
      <w:pPr>
        <w:rPr>
          <w:rFonts w:ascii="Arial" w:hAnsi="Arial" w:cs="Arial"/>
          <w:b/>
          <w:bCs/>
        </w:rPr>
      </w:pPr>
    </w:p>
    <w:p w14:paraId="59D3057B" w14:textId="1920F258" w:rsidR="00227793" w:rsidRPr="006D34C5" w:rsidRDefault="00227793" w:rsidP="006D34C5">
      <w:pPr>
        <w:rPr>
          <w:rFonts w:ascii="Arial" w:hAnsi="Arial" w:cs="Arial"/>
          <w:b/>
          <w:bCs/>
        </w:rPr>
      </w:pPr>
      <w:r w:rsidRPr="006D34C5">
        <w:rPr>
          <w:rFonts w:ascii="Arial" w:hAnsi="Arial" w:cs="Arial"/>
          <w:b/>
          <w:bCs/>
        </w:rPr>
        <w:t>Availability of Other Program Information</w:t>
      </w:r>
    </w:p>
    <w:p w14:paraId="5B54BB29" w14:textId="77777777" w:rsidR="006D34C5" w:rsidRPr="00227793" w:rsidRDefault="006D34C5" w:rsidP="006D34C5"/>
    <w:p w14:paraId="281D8961" w14:textId="0109E88A" w:rsidR="00227793" w:rsidRDefault="00227793" w:rsidP="008B4BCE">
      <w:pPr>
        <w:pStyle w:val="ListParagraph"/>
        <w:widowControl w:val="0"/>
        <w:numPr>
          <w:ilvl w:val="0"/>
          <w:numId w:val="41"/>
        </w:numPr>
        <w:tabs>
          <w:tab w:val="left" w:pos="2259"/>
          <w:tab w:val="left" w:pos="2260"/>
        </w:tabs>
        <w:suppressAutoHyphens w:val="0"/>
        <w:adjustRightInd/>
        <w:ind w:right="451"/>
        <w:jc w:val="both"/>
        <w:rPr>
          <w:rFonts w:ascii="Arial" w:hAnsi="Arial" w:cs="Arial"/>
        </w:rPr>
      </w:pPr>
      <w:r w:rsidRPr="00352F20">
        <w:rPr>
          <w:rFonts w:ascii="Arial" w:hAnsi="Arial" w:cs="Arial"/>
        </w:rPr>
        <w:t>HUD maintains web pages</w:t>
      </w:r>
      <w:r w:rsidRPr="00352F20">
        <w:rPr>
          <w:rFonts w:ascii="Arial" w:hAnsi="Arial" w:cs="Arial"/>
          <w:color w:val="0000FF"/>
        </w:rPr>
        <w:t xml:space="preserve"> </w:t>
      </w:r>
      <w:hyperlink r:id="rId29">
        <w:r w:rsidRPr="00352F20">
          <w:rPr>
            <w:rFonts w:ascii="Arial" w:hAnsi="Arial" w:cs="Arial"/>
            <w:color w:val="0000FF"/>
            <w:u w:val="single" w:color="0000FF"/>
          </w:rPr>
          <w:t>Public Housing | HUD.gov / U.S. Department of Housing</w:t>
        </w:r>
      </w:hyperlink>
      <w:hyperlink r:id="rId30">
        <w:r w:rsidRPr="00352F20">
          <w:rPr>
            <w:rFonts w:ascii="Arial" w:hAnsi="Arial" w:cs="Arial"/>
            <w:color w:val="0000FF"/>
            <w:u w:val="single" w:color="0000FF"/>
          </w:rPr>
          <w:t xml:space="preserve"> and Urban Development (HUD)</w:t>
        </w:r>
        <w:r w:rsidRPr="00352F20">
          <w:rPr>
            <w:rFonts w:ascii="Arial" w:hAnsi="Arial" w:cs="Arial"/>
            <w:color w:val="0000FF"/>
          </w:rPr>
          <w:t xml:space="preserve"> </w:t>
        </w:r>
      </w:hyperlink>
      <w:r w:rsidRPr="00352F20">
        <w:rPr>
          <w:rFonts w:ascii="Arial" w:hAnsi="Arial" w:cs="Arial"/>
        </w:rPr>
        <w:t>and</w:t>
      </w:r>
      <w:hyperlink r:id="rId31">
        <w:r w:rsidRPr="00352F20">
          <w:rPr>
            <w:rFonts w:ascii="Arial" w:hAnsi="Arial" w:cs="Arial"/>
            <w:color w:val="0000FF"/>
          </w:rPr>
          <w:t xml:space="preserve"> </w:t>
        </w:r>
        <w:r w:rsidRPr="00352F20">
          <w:rPr>
            <w:rFonts w:ascii="Arial" w:hAnsi="Arial" w:cs="Arial"/>
            <w:color w:val="0000FF"/>
            <w:u w:val="single" w:color="0000FF"/>
          </w:rPr>
          <w:t>Library - Public and Indian Housing | HUD.gov /</w:t>
        </w:r>
      </w:hyperlink>
      <w:hyperlink r:id="rId32">
        <w:r w:rsidRPr="00352F20">
          <w:rPr>
            <w:rFonts w:ascii="Arial" w:hAnsi="Arial" w:cs="Arial"/>
            <w:color w:val="0000FF"/>
            <w:u w:val="single" w:color="0000FF"/>
          </w:rPr>
          <w:t xml:space="preserve"> U.S. Department of Housing and Urban Development (HUD)</w:t>
        </w:r>
      </w:hyperlink>
      <w:r w:rsidRPr="00352F20">
        <w:rPr>
          <w:rFonts w:ascii="Arial" w:hAnsi="Arial" w:cs="Arial"/>
        </w:rPr>
        <w:t>that provide general information about this</w:t>
      </w:r>
      <w:r w:rsidRPr="00352F20">
        <w:rPr>
          <w:rFonts w:ascii="Arial" w:hAnsi="Arial" w:cs="Arial"/>
          <w:spacing w:val="-3"/>
        </w:rPr>
        <w:t xml:space="preserve"> </w:t>
      </w:r>
      <w:r w:rsidRPr="00352F20">
        <w:rPr>
          <w:rFonts w:ascii="Arial" w:hAnsi="Arial" w:cs="Arial"/>
        </w:rPr>
        <w:t>program.</w:t>
      </w:r>
    </w:p>
    <w:p w14:paraId="23C2E56F" w14:textId="77777777" w:rsidR="006B5D76" w:rsidRPr="006B5D76" w:rsidRDefault="006B5D76" w:rsidP="006B5D76">
      <w:pPr>
        <w:pStyle w:val="ListParagraph"/>
        <w:widowControl w:val="0"/>
        <w:tabs>
          <w:tab w:val="left" w:pos="2259"/>
          <w:tab w:val="left" w:pos="2260"/>
        </w:tabs>
        <w:suppressAutoHyphens w:val="0"/>
        <w:adjustRightInd/>
        <w:ind w:left="2260" w:right="451"/>
        <w:jc w:val="both"/>
        <w:rPr>
          <w:rFonts w:ascii="Arial" w:hAnsi="Arial" w:cs="Arial"/>
        </w:rPr>
      </w:pPr>
    </w:p>
    <w:p w14:paraId="039DF768" w14:textId="3FFEAD1B" w:rsidR="00227793" w:rsidRDefault="00227793" w:rsidP="008B4BCE">
      <w:pPr>
        <w:pStyle w:val="ListParagraph"/>
        <w:widowControl w:val="0"/>
        <w:numPr>
          <w:ilvl w:val="0"/>
          <w:numId w:val="41"/>
        </w:numPr>
        <w:tabs>
          <w:tab w:val="left" w:pos="2259"/>
          <w:tab w:val="left" w:pos="2260"/>
        </w:tabs>
        <w:suppressAutoHyphens w:val="0"/>
        <w:adjustRightInd/>
        <w:ind w:right="403"/>
        <w:jc w:val="both"/>
        <w:rPr>
          <w:rFonts w:ascii="Arial" w:hAnsi="Arial" w:cs="Arial"/>
        </w:rPr>
      </w:pPr>
      <w:r w:rsidRPr="00352F20">
        <w:rPr>
          <w:rFonts w:ascii="Arial" w:hAnsi="Arial" w:cs="Arial"/>
        </w:rPr>
        <w:t>HUD’s Real Estate Assessment Center website is available at</w:t>
      </w:r>
      <w:r w:rsidRPr="00352F20">
        <w:rPr>
          <w:rFonts w:ascii="Arial" w:hAnsi="Arial" w:cs="Arial"/>
          <w:color w:val="0000FF"/>
        </w:rPr>
        <w:t xml:space="preserve"> </w:t>
      </w:r>
      <w:hyperlink r:id="rId33">
        <w:r w:rsidRPr="00352F20">
          <w:rPr>
            <w:rFonts w:ascii="Arial" w:hAnsi="Arial" w:cs="Arial"/>
            <w:color w:val="0000FF"/>
            <w:u w:val="single" w:color="0000FF"/>
          </w:rPr>
          <w:t>Real Estate</w:t>
        </w:r>
      </w:hyperlink>
      <w:hyperlink r:id="rId34">
        <w:r w:rsidRPr="00352F20">
          <w:rPr>
            <w:rFonts w:ascii="Arial" w:hAnsi="Arial" w:cs="Arial"/>
            <w:color w:val="0000FF"/>
            <w:u w:val="single" w:color="0000FF"/>
          </w:rPr>
          <w:t xml:space="preserve"> Assessment Center (REAC) | HUD.gov / U.S. Department of Housing and Urban</w:t>
        </w:r>
      </w:hyperlink>
      <w:hyperlink r:id="rId35">
        <w:r w:rsidRPr="00352F20">
          <w:rPr>
            <w:rFonts w:ascii="Arial" w:hAnsi="Arial" w:cs="Arial"/>
            <w:color w:val="0000FF"/>
            <w:u w:val="single" w:color="0000FF"/>
          </w:rPr>
          <w:t xml:space="preserve"> Development (HUD)</w:t>
        </w:r>
        <w:r w:rsidRPr="00352F20">
          <w:rPr>
            <w:rFonts w:ascii="Arial" w:hAnsi="Arial" w:cs="Arial"/>
          </w:rPr>
          <w:t xml:space="preserve">. </w:t>
        </w:r>
      </w:hyperlink>
      <w:r w:rsidRPr="00352F20">
        <w:rPr>
          <w:rFonts w:ascii="Arial" w:hAnsi="Arial" w:cs="Arial"/>
        </w:rPr>
        <w:t xml:space="preserve">Links to information </w:t>
      </w:r>
      <w:r w:rsidRPr="00352F20">
        <w:rPr>
          <w:rFonts w:ascii="Arial" w:hAnsi="Arial" w:cs="Arial"/>
          <w:spacing w:val="-3"/>
        </w:rPr>
        <w:t xml:space="preserve">concerning </w:t>
      </w:r>
      <w:r w:rsidRPr="00352F20">
        <w:rPr>
          <w:rFonts w:ascii="Arial" w:hAnsi="Arial" w:cs="Arial"/>
        </w:rPr>
        <w:t xml:space="preserve">PHAS and other </w:t>
      </w:r>
      <w:r w:rsidRPr="00352F20">
        <w:rPr>
          <w:rFonts w:ascii="Arial" w:hAnsi="Arial" w:cs="Arial"/>
          <w:spacing w:val="-3"/>
        </w:rPr>
        <w:t xml:space="preserve">important program information </w:t>
      </w:r>
      <w:r w:rsidRPr="00352F20">
        <w:rPr>
          <w:rFonts w:ascii="Arial" w:hAnsi="Arial" w:cs="Arial"/>
        </w:rPr>
        <w:t xml:space="preserve">are </w:t>
      </w:r>
      <w:r w:rsidRPr="00352F20">
        <w:rPr>
          <w:rFonts w:ascii="Arial" w:hAnsi="Arial" w:cs="Arial"/>
          <w:spacing w:val="-3"/>
        </w:rPr>
        <w:t xml:space="preserve">located </w:t>
      </w:r>
      <w:r w:rsidRPr="00352F20">
        <w:rPr>
          <w:rFonts w:ascii="Arial" w:hAnsi="Arial" w:cs="Arial"/>
        </w:rPr>
        <w:t>on this web page.</w:t>
      </w:r>
      <w:hyperlink r:id="rId36">
        <w:r w:rsidRPr="00352F20">
          <w:rPr>
            <w:rFonts w:ascii="Arial" w:hAnsi="Arial" w:cs="Arial"/>
            <w:color w:val="0000FF"/>
          </w:rPr>
          <w:t xml:space="preserve"> </w:t>
        </w:r>
        <w:r w:rsidRPr="00352F20">
          <w:rPr>
            <w:rFonts w:ascii="Arial" w:hAnsi="Arial" w:cs="Arial"/>
            <w:color w:val="0000FF"/>
            <w:u w:val="single" w:color="0000FF"/>
          </w:rPr>
          <w:t>The Supplement to Handbook</w:t>
        </w:r>
      </w:hyperlink>
      <w:hyperlink r:id="rId37">
        <w:r w:rsidRPr="00352F20">
          <w:rPr>
            <w:rFonts w:ascii="Arial" w:hAnsi="Arial" w:cs="Arial"/>
            <w:color w:val="0000FF"/>
            <w:u w:val="single" w:color="0000FF"/>
          </w:rPr>
          <w:t xml:space="preserve"> 7475.1</w:t>
        </w:r>
      </w:hyperlink>
      <w:r w:rsidRPr="00352F20">
        <w:rPr>
          <w:rFonts w:ascii="Arial" w:hAnsi="Arial" w:cs="Arial"/>
        </w:rPr>
        <w:t>, which was published in Notice PIH 2007-9 (April 10, 2007), provides detailed information on the financial reporting requirements for</w:t>
      </w:r>
      <w:r w:rsidRPr="00352F20">
        <w:rPr>
          <w:rFonts w:ascii="Arial" w:hAnsi="Arial" w:cs="Arial"/>
          <w:spacing w:val="-8"/>
        </w:rPr>
        <w:t xml:space="preserve"> </w:t>
      </w:r>
      <w:r w:rsidRPr="00352F20">
        <w:rPr>
          <w:rFonts w:ascii="Arial" w:hAnsi="Arial" w:cs="Arial"/>
        </w:rPr>
        <w:t>PHAs.</w:t>
      </w:r>
    </w:p>
    <w:p w14:paraId="35DE113D" w14:textId="77777777" w:rsidR="006B5D76" w:rsidRPr="006B5D76" w:rsidRDefault="006B5D76" w:rsidP="006B5D76">
      <w:pPr>
        <w:widowControl w:val="0"/>
        <w:tabs>
          <w:tab w:val="left" w:pos="2259"/>
          <w:tab w:val="left" w:pos="2260"/>
        </w:tabs>
        <w:ind w:right="403"/>
        <w:jc w:val="both"/>
        <w:rPr>
          <w:rFonts w:ascii="Arial" w:hAnsi="Arial" w:cs="Arial"/>
        </w:rPr>
      </w:pPr>
    </w:p>
    <w:p w14:paraId="65DA520D" w14:textId="7C58F6E8" w:rsidR="00227793" w:rsidRDefault="00227793" w:rsidP="008B4BCE">
      <w:pPr>
        <w:pStyle w:val="ListParagraph"/>
        <w:widowControl w:val="0"/>
        <w:numPr>
          <w:ilvl w:val="0"/>
          <w:numId w:val="41"/>
        </w:numPr>
        <w:tabs>
          <w:tab w:val="left" w:pos="2259"/>
          <w:tab w:val="left" w:pos="2260"/>
        </w:tabs>
        <w:suppressAutoHyphens w:val="0"/>
        <w:adjustRightInd/>
        <w:ind w:right="677"/>
        <w:jc w:val="both"/>
        <w:rPr>
          <w:rFonts w:ascii="Arial" w:hAnsi="Arial" w:cs="Arial"/>
        </w:rPr>
      </w:pPr>
      <w:r w:rsidRPr="00352F20">
        <w:rPr>
          <w:rFonts w:ascii="Arial" w:hAnsi="Arial" w:cs="Arial"/>
        </w:rPr>
        <w:t>Copies of HUD forms and notices are available at HUDCLIPS at</w:t>
      </w:r>
      <w:r w:rsidRPr="00352F20">
        <w:rPr>
          <w:rFonts w:ascii="Arial" w:hAnsi="Arial" w:cs="Arial"/>
          <w:color w:val="0000FF"/>
        </w:rPr>
        <w:t xml:space="preserve"> </w:t>
      </w:r>
      <w:hyperlink r:id="rId38">
        <w:r w:rsidRPr="00352F20">
          <w:rPr>
            <w:rFonts w:ascii="Arial" w:hAnsi="Arial" w:cs="Arial"/>
            <w:color w:val="0000FF"/>
            <w:u w:val="single" w:color="0000FF"/>
          </w:rPr>
          <w:t>HUDCLIPS |</w:t>
        </w:r>
      </w:hyperlink>
      <w:hyperlink r:id="rId39">
        <w:r w:rsidRPr="00352F20">
          <w:rPr>
            <w:rFonts w:ascii="Arial" w:hAnsi="Arial" w:cs="Arial"/>
            <w:color w:val="0000FF"/>
            <w:u w:val="single" w:color="0000FF"/>
          </w:rPr>
          <w:t xml:space="preserve"> HUD.gov / U.S. Department of Housing and Urban Development</w:t>
        </w:r>
        <w:r w:rsidRPr="00352F20">
          <w:rPr>
            <w:rFonts w:ascii="Arial" w:hAnsi="Arial" w:cs="Arial"/>
            <w:color w:val="0000FF"/>
            <w:spacing w:val="-12"/>
            <w:u w:val="single" w:color="0000FF"/>
          </w:rPr>
          <w:t xml:space="preserve"> </w:t>
        </w:r>
        <w:r w:rsidRPr="00352F20">
          <w:rPr>
            <w:rFonts w:ascii="Arial" w:hAnsi="Arial" w:cs="Arial"/>
            <w:color w:val="0000FF"/>
            <w:u w:val="single" w:color="0000FF"/>
          </w:rPr>
          <w:t>(HUD)</w:t>
        </w:r>
        <w:r w:rsidRPr="00352F20">
          <w:rPr>
            <w:rFonts w:ascii="Arial" w:hAnsi="Arial" w:cs="Arial"/>
          </w:rPr>
          <w:t>.</w:t>
        </w:r>
      </w:hyperlink>
    </w:p>
    <w:p w14:paraId="2DB72A2F" w14:textId="77777777" w:rsidR="006B5D76" w:rsidRPr="006B5D76" w:rsidRDefault="006B5D76" w:rsidP="006B5D76">
      <w:pPr>
        <w:widowControl w:val="0"/>
        <w:tabs>
          <w:tab w:val="left" w:pos="2259"/>
          <w:tab w:val="left" w:pos="2260"/>
        </w:tabs>
        <w:ind w:right="677"/>
        <w:jc w:val="both"/>
        <w:rPr>
          <w:rFonts w:ascii="Arial" w:hAnsi="Arial" w:cs="Arial"/>
        </w:rPr>
      </w:pPr>
    </w:p>
    <w:p w14:paraId="038ABBCE" w14:textId="77777777" w:rsidR="00227793" w:rsidRPr="00352F20" w:rsidRDefault="00227793" w:rsidP="008B4BCE">
      <w:pPr>
        <w:pStyle w:val="ListParagraph"/>
        <w:widowControl w:val="0"/>
        <w:numPr>
          <w:ilvl w:val="0"/>
          <w:numId w:val="41"/>
        </w:numPr>
        <w:tabs>
          <w:tab w:val="left" w:pos="2259"/>
          <w:tab w:val="left" w:pos="2260"/>
        </w:tabs>
        <w:suppressAutoHyphens w:val="0"/>
        <w:adjustRightInd/>
        <w:ind w:right="541"/>
        <w:jc w:val="both"/>
        <w:rPr>
          <w:rFonts w:ascii="Arial" w:hAnsi="Arial" w:cs="Arial"/>
        </w:rPr>
      </w:pPr>
      <w:r w:rsidRPr="00352F20">
        <w:rPr>
          <w:rFonts w:ascii="Arial" w:hAnsi="Arial" w:cs="Arial"/>
        </w:rPr>
        <w:t>HUD’s Rental Assistance Demonstration Program main website is available at</w:t>
      </w:r>
      <w:hyperlink r:id="rId40">
        <w:r w:rsidRPr="00352F20">
          <w:rPr>
            <w:rFonts w:ascii="Arial" w:hAnsi="Arial" w:cs="Arial"/>
            <w:color w:val="0000FF"/>
            <w:u w:val="single" w:color="0000FF"/>
          </w:rPr>
          <w:t xml:space="preserve"> Rental Assistance Demonstration | HUD.gov / U.S. Department of Housing and Urban</w:t>
        </w:r>
      </w:hyperlink>
      <w:hyperlink r:id="rId41">
        <w:r w:rsidRPr="00352F20">
          <w:rPr>
            <w:rFonts w:ascii="Arial" w:hAnsi="Arial" w:cs="Arial"/>
            <w:color w:val="0000FF"/>
            <w:u w:val="single" w:color="0000FF"/>
          </w:rPr>
          <w:t xml:space="preserve"> Development (HUD)</w:t>
        </w:r>
        <w:r w:rsidRPr="00352F20">
          <w:rPr>
            <w:rFonts w:ascii="Arial" w:hAnsi="Arial" w:cs="Arial"/>
          </w:rPr>
          <w:t>.</w:t>
        </w:r>
      </w:hyperlink>
    </w:p>
    <w:p w14:paraId="0593DAA1" w14:textId="77777777" w:rsidR="00227793" w:rsidRDefault="00227793" w:rsidP="0078513F">
      <w:pPr>
        <w:jc w:val="both"/>
        <w:rPr>
          <w:rFonts w:ascii="Arial" w:hAnsi="Arial" w:cs="Arial"/>
          <w:bCs/>
          <w:i/>
          <w:iCs/>
        </w:rPr>
      </w:pPr>
    </w:p>
    <w:p w14:paraId="07132476" w14:textId="2F0FA0AD" w:rsidR="00227793" w:rsidRPr="000F03FA" w:rsidRDefault="00227793" w:rsidP="00227793">
      <w:pPr>
        <w:spacing w:after="240"/>
        <w:jc w:val="both"/>
        <w:rPr>
          <w:rFonts w:ascii="Arial" w:hAnsi="Arial" w:cs="Arial"/>
          <w:bCs/>
          <w:i/>
          <w:iCs/>
        </w:rPr>
      </w:pPr>
      <w:r>
        <w:rPr>
          <w:rFonts w:ascii="Arial" w:hAnsi="Arial" w:cs="Arial"/>
          <w:bCs/>
          <w:i/>
          <w:iCs/>
        </w:rPr>
        <w:t>(Source: 2025 OMB Compliance Supplement, Part 4, HUD, #14.850 Public Housing Operating Fund)</w:t>
      </w: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42"/>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6" w:name="_Toc442267684"/>
      <w:bookmarkStart w:id="17" w:name="_Toc212473093"/>
      <w:r w:rsidRPr="00A0464C">
        <w:rPr>
          <w:rFonts w:cs="Arial"/>
          <w:sz w:val="24"/>
        </w:rPr>
        <w:lastRenderedPageBreak/>
        <w:t>Part II</w:t>
      </w:r>
      <w:bookmarkEnd w:id="16"/>
      <w:r w:rsidR="003644ED" w:rsidRPr="00A0464C">
        <w:rPr>
          <w:rFonts w:cs="Arial"/>
          <w:sz w:val="24"/>
        </w:rPr>
        <w:t xml:space="preserve"> – Pass through Agency and Grant Specific Information</w:t>
      </w:r>
      <w:bookmarkEnd w:id="17"/>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8" w:name="_Toc212473094"/>
      <w:r w:rsidRPr="00A0464C">
        <w:rPr>
          <w:rFonts w:cs="Arial"/>
          <w:sz w:val="24"/>
          <w:szCs w:val="24"/>
        </w:rPr>
        <w:t>Program Overview</w:t>
      </w:r>
      <w:bookmarkEnd w:id="18"/>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9" w:name="_Toc212473095"/>
      <w:r w:rsidRPr="00A0464C">
        <w:rPr>
          <w:rFonts w:cs="Arial"/>
          <w:sz w:val="24"/>
          <w:szCs w:val="24"/>
        </w:rPr>
        <w:t>Testing Considerations</w:t>
      </w:r>
      <w:bookmarkEnd w:id="19"/>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20" w:name="_Toc212473096"/>
      <w:r w:rsidRPr="00A0464C">
        <w:rPr>
          <w:rFonts w:cs="Arial"/>
          <w:sz w:val="24"/>
          <w:szCs w:val="24"/>
        </w:rPr>
        <w:t>Reporting</w:t>
      </w:r>
      <w:bookmarkEnd w:id="20"/>
    </w:p>
    <w:p w14:paraId="098F526F" w14:textId="141A6D72" w:rsidR="002A4184" w:rsidRPr="0019565C" w:rsidRDefault="0047409E" w:rsidP="006672EA">
      <w:pPr>
        <w:spacing w:after="240"/>
        <w:jc w:val="both"/>
        <w:rPr>
          <w:rFonts w:ascii="Arial" w:hAnsi="Arial" w:cs="Arial"/>
          <w:b/>
        </w:rPr>
        <w:sectPr w:rsidR="002A4184" w:rsidRPr="0019565C" w:rsidSect="00FE4777">
          <w:headerReference w:type="default" r:id="rId43"/>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44"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1" w:name="_Toc442267685"/>
      <w:bookmarkStart w:id="22" w:name="_Toc212473097"/>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1"/>
      <w:bookmarkEnd w:id="22"/>
    </w:p>
    <w:p w14:paraId="5009BB8E" w14:textId="77777777" w:rsidR="007E5B12" w:rsidRPr="00A0464C" w:rsidRDefault="007E5B12" w:rsidP="006672EA">
      <w:pPr>
        <w:pStyle w:val="Heading2"/>
        <w:jc w:val="both"/>
        <w:rPr>
          <w:rFonts w:cs="Arial"/>
          <w:sz w:val="24"/>
        </w:rPr>
      </w:pPr>
      <w:bookmarkStart w:id="23" w:name="_Toc442267686"/>
      <w:bookmarkStart w:id="24" w:name="_Toc212473098"/>
      <w:r w:rsidRPr="00A0464C">
        <w:rPr>
          <w:rFonts w:cs="Arial"/>
          <w:sz w:val="24"/>
        </w:rPr>
        <w:t>A.  ACTIVITIES ALLOWED OR UNALLOWED</w:t>
      </w:r>
      <w:bookmarkEnd w:id="23"/>
      <w:bookmarkEnd w:id="24"/>
    </w:p>
    <w:p w14:paraId="15499E2F" w14:textId="3214755D" w:rsidR="007E5B12" w:rsidRPr="00A0464C" w:rsidRDefault="006A15E5" w:rsidP="006672EA">
      <w:pPr>
        <w:pStyle w:val="Heading3"/>
        <w:jc w:val="both"/>
        <w:rPr>
          <w:rFonts w:cs="Arial"/>
          <w:sz w:val="24"/>
          <w:szCs w:val="24"/>
        </w:rPr>
      </w:pPr>
      <w:bookmarkStart w:id="25" w:name="_Toc442267687"/>
      <w:bookmarkStart w:id="26" w:name="_Toc212473099"/>
      <w:r w:rsidRPr="00A0464C">
        <w:rPr>
          <w:rFonts w:cs="Arial"/>
          <w:sz w:val="24"/>
          <w:szCs w:val="24"/>
        </w:rPr>
        <w:t xml:space="preserve">OMB </w:t>
      </w:r>
      <w:r w:rsidR="007E5B12" w:rsidRPr="00A0464C">
        <w:rPr>
          <w:rFonts w:cs="Arial"/>
          <w:sz w:val="24"/>
          <w:szCs w:val="24"/>
        </w:rPr>
        <w:t>Compliance Requirements</w:t>
      </w:r>
      <w:bookmarkEnd w:id="25"/>
      <w:bookmarkEnd w:id="26"/>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D229A03" w14:textId="35282FAC" w:rsidR="00227793" w:rsidRPr="00227793" w:rsidRDefault="00227793" w:rsidP="00227793">
      <w:pPr>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1.</w:t>
      </w:r>
      <w:r w:rsidRPr="00227793">
        <w:rPr>
          <w:rFonts w:ascii="Arial" w:eastAsia="Aptos" w:hAnsi="Arial" w:cs="Arial"/>
          <w:i/>
          <w:iCs/>
          <w:kern w:val="2"/>
          <w14:ligatures w14:val="standardContextual"/>
        </w:rPr>
        <w:tab/>
        <w:t>Project-Specific Operating Expenses</w:t>
      </w:r>
    </w:p>
    <w:p w14:paraId="137B58D2" w14:textId="77777777" w:rsidR="00227793" w:rsidRPr="00227793" w:rsidRDefault="00227793" w:rsidP="00CF656F">
      <w:pPr>
        <w:spacing w:line="278" w:lineRule="auto"/>
        <w:jc w:val="both"/>
        <w:rPr>
          <w:rFonts w:ascii="Arial" w:eastAsia="Aptos" w:hAnsi="Arial" w:cs="Arial"/>
          <w:kern w:val="2"/>
          <w14:ligatures w14:val="standardContextual"/>
        </w:rPr>
      </w:pPr>
    </w:p>
    <w:p w14:paraId="7E0B257C"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a.</w:t>
      </w:r>
      <w:r w:rsidRPr="00227793">
        <w:rPr>
          <w:rFonts w:ascii="Arial" w:eastAsia="Aptos" w:hAnsi="Arial" w:cs="Arial"/>
          <w:kern w:val="2"/>
          <w14:ligatures w14:val="standardContextual"/>
        </w:rPr>
        <w:tab/>
        <w:t>Project-specific operating expenses include, but are not limited to, direct administrative costs, utilities costs, maintenance costs (maintenance must be either decentralized or, if centralized, recovered via fee-for-service), tenant services, protective services, general expenses, non-routine or capital expenses, and other PHA- or HUD-identified costs which are project-specific for management purposes.</w:t>
      </w:r>
    </w:p>
    <w:p w14:paraId="0CAA04E7"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b.</w:t>
      </w:r>
      <w:r w:rsidRPr="00227793">
        <w:rPr>
          <w:rFonts w:ascii="Arial" w:eastAsia="Aptos" w:hAnsi="Arial" w:cs="Arial"/>
          <w:kern w:val="2"/>
          <w14:ligatures w14:val="standardContextual"/>
        </w:rPr>
        <w:tab/>
        <w:t>Project-specific operating expenses include a property management fee for each project to fund central office operations. If the PHA contracts with a private management company to manage a project, the PHA may use the difference between the property management fee paid to the private management company and the fee that is reasonable to fund operations of the central office and other eligible purposes.</w:t>
      </w:r>
    </w:p>
    <w:p w14:paraId="718AD952" w14:textId="77777777" w:rsidR="00227793" w:rsidRPr="00227793" w:rsidRDefault="00227793" w:rsidP="00227793">
      <w:pPr>
        <w:spacing w:after="160" w:line="278" w:lineRule="auto"/>
        <w:ind w:firstLine="720"/>
        <w:jc w:val="both"/>
        <w:rPr>
          <w:rFonts w:ascii="Arial" w:eastAsia="Aptos" w:hAnsi="Arial" w:cs="Arial"/>
          <w:kern w:val="2"/>
          <w14:ligatures w14:val="standardContextual"/>
        </w:rPr>
      </w:pPr>
      <w:r w:rsidRPr="00227793">
        <w:rPr>
          <w:rFonts w:ascii="Arial" w:eastAsia="Aptos" w:hAnsi="Arial" w:cs="Arial"/>
          <w:kern w:val="2"/>
          <w14:ligatures w14:val="standardContextual"/>
        </w:rPr>
        <w:t>c.</w:t>
      </w:r>
      <w:r w:rsidRPr="00227793">
        <w:rPr>
          <w:rFonts w:ascii="Arial" w:eastAsia="Aptos" w:hAnsi="Arial" w:cs="Arial"/>
          <w:kern w:val="2"/>
          <w14:ligatures w14:val="standardContextual"/>
        </w:rPr>
        <w:tab/>
        <w:t>Proceeds under Sections 18 and 22 of the 1937 Act</w:t>
      </w:r>
    </w:p>
    <w:p w14:paraId="76C022F6" w14:textId="77777777" w:rsidR="00227793" w:rsidRPr="00227793" w:rsidRDefault="00227793" w:rsidP="00227793">
      <w:pPr>
        <w:spacing w:after="160" w:line="278" w:lineRule="auto"/>
        <w:ind w:left="216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lastRenderedPageBreak/>
        <w:t>(1)</w:t>
      </w:r>
      <w:r w:rsidRPr="00227793">
        <w:rPr>
          <w:rFonts w:ascii="Arial" w:eastAsia="Aptos" w:hAnsi="Arial" w:cs="Arial"/>
          <w:kern w:val="2"/>
          <w14:ligatures w14:val="standardContextual"/>
        </w:rPr>
        <w:tab/>
        <w:t>PHAs may obtain proceeds from public housing real property dispositions under sections 18 and 22 of the 1937 Act. If approved by HUD, PHAs may deduct relocation costs and reasonable disposition costs (transaction costs from the gross proceeds (the result being the net proceeds). The reasonableness of disposition costs for this purpose is evidenced by the HUD approval of the deduction. PHAs may use net proceeds for the provision of low- income housing, to benefit the public housing residents of the PHA, or to leverage amounts for securing commercial enterprises on-site in public housing projects as appropriate to serve the needs of the public housing residents. A PHA's use of proceeds is subject to HUD approval. PHAs shall not use proceeds without obtaining written approval from HUD's Special Applications Center (SAC). Until expended, PHAs must deposit the proceeds into an account subject to the HUD General Depository Agreement HUD- 51999 (GDA)(4/18).</w:t>
      </w:r>
    </w:p>
    <w:p w14:paraId="440A2117" w14:textId="77777777" w:rsidR="00227793" w:rsidRPr="00227793" w:rsidRDefault="00227793" w:rsidP="00227793">
      <w:pPr>
        <w:spacing w:after="160" w:line="278" w:lineRule="auto"/>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2.</w:t>
      </w:r>
      <w:r w:rsidRPr="00227793">
        <w:rPr>
          <w:rFonts w:ascii="Arial" w:eastAsia="Aptos" w:hAnsi="Arial" w:cs="Arial"/>
          <w:i/>
          <w:iCs/>
          <w:kern w:val="2"/>
          <w14:ligatures w14:val="standardContextual"/>
        </w:rPr>
        <w:tab/>
        <w:t>Use of Excess Cash</w:t>
      </w:r>
    </w:p>
    <w:p w14:paraId="53A45495" w14:textId="471FF66D" w:rsidR="00227793" w:rsidRPr="00227793" w:rsidRDefault="00227793" w:rsidP="00227793">
      <w:pPr>
        <w:spacing w:after="160" w:line="278" w:lineRule="auto"/>
        <w:ind w:left="720"/>
        <w:jc w:val="both"/>
        <w:rPr>
          <w:rFonts w:ascii="Arial" w:eastAsia="Aptos" w:hAnsi="Arial" w:cs="Arial"/>
          <w:kern w:val="2"/>
          <w14:ligatures w14:val="standardContextual"/>
        </w:rPr>
      </w:pPr>
      <w:r w:rsidRPr="00227793">
        <w:rPr>
          <w:rFonts w:ascii="Arial" w:eastAsia="Aptos" w:hAnsi="Arial" w:cs="Arial"/>
          <w:kern w:val="2"/>
          <w14:ligatures w14:val="standardContextual"/>
        </w:rPr>
        <w:t xml:space="preserve">With the Operating Funds calculated at a project level, the Operating Funds can be transferred as the PHA determines during the PHA’s fiscal year to another ACC project(s) if a project’s financial information meets the requirements described in </w:t>
      </w:r>
      <w:hyperlink r:id="rId45" w:history="1">
        <w:r w:rsidRPr="00227793">
          <w:rPr>
            <w:rStyle w:val="Hyperlink"/>
            <w:rFonts w:eastAsia="Aptos" w:cs="Arial"/>
            <w:kern w:val="2"/>
            <w14:ligatures w14:val="standardContextual"/>
          </w:rPr>
          <w:t>24 CFR section 990.280</w:t>
        </w:r>
      </w:hyperlink>
      <w:r w:rsidRPr="00227793">
        <w:rPr>
          <w:rFonts w:ascii="Arial" w:eastAsia="Aptos" w:hAnsi="Arial" w:cs="Arial"/>
          <w:kern w:val="2"/>
          <w14:ligatures w14:val="standardContextual"/>
        </w:rPr>
        <w:t>. The transfers cannot be more than the excess cash the project generates (24 CFR section 990.205(a)). Excess cash is calculated at the end of the project’s prior fiscal year for use in the current fiscal year, if applicable. Excess cash represents the sum of certain current asset accounts, minus current liabilities, and minus one month’s worth of operating expenses for the project.</w:t>
      </w:r>
    </w:p>
    <w:p w14:paraId="624DC12D" w14:textId="77777777" w:rsidR="00227793" w:rsidRPr="00227793" w:rsidRDefault="00227793" w:rsidP="00227793">
      <w:pPr>
        <w:spacing w:after="160" w:line="278" w:lineRule="auto"/>
        <w:ind w:left="720"/>
        <w:jc w:val="both"/>
        <w:rPr>
          <w:rFonts w:ascii="Arial" w:eastAsia="Aptos" w:hAnsi="Arial" w:cs="Arial"/>
          <w:kern w:val="2"/>
          <w14:ligatures w14:val="standardContextual"/>
        </w:rPr>
      </w:pPr>
      <w:r w:rsidRPr="00227793">
        <w:rPr>
          <w:rFonts w:ascii="Arial" w:eastAsia="Aptos" w:hAnsi="Arial" w:cs="Arial"/>
          <w:kern w:val="2"/>
          <w14:ligatures w14:val="standardContextual"/>
        </w:rPr>
        <w:t>HUD has provided guidance on using excess cash in sections 6.1 through 6.6 in the Supplement to HUD Handbook 7475.1. This guidance has been developed using the norms in the broader multi-family management industry (24 CFR section 990.225).</w:t>
      </w:r>
    </w:p>
    <w:p w14:paraId="5BF8CE83" w14:textId="77777777" w:rsidR="00227793" w:rsidRPr="00227793" w:rsidRDefault="00227793" w:rsidP="00227793">
      <w:pPr>
        <w:spacing w:after="160" w:line="278" w:lineRule="auto"/>
        <w:ind w:firstLine="720"/>
        <w:jc w:val="both"/>
        <w:rPr>
          <w:rFonts w:ascii="Arial" w:eastAsia="Aptos" w:hAnsi="Arial" w:cs="Arial"/>
          <w:kern w:val="2"/>
          <w14:ligatures w14:val="standardContextual"/>
        </w:rPr>
      </w:pPr>
      <w:r w:rsidRPr="00227793">
        <w:rPr>
          <w:rFonts w:ascii="Arial" w:eastAsia="Aptos" w:hAnsi="Arial" w:cs="Arial"/>
          <w:kern w:val="2"/>
          <w14:ligatures w14:val="standardContextual"/>
        </w:rPr>
        <w:t>a.</w:t>
      </w:r>
      <w:r w:rsidRPr="00227793">
        <w:rPr>
          <w:rFonts w:ascii="Arial" w:eastAsia="Aptos" w:hAnsi="Arial" w:cs="Arial"/>
          <w:kern w:val="2"/>
          <w14:ligatures w14:val="standardContextual"/>
        </w:rPr>
        <w:tab/>
        <w:t>Excess cash may be used for the following purposes:</w:t>
      </w:r>
    </w:p>
    <w:p w14:paraId="73175865" w14:textId="77777777" w:rsidR="00227793" w:rsidRPr="00227793" w:rsidRDefault="00227793" w:rsidP="00227793">
      <w:pPr>
        <w:spacing w:after="160" w:line="278" w:lineRule="auto"/>
        <w:ind w:left="720" w:firstLine="720"/>
        <w:jc w:val="both"/>
        <w:rPr>
          <w:rFonts w:ascii="Arial" w:eastAsia="Aptos" w:hAnsi="Arial" w:cs="Arial"/>
          <w:kern w:val="2"/>
          <w14:ligatures w14:val="standardContextual"/>
        </w:rPr>
      </w:pPr>
      <w:r w:rsidRPr="00227793">
        <w:rPr>
          <w:rFonts w:ascii="Arial" w:eastAsia="Aptos" w:hAnsi="Arial" w:cs="Arial"/>
          <w:kern w:val="2"/>
          <w14:ligatures w14:val="standardContextual"/>
        </w:rPr>
        <w:t>(1)</w:t>
      </w:r>
      <w:r w:rsidRPr="00227793">
        <w:rPr>
          <w:rFonts w:ascii="Arial" w:eastAsia="Aptos" w:hAnsi="Arial" w:cs="Arial"/>
          <w:kern w:val="2"/>
          <w14:ligatures w14:val="standardContextual"/>
        </w:rPr>
        <w:tab/>
        <w:t>Retention for future use;</w:t>
      </w:r>
    </w:p>
    <w:p w14:paraId="60E82A25" w14:textId="61B9B0E3" w:rsidR="00227793" w:rsidRPr="00227793" w:rsidRDefault="00227793" w:rsidP="00CF656F">
      <w:pPr>
        <w:spacing w:after="160" w:line="278" w:lineRule="auto"/>
        <w:ind w:left="720" w:firstLine="720"/>
        <w:jc w:val="both"/>
        <w:rPr>
          <w:rFonts w:ascii="Arial" w:eastAsia="Aptos" w:hAnsi="Arial" w:cs="Arial"/>
          <w:kern w:val="2"/>
          <w14:ligatures w14:val="standardContextual"/>
        </w:rPr>
      </w:pPr>
      <w:r w:rsidRPr="00227793">
        <w:rPr>
          <w:rFonts w:ascii="Arial" w:eastAsia="Aptos" w:hAnsi="Arial" w:cs="Arial"/>
          <w:kern w:val="2"/>
          <w14:ligatures w14:val="standardContextual"/>
        </w:rPr>
        <w:t>(2)</w:t>
      </w:r>
      <w:r w:rsidRPr="00227793">
        <w:rPr>
          <w:rFonts w:ascii="Arial" w:eastAsia="Aptos" w:hAnsi="Arial" w:cs="Arial"/>
          <w:kern w:val="2"/>
          <w14:ligatures w14:val="standardContextual"/>
        </w:rPr>
        <w:tab/>
        <w:t>Transfer to other projects;</w:t>
      </w:r>
    </w:p>
    <w:p w14:paraId="45A5C57A" w14:textId="77777777" w:rsidR="00227793" w:rsidRPr="00227793" w:rsidRDefault="00227793" w:rsidP="00227793">
      <w:pPr>
        <w:spacing w:after="160" w:line="278" w:lineRule="auto"/>
        <w:ind w:left="720" w:firstLine="720"/>
        <w:jc w:val="both"/>
        <w:rPr>
          <w:rFonts w:ascii="Arial" w:eastAsia="Aptos" w:hAnsi="Arial" w:cs="Arial"/>
          <w:kern w:val="2"/>
          <w14:ligatures w14:val="standardContextual"/>
        </w:rPr>
      </w:pPr>
      <w:r w:rsidRPr="00227793">
        <w:rPr>
          <w:rFonts w:ascii="Arial" w:eastAsia="Aptos" w:hAnsi="Arial" w:cs="Arial"/>
          <w:kern w:val="2"/>
          <w14:ligatures w14:val="standardContextual"/>
        </w:rPr>
        <w:t>(3)</w:t>
      </w:r>
      <w:r w:rsidRPr="00227793">
        <w:rPr>
          <w:rFonts w:ascii="Arial" w:eastAsia="Aptos" w:hAnsi="Arial" w:cs="Arial"/>
          <w:kern w:val="2"/>
          <w14:ligatures w14:val="standardContextual"/>
        </w:rPr>
        <w:tab/>
        <w:t>Payment of an asset management fee to the COCC; and</w:t>
      </w:r>
    </w:p>
    <w:p w14:paraId="0395B2B7" w14:textId="77777777" w:rsidR="00227793" w:rsidRPr="00227793" w:rsidRDefault="00227793" w:rsidP="00227793">
      <w:pPr>
        <w:spacing w:after="160" w:line="278" w:lineRule="auto"/>
        <w:ind w:left="720" w:firstLine="720"/>
        <w:jc w:val="both"/>
        <w:rPr>
          <w:rFonts w:ascii="Arial" w:eastAsia="Aptos" w:hAnsi="Arial" w:cs="Arial"/>
          <w:kern w:val="2"/>
          <w14:ligatures w14:val="standardContextual"/>
        </w:rPr>
      </w:pPr>
      <w:r w:rsidRPr="00227793">
        <w:rPr>
          <w:rFonts w:ascii="Arial" w:eastAsia="Aptos" w:hAnsi="Arial" w:cs="Arial"/>
          <w:kern w:val="2"/>
          <w14:ligatures w14:val="standardContextual"/>
        </w:rPr>
        <w:t>(4)</w:t>
      </w:r>
      <w:r w:rsidRPr="00227793">
        <w:rPr>
          <w:rFonts w:ascii="Arial" w:eastAsia="Aptos" w:hAnsi="Arial" w:cs="Arial"/>
          <w:kern w:val="2"/>
          <w14:ligatures w14:val="standardContextual"/>
        </w:rPr>
        <w:tab/>
        <w:t>Other HUD-approved eligible purposes, including, but not limited to—</w:t>
      </w:r>
    </w:p>
    <w:p w14:paraId="20F5BE58" w14:textId="77777777" w:rsidR="00227793" w:rsidRPr="00227793" w:rsidRDefault="00227793" w:rsidP="00227793">
      <w:pPr>
        <w:spacing w:after="160" w:line="278" w:lineRule="auto"/>
        <w:ind w:left="288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(a)</w:t>
      </w:r>
      <w:r w:rsidRPr="00227793">
        <w:rPr>
          <w:rFonts w:ascii="Arial" w:eastAsia="Aptos" w:hAnsi="Arial" w:cs="Arial"/>
          <w:kern w:val="2"/>
          <w14:ligatures w14:val="standardContextual"/>
        </w:rPr>
        <w:tab/>
        <w:t>Financing costs for the development of new units (to the extent allowed under program requirements),</w:t>
      </w:r>
    </w:p>
    <w:p w14:paraId="0E9401B9" w14:textId="77777777" w:rsidR="00227793" w:rsidRPr="00227793" w:rsidRDefault="00227793" w:rsidP="00227793">
      <w:pPr>
        <w:spacing w:after="160" w:line="278" w:lineRule="auto"/>
        <w:ind w:left="288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(b)</w:t>
      </w:r>
      <w:r w:rsidRPr="00227793">
        <w:rPr>
          <w:rFonts w:ascii="Arial" w:eastAsia="Aptos" w:hAnsi="Arial" w:cs="Arial"/>
          <w:kern w:val="2"/>
          <w14:ligatures w14:val="standardContextual"/>
        </w:rPr>
        <w:tab/>
        <w:t>If approved by HUD HQ Counsel and concurred upon by the assistant secretary or general deputy assistant secretary, costs of pursuing PHA-wide lawsuits and addressing legal issues incurred prior to asset management that cannot be charged to specific projects or other programs with any degree of accuracy or fairness, and</w:t>
      </w:r>
    </w:p>
    <w:p w14:paraId="5F12E22F" w14:textId="77777777" w:rsidR="00227793" w:rsidRPr="00227793" w:rsidRDefault="00227793" w:rsidP="00227793">
      <w:pPr>
        <w:spacing w:after="160" w:line="278" w:lineRule="auto"/>
        <w:ind w:left="288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(c)</w:t>
      </w:r>
      <w:r w:rsidRPr="00227793">
        <w:rPr>
          <w:rFonts w:ascii="Arial" w:eastAsia="Aptos" w:hAnsi="Arial" w:cs="Arial"/>
          <w:kern w:val="2"/>
          <w14:ligatures w14:val="standardContextual"/>
        </w:rPr>
        <w:tab/>
        <w:t>Provided 2 CFR Part 200 is followed, benefits including pensions, retirement benefits liabilities, and other “legacy costs” incurred prior to adoption of asset management (24 CFR section 990.280(b)(5)). (Also see Section 6.2 in the Supplement to HUD Handbook 7475.1.)</w:t>
      </w:r>
    </w:p>
    <w:p w14:paraId="727C05F4"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lastRenderedPageBreak/>
        <w:t>b.</w:t>
      </w:r>
      <w:r w:rsidRPr="00227793">
        <w:rPr>
          <w:rFonts w:ascii="Arial" w:eastAsia="Aptos" w:hAnsi="Arial" w:cs="Arial"/>
          <w:kern w:val="2"/>
          <w14:ligatures w14:val="standardContextual"/>
        </w:rPr>
        <w:tab/>
        <w:t>Proceeds from asset disposals of a project (e.g., the sale of a project’s maintenance vehicle) are assets of the projects and not of the COCC. With HUD approval, certain proceeds may be transferred to the COCC but may still be governed by other restrictions (2 CFR Part 200; section 990.280(b)(5)). (Also see Section 6.3 in the Supplement to HUD Handbook 7475.1.)</w:t>
      </w:r>
    </w:p>
    <w:p w14:paraId="1AFD5C87"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c.</w:t>
      </w:r>
      <w:r w:rsidRPr="00227793">
        <w:rPr>
          <w:rFonts w:ascii="Arial" w:eastAsia="Aptos" w:hAnsi="Arial" w:cs="Arial"/>
          <w:kern w:val="2"/>
          <w14:ligatures w14:val="standardContextual"/>
        </w:rPr>
        <w:tab/>
        <w:t>Excess cash cannot be used for loans or transfers to the COCC except through payment of asset management fees.</w:t>
      </w:r>
    </w:p>
    <w:p w14:paraId="04D35654" w14:textId="77777777" w:rsidR="00227793" w:rsidRPr="00227793" w:rsidRDefault="00227793" w:rsidP="00227793">
      <w:pPr>
        <w:spacing w:after="160" w:line="278" w:lineRule="auto"/>
        <w:jc w:val="both"/>
        <w:rPr>
          <w:rFonts w:ascii="Arial" w:eastAsia="Aptos" w:hAnsi="Arial" w:cs="Arial"/>
          <w:i/>
          <w:iCs/>
          <w:kern w:val="2"/>
          <w14:ligatures w14:val="standardContextual"/>
        </w:rPr>
      </w:pPr>
      <w:r w:rsidRPr="00227793">
        <w:rPr>
          <w:rFonts w:ascii="Arial" w:eastAsia="Aptos" w:hAnsi="Arial" w:cs="Arial"/>
          <w:i/>
          <w:iCs/>
          <w:kern w:val="2"/>
          <w14:ligatures w14:val="standardContextual"/>
        </w:rPr>
        <w:t>3.</w:t>
      </w:r>
      <w:r w:rsidRPr="00227793">
        <w:rPr>
          <w:rFonts w:ascii="Arial" w:eastAsia="Aptos" w:hAnsi="Arial" w:cs="Arial"/>
          <w:i/>
          <w:iCs/>
          <w:kern w:val="2"/>
          <w14:ligatures w14:val="standardContextual"/>
        </w:rPr>
        <w:tab/>
        <w:t>Use of Operating Funds</w:t>
      </w:r>
    </w:p>
    <w:p w14:paraId="3AA3793B"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a.</w:t>
      </w:r>
      <w:r w:rsidRPr="00227793">
        <w:rPr>
          <w:rFonts w:ascii="Arial" w:eastAsia="Aptos" w:hAnsi="Arial" w:cs="Arial"/>
          <w:kern w:val="2"/>
          <w14:ligatures w14:val="standardContextual"/>
        </w:rPr>
        <w:tab/>
        <w:t>The Operating Fund was established for the purpose of making assistance available to PHAs for the operation and management of public housing. Per the ACC, funds are not fungible between programs except as approved by HUD (PHAs may use Operating Funds as outlined by sections 9(e), 9(g) and 9(l) of the 1937 Act, as amended (42 USC 1437d(j), 42 USC 1437g, and 42 USC 3535(d)), HUD regulations and Moving to Work (MTW) agreements. PHAs may use Capital Funds as outlined by Section 9(d), 9(g), and 9(l) of the 1937 Act and HUD regulations) and consistent with HUD Requirements.</w:t>
      </w:r>
    </w:p>
    <w:p w14:paraId="2C6EA66D" w14:textId="77777777" w:rsidR="00227793" w:rsidRPr="00227793" w:rsidRDefault="00227793" w:rsidP="006B5D76">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Transfers out of the Operating Fund can only occur in very limited circumstances, such as outlined by the documents of a RAD conversion and for when PHAs participate in the Moving to Work Demonstration Program (Assistance Listing 14.881) authorized by 204(c)(1) of Title II of the Omnibus Consolidated Rescissions and Appropriations Act of 1996, Pub. L. No. 104-134, 110 Stat. 1321-282.</w:t>
      </w:r>
    </w:p>
    <w:p w14:paraId="2BF35CD8" w14:textId="77777777" w:rsidR="00227793" w:rsidRPr="00227793" w:rsidRDefault="00227793" w:rsidP="006B5D76">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This precludes PHAs from using Operating Funds to provide temporary loans to other programs within the PHA through inter-fund inter-program transactions (Due To/Due From) or to external affiliates such as to Discretely Presented Component Units (DCUs) through affiliate receivable/payable transactions. It also precludes PHAs from using Operating Funds to temporarily cover or support non-Public Housing program activities through central payor type arrangements such as Paymaster and Revolving Fund Accounts. While allowed to be pooled in an account such as the General Fund, Public Housing Operating funds cannot be advanced from the pooled account in excess of the Public Housing Operating fund program’s expenditure rate as per the ACC.</w:t>
      </w:r>
    </w:p>
    <w:p w14:paraId="323D9B9E" w14:textId="77777777" w:rsidR="00227793" w:rsidRPr="00227793" w:rsidRDefault="00227793" w:rsidP="006B5D76">
      <w:pPr>
        <w:spacing w:after="160" w:line="278" w:lineRule="auto"/>
        <w:ind w:left="1440"/>
        <w:jc w:val="both"/>
        <w:rPr>
          <w:rFonts w:ascii="Arial" w:eastAsia="Aptos" w:hAnsi="Arial" w:cs="Arial"/>
          <w:kern w:val="2"/>
          <w14:ligatures w14:val="standardContextual"/>
        </w:rPr>
      </w:pPr>
      <w:r w:rsidRPr="00227793">
        <w:rPr>
          <w:rFonts w:ascii="Arial" w:eastAsia="Aptos" w:hAnsi="Arial" w:cs="Arial"/>
          <w:kern w:val="2"/>
          <w14:ligatures w14:val="standardContextual"/>
        </w:rPr>
        <w:t>Inter-fund and affiliate receivable/payable transactions recorded in a PHA’s books of account may indicate the existence of temporary loans which introduce the risk for the potential misuse of Operating funds for nonprogram purposes. This financial activity should be reviewed to determine whether the balances and transactions represent the allowable use of unrestricted resources or if the activity represents the ineligible use of Operating funds representing program noncompliance. Additionally, related financial transactions or adjustments that result in the elimination of Operating Fund receivables (such as write-downs, write-offs, equity and prior period adjustments, and operating transfers out ) should be reviewed to determine if eliminations and transfers are appropriate and proper authorization from HUD is documented (42 USC 1437g(e)).</w:t>
      </w:r>
    </w:p>
    <w:p w14:paraId="0087CB61"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b.</w:t>
      </w:r>
      <w:r w:rsidRPr="00227793">
        <w:rPr>
          <w:rFonts w:ascii="Arial" w:eastAsia="Aptos" w:hAnsi="Arial" w:cs="Arial"/>
          <w:kern w:val="2"/>
          <w14:ligatures w14:val="standardContextual"/>
        </w:rPr>
        <w:tab/>
        <w:t>Operating subsidy received by the PHA under prior ACCs and transferred to the new RAD property as outlined by the documents of the RAD conversion are eligible and allowable costs of the respective program.</w:t>
      </w:r>
    </w:p>
    <w:p w14:paraId="7491E695" w14:textId="77777777" w:rsidR="00227793" w:rsidRPr="00227793" w:rsidRDefault="00227793" w:rsidP="00227793">
      <w:pPr>
        <w:spacing w:after="160" w:line="278" w:lineRule="auto"/>
        <w:jc w:val="both"/>
        <w:rPr>
          <w:rFonts w:ascii="Arial" w:eastAsia="Aptos" w:hAnsi="Arial" w:cs="Arial"/>
          <w:kern w:val="2"/>
          <w14:ligatures w14:val="standardContextual"/>
        </w:rPr>
      </w:pPr>
      <w:r w:rsidRPr="00227793">
        <w:rPr>
          <w:rFonts w:ascii="Arial" w:eastAsia="Aptos" w:hAnsi="Arial" w:cs="Arial"/>
          <w:kern w:val="2"/>
          <w14:ligatures w14:val="standardContextual"/>
        </w:rPr>
        <w:t>4.</w:t>
      </w:r>
      <w:r w:rsidRPr="00227793">
        <w:rPr>
          <w:rFonts w:ascii="Arial" w:eastAsia="Aptos" w:hAnsi="Arial" w:cs="Arial"/>
          <w:kern w:val="2"/>
          <w14:ligatures w14:val="standardContextual"/>
        </w:rPr>
        <w:tab/>
        <w:t>Use of Operating Funds for Capital Improvements</w:t>
      </w:r>
    </w:p>
    <w:p w14:paraId="1C47D1A0"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lastRenderedPageBreak/>
        <w:t>a.</w:t>
      </w:r>
      <w:r w:rsidRPr="00227793">
        <w:rPr>
          <w:rFonts w:ascii="Arial" w:eastAsia="Aptos" w:hAnsi="Arial" w:cs="Arial"/>
          <w:kern w:val="2"/>
          <w14:ligatures w14:val="standardContextual"/>
        </w:rPr>
        <w:tab/>
        <w:t>PHAs with less than 250 public housing units (and that are not designated as troubled and are, in the determination of HUD, operating and maintaining public housing in a safe, clean, and healthy condition) may use their Operating Funds for capital improvements (Section 9(g)(2) of the 1937 Act (42 USC 1357g(g)(2)).</w:t>
      </w:r>
    </w:p>
    <w:p w14:paraId="0A41B0EF" w14:textId="77777777" w:rsidR="00227793" w:rsidRPr="00227793" w:rsidRDefault="00227793" w:rsidP="00227793">
      <w:pPr>
        <w:spacing w:after="160" w:line="278" w:lineRule="auto"/>
        <w:ind w:left="1440" w:hanging="720"/>
        <w:jc w:val="both"/>
        <w:rPr>
          <w:rFonts w:ascii="Arial" w:eastAsia="Aptos" w:hAnsi="Arial" w:cs="Arial"/>
          <w:kern w:val="2"/>
          <w14:ligatures w14:val="standardContextual"/>
        </w:rPr>
      </w:pPr>
      <w:r w:rsidRPr="00227793">
        <w:rPr>
          <w:rFonts w:ascii="Arial" w:eastAsia="Aptos" w:hAnsi="Arial" w:cs="Arial"/>
          <w:kern w:val="2"/>
          <w14:ligatures w14:val="standardContextual"/>
        </w:rPr>
        <w:t>b.</w:t>
      </w:r>
      <w:r w:rsidRPr="00227793">
        <w:rPr>
          <w:rFonts w:ascii="Arial" w:eastAsia="Aptos" w:hAnsi="Arial" w:cs="Arial"/>
          <w:kern w:val="2"/>
          <w14:ligatures w14:val="standardContextual"/>
        </w:rPr>
        <w:tab/>
        <w:t>PHAs with 250 or more public housing units are permitted to use 20 percent of their Operating Funds for allowable and eligible CFP activities under Section 9(d) of the Act except to (1) transfer Operating Subsidy from one project to another or (2) support a Capital Fund management fee on the Operating Subsidy used for CFP activities.</w:t>
      </w:r>
    </w:p>
    <w:p w14:paraId="59DCE6D7" w14:textId="2BC3DD07" w:rsidR="00225F9C" w:rsidRPr="00227793" w:rsidRDefault="00227793" w:rsidP="006672EA">
      <w:pPr>
        <w:spacing w:after="240"/>
        <w:jc w:val="both"/>
        <w:rPr>
          <w:rFonts w:ascii="Arial" w:hAnsi="Arial" w:cs="Arial"/>
          <w:bCs/>
          <w:i/>
          <w:iCs/>
        </w:rPr>
      </w:pPr>
      <w:r>
        <w:rPr>
          <w:rFonts w:ascii="Arial" w:hAnsi="Arial" w:cs="Arial"/>
          <w:bCs/>
          <w:i/>
          <w:iCs/>
        </w:rPr>
        <w:t>(Source: 2025 OMB Compliance Supplement, Part 4, HUD, #14.850 Public Housing</w:t>
      </w:r>
      <w:r w:rsidR="007D76AB">
        <w:rPr>
          <w:rFonts w:ascii="Arial" w:hAnsi="Arial" w:cs="Arial"/>
          <w:bCs/>
          <w:i/>
          <w:iCs/>
        </w:rPr>
        <w:t xml:space="preserve"> Operating Fund</w:t>
      </w:r>
      <w:r>
        <w:rPr>
          <w:rFonts w:ascii="Arial" w:hAnsi="Arial" w:cs="Arial"/>
          <w:bCs/>
          <w:i/>
          <w:iCs/>
        </w:rPr>
        <w:t>)</w:t>
      </w:r>
    </w:p>
    <w:p w14:paraId="0A90B4EE" w14:textId="77777777" w:rsidR="00A712B0" w:rsidRPr="00A0464C" w:rsidRDefault="00A712B0" w:rsidP="006672EA">
      <w:pPr>
        <w:pStyle w:val="Heading3"/>
        <w:jc w:val="both"/>
        <w:rPr>
          <w:rFonts w:cs="Arial"/>
          <w:sz w:val="24"/>
          <w:szCs w:val="24"/>
        </w:rPr>
      </w:pPr>
      <w:bookmarkStart w:id="27" w:name="_Toc442267688"/>
      <w:bookmarkStart w:id="28" w:name="_Toc212473100"/>
      <w:r w:rsidRPr="00A0464C">
        <w:rPr>
          <w:rFonts w:cs="Arial"/>
          <w:sz w:val="24"/>
          <w:szCs w:val="24"/>
        </w:rPr>
        <w:t>Additional Program Specific Information</w:t>
      </w:r>
      <w:bookmarkEnd w:id="27"/>
      <w:bookmarkEnd w:id="28"/>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6955CC42" w:rsidR="00AA5B05" w:rsidRPr="00AA5B05" w:rsidRDefault="00AA5B05"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227793" w:rsidRDefault="00AA5B05" w:rsidP="008B4BCE">
      <w:pPr>
        <w:pStyle w:val="ListParagraph"/>
        <w:numPr>
          <w:ilvl w:val="0"/>
          <w:numId w:val="32"/>
        </w:numPr>
        <w:spacing w:after="240"/>
        <w:jc w:val="both"/>
        <w:rPr>
          <w:rFonts w:ascii="Arial" w:hAnsi="Arial" w:cs="Arial"/>
          <w:b/>
          <w:highlight w:val="yellow"/>
        </w:rPr>
      </w:pPr>
      <w:r w:rsidRPr="00227793">
        <w:rPr>
          <w:rFonts w:ascii="Arial" w:hAnsi="Arial" w:cs="Arial"/>
          <w:b/>
          <w:highlight w:val="yellow"/>
        </w:rPr>
        <w:t>T</w:t>
      </w:r>
      <w:r w:rsidR="003644ED" w:rsidRPr="00227793">
        <w:rPr>
          <w:rFonts w:ascii="Arial" w:hAnsi="Arial" w:cs="Arial"/>
          <w:b/>
          <w:highlight w:val="yellow"/>
        </w:rPr>
        <w:t>he pass-through agency</w:t>
      </w:r>
      <w:r w:rsidRPr="00227793">
        <w:rPr>
          <w:rFonts w:ascii="Arial" w:hAnsi="Arial" w:cs="Arial"/>
          <w:b/>
          <w:highlight w:val="yellow"/>
        </w:rPr>
        <w:t>, and</w:t>
      </w:r>
    </w:p>
    <w:p w14:paraId="07493970" w14:textId="0D18E487" w:rsidR="00AA5B05" w:rsidRPr="00AA5B05" w:rsidRDefault="00AA5B05"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Pr="00AA5B05"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57EFB075" w14:textId="77777777" w:rsidR="00E41AA1" w:rsidRPr="00A0464C" w:rsidRDefault="00072C5E" w:rsidP="00F00D94">
      <w:pPr>
        <w:pStyle w:val="Heading3"/>
        <w:rPr>
          <w:sz w:val="24"/>
          <w:szCs w:val="24"/>
        </w:rPr>
      </w:pPr>
      <w:bookmarkStart w:id="29" w:name="_Toc212473101"/>
      <w:r w:rsidRPr="00A0464C">
        <w:rPr>
          <w:sz w:val="24"/>
          <w:szCs w:val="24"/>
        </w:rPr>
        <w:t>Audit Objectives</w:t>
      </w:r>
      <w:r w:rsidR="00EF51CC" w:rsidRPr="00A0464C">
        <w:rPr>
          <w:sz w:val="24"/>
          <w:szCs w:val="24"/>
        </w:rPr>
        <w:t xml:space="preserve"> and Control Testing</w:t>
      </w:r>
      <w:bookmarkEnd w:id="29"/>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8B4BCE">
      <w:pPr>
        <w:pStyle w:val="ListParagraph"/>
        <w:widowControl w:val="0"/>
        <w:numPr>
          <w:ilvl w:val="0"/>
          <w:numId w:val="23"/>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8B4BCE">
      <w:pPr>
        <w:pStyle w:val="ListParagraph"/>
        <w:widowControl w:val="0"/>
        <w:numPr>
          <w:ilvl w:val="0"/>
          <w:numId w:val="23"/>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0" w:name="_Toc212473102"/>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0"/>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1" w:name="_Toc212473103"/>
      <w:r w:rsidRPr="00A0464C">
        <w:rPr>
          <w:rFonts w:cs="Arial"/>
          <w:sz w:val="24"/>
          <w:szCs w:val="24"/>
        </w:rPr>
        <w:t>Audit Implications Summary</w:t>
      </w:r>
      <w:bookmarkEnd w:id="31"/>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4690437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4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8B4BCE">
            <w:pPr>
              <w:pStyle w:val="ListParagraph"/>
              <w:widowControl w:val="0"/>
              <w:numPr>
                <w:ilvl w:val="0"/>
                <w:numId w:val="1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8B4BCE">
            <w:pPr>
              <w:widowControl w:val="0"/>
              <w:numPr>
                <w:ilvl w:val="0"/>
                <w:numId w:val="1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8B4BCE">
            <w:pPr>
              <w:widowControl w:val="0"/>
              <w:numPr>
                <w:ilvl w:val="0"/>
                <w:numId w:val="1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8B4BCE">
            <w:pPr>
              <w:widowControl w:val="0"/>
              <w:numPr>
                <w:ilvl w:val="0"/>
                <w:numId w:val="1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8B4BCE">
            <w:pPr>
              <w:widowControl w:val="0"/>
              <w:numPr>
                <w:ilvl w:val="0"/>
                <w:numId w:val="1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47"/>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2" w:name="_Toc442267689"/>
      <w:bookmarkStart w:id="33" w:name="_Toc212473104"/>
      <w:r w:rsidRPr="00A0464C">
        <w:rPr>
          <w:rFonts w:cs="Arial"/>
          <w:sz w:val="24"/>
        </w:rPr>
        <w:lastRenderedPageBreak/>
        <w:t>B.  ALLOWABLE COSTS/COST PRINCIPLES</w:t>
      </w:r>
      <w:bookmarkEnd w:id="32"/>
      <w:bookmarkEnd w:id="33"/>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8B4BCE">
      <w:pPr>
        <w:pStyle w:val="ListParagraph"/>
        <w:numPr>
          <w:ilvl w:val="0"/>
          <w:numId w:val="31"/>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296D08D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48"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9"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8B4BCE">
      <w:pPr>
        <w:pStyle w:val="ListParagraph"/>
        <w:numPr>
          <w:ilvl w:val="0"/>
          <w:numId w:val="31"/>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8B4BCE">
      <w:pPr>
        <w:pStyle w:val="ListParagraph"/>
        <w:numPr>
          <w:ilvl w:val="1"/>
          <w:numId w:val="31"/>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8B4BCE">
      <w:pPr>
        <w:pStyle w:val="ListParagraph"/>
        <w:numPr>
          <w:ilvl w:val="1"/>
          <w:numId w:val="31"/>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8B4BCE">
      <w:pPr>
        <w:pStyle w:val="ListParagraph"/>
        <w:numPr>
          <w:ilvl w:val="1"/>
          <w:numId w:val="31"/>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8B4BCE">
      <w:pPr>
        <w:pStyle w:val="ListParagraph"/>
        <w:numPr>
          <w:ilvl w:val="0"/>
          <w:numId w:val="31"/>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8B4BCE">
      <w:pPr>
        <w:pStyle w:val="ListParagraph"/>
        <w:numPr>
          <w:ilvl w:val="1"/>
          <w:numId w:val="31"/>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8B4BCE">
      <w:pPr>
        <w:pStyle w:val="ListParagraph"/>
        <w:numPr>
          <w:ilvl w:val="1"/>
          <w:numId w:val="3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8B4BCE">
      <w:pPr>
        <w:pStyle w:val="ListParagraph"/>
        <w:numPr>
          <w:ilvl w:val="1"/>
          <w:numId w:val="3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8B4BCE">
      <w:pPr>
        <w:pStyle w:val="ListParagraph"/>
        <w:numPr>
          <w:ilvl w:val="0"/>
          <w:numId w:val="31"/>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8B4BCE">
      <w:pPr>
        <w:pStyle w:val="ListParagraph"/>
        <w:numPr>
          <w:ilvl w:val="1"/>
          <w:numId w:val="31"/>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8B4BCE">
      <w:pPr>
        <w:pStyle w:val="ListParagraph"/>
        <w:numPr>
          <w:ilvl w:val="2"/>
          <w:numId w:val="31"/>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8B4BCE">
      <w:pPr>
        <w:pStyle w:val="ListParagraph"/>
        <w:numPr>
          <w:ilvl w:val="2"/>
          <w:numId w:val="31"/>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8B4BCE">
      <w:pPr>
        <w:pStyle w:val="ListParagraph"/>
        <w:numPr>
          <w:ilvl w:val="1"/>
          <w:numId w:val="31"/>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8B4BCE">
      <w:pPr>
        <w:pStyle w:val="ListParagraph"/>
        <w:numPr>
          <w:ilvl w:val="1"/>
          <w:numId w:val="3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8B4BCE">
      <w:pPr>
        <w:pStyle w:val="ListParagraph"/>
        <w:numPr>
          <w:ilvl w:val="0"/>
          <w:numId w:val="31"/>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8B4BCE">
      <w:pPr>
        <w:pStyle w:val="ListParagraph"/>
        <w:numPr>
          <w:ilvl w:val="1"/>
          <w:numId w:val="31"/>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8B4BCE">
      <w:pPr>
        <w:pStyle w:val="ListParagraph"/>
        <w:numPr>
          <w:ilvl w:val="1"/>
          <w:numId w:val="31"/>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8B4BCE">
      <w:pPr>
        <w:pStyle w:val="ListParagraph"/>
        <w:numPr>
          <w:ilvl w:val="1"/>
          <w:numId w:val="31"/>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4" w:name="B___ALLOWABLE_COSTS_COST_PRINCIPLES"/>
      <w:bookmarkStart w:id="35" w:name="_Toc212473105"/>
      <w:bookmarkEnd w:id="34"/>
      <w:r w:rsidRPr="009365AA">
        <w:rPr>
          <w:rFonts w:cs="Arial"/>
          <w:sz w:val="24"/>
          <w:szCs w:val="24"/>
        </w:rPr>
        <w:t>Applicability of Cost Principles</w:t>
      </w:r>
      <w:bookmarkEnd w:id="35"/>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8B4BCE">
      <w:pPr>
        <w:pStyle w:val="ListParagraph"/>
        <w:numPr>
          <w:ilvl w:val="1"/>
          <w:numId w:val="24"/>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8B4BCE">
      <w:pPr>
        <w:pStyle w:val="ListParagraph"/>
        <w:numPr>
          <w:ilvl w:val="1"/>
          <w:numId w:val="24"/>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8B4BCE">
      <w:pPr>
        <w:pStyle w:val="ListParagraph"/>
        <w:numPr>
          <w:ilvl w:val="1"/>
          <w:numId w:val="24"/>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8B4BCE">
      <w:pPr>
        <w:pStyle w:val="ListParagraph"/>
        <w:numPr>
          <w:ilvl w:val="1"/>
          <w:numId w:val="24"/>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8B4BCE">
      <w:pPr>
        <w:pStyle w:val="ListParagraph"/>
        <w:numPr>
          <w:ilvl w:val="1"/>
          <w:numId w:val="24"/>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8B4BCE">
      <w:pPr>
        <w:pStyle w:val="ListParagraph"/>
        <w:numPr>
          <w:ilvl w:val="1"/>
          <w:numId w:val="24"/>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8B4BCE">
      <w:pPr>
        <w:pStyle w:val="ListParagraph"/>
        <w:numPr>
          <w:ilvl w:val="0"/>
          <w:numId w:val="37"/>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8B4BCE">
      <w:pPr>
        <w:pStyle w:val="ListParagraph"/>
        <w:numPr>
          <w:ilvl w:val="0"/>
          <w:numId w:val="37"/>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7928A1EF" w:rsidR="00545700" w:rsidRPr="00F00D94" w:rsidRDefault="00545700" w:rsidP="006672EA">
      <w:pPr>
        <w:spacing w:after="240"/>
        <w:jc w:val="both"/>
        <w:rPr>
          <w:rFonts w:ascii="Arial" w:hAnsi="Arial" w:cs="Arial"/>
        </w:rPr>
      </w:pPr>
      <w:hyperlink r:id="rId50"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7548F8BC" w14:textId="452884F7" w:rsidR="006B5D76" w:rsidRPr="006B5D76" w:rsidRDefault="006B5D76" w:rsidP="006B5D76">
      <w:pPr>
        <w:spacing w:after="240"/>
        <w:jc w:val="both"/>
        <w:rPr>
          <w:rFonts w:ascii="Arial" w:hAnsi="Arial" w:cs="Arial"/>
          <w:bCs/>
        </w:rPr>
      </w:pPr>
      <w:r w:rsidRPr="006B5D76">
        <w:rPr>
          <w:rFonts w:ascii="Arial" w:hAnsi="Arial" w:cs="Arial"/>
          <w:bCs/>
        </w:rPr>
        <w:t>The amount of salary, including bonuses, of PHA chief executive officers, other officers, and employees paid with Section 8 Housing Choice Vouchers administrative fees and Section 9 Capital and Operating Funds may not exceed the annual rate of basic pay payable for a federal position at Level IV of the Executive Schedule (currently $183,250) (Section 227 of Pub. L. No. 113-235, 128 Stat. 2756, December 16, 2014, and if carried forward in each subsequent appropriations act). Implementing guidance has been issued in PIH Notice 2016-14, “Guidance on the Public Housing Agency (PHA) salary restriction in HUD’s annual appropriations” (</w:t>
      </w:r>
      <w:hyperlink r:id="rId51" w:history="1">
        <w:r w:rsidR="0062713F">
          <w:rPr>
            <w:rStyle w:val="Hyperlink"/>
            <w:rFonts w:cs="Arial"/>
            <w:bCs/>
          </w:rPr>
          <w:t>https://www.hud.gov/sites/documents/16-14pihn.pdf</w:t>
        </w:r>
      </w:hyperlink>
      <w:r w:rsidRPr="006B5D76">
        <w:rPr>
          <w:rFonts w:ascii="Arial" w:hAnsi="Arial" w:cs="Arial"/>
          <w:bCs/>
        </w:rPr>
        <w:t xml:space="preserve">). OPM Salary tables are located here: </w:t>
      </w:r>
      <w:hyperlink r:id="rId52" w:history="1">
        <w:r w:rsidRPr="006B5D76">
          <w:rPr>
            <w:rStyle w:val="Hyperlink"/>
            <w:rFonts w:cs="Arial"/>
            <w:bCs/>
          </w:rPr>
          <w:t>https://www.opm.gov/policy-data-oversight/pay-leave/salaries-wages/</w:t>
        </w:r>
      </w:hyperlink>
      <w:r w:rsidRPr="006B5D76">
        <w:rPr>
          <w:rFonts w:ascii="Arial" w:hAnsi="Arial" w:cs="Arial"/>
          <w:bCs/>
        </w:rPr>
        <w:t>.</w:t>
      </w:r>
    </w:p>
    <w:p w14:paraId="0F763CEA" w14:textId="50271312" w:rsidR="006B5D76" w:rsidRPr="006B5D76" w:rsidRDefault="006B5D76" w:rsidP="006B5D76">
      <w:pPr>
        <w:spacing w:after="240"/>
        <w:ind w:firstLine="720"/>
        <w:jc w:val="both"/>
        <w:rPr>
          <w:rFonts w:ascii="Arial" w:hAnsi="Arial" w:cs="Arial"/>
          <w:bCs/>
        </w:rPr>
      </w:pPr>
      <w:r w:rsidRPr="006B5D76">
        <w:rPr>
          <w:rFonts w:ascii="Arial" w:hAnsi="Arial" w:cs="Arial"/>
          <w:bCs/>
        </w:rPr>
        <w:t>1.</w:t>
      </w:r>
      <w:r w:rsidRPr="006B5D76">
        <w:rPr>
          <w:rFonts w:ascii="Arial" w:hAnsi="Arial" w:cs="Arial"/>
          <w:bCs/>
        </w:rPr>
        <w:tab/>
        <w:t>Chargeable Fees under the Fee-for-Service Approach</w:t>
      </w:r>
    </w:p>
    <w:p w14:paraId="43B2E23B" w14:textId="49DD24E6" w:rsidR="006B5D76" w:rsidRPr="006B5D76" w:rsidRDefault="006B5D76" w:rsidP="006B5D76">
      <w:pPr>
        <w:spacing w:after="240"/>
        <w:ind w:left="2160" w:hanging="720"/>
        <w:jc w:val="both"/>
        <w:rPr>
          <w:rFonts w:ascii="Arial" w:hAnsi="Arial" w:cs="Arial"/>
          <w:bCs/>
        </w:rPr>
      </w:pPr>
      <w:r w:rsidRPr="006B5D76">
        <w:rPr>
          <w:rFonts w:ascii="Arial" w:hAnsi="Arial" w:cs="Arial"/>
          <w:bCs/>
        </w:rPr>
        <w:t>a.</w:t>
      </w:r>
      <w:r w:rsidRPr="006B5D76">
        <w:rPr>
          <w:rFonts w:ascii="Arial" w:hAnsi="Arial" w:cs="Arial"/>
          <w:bCs/>
        </w:rPr>
        <w:tab/>
        <w:t>The PHA may charge each project an asset management fee that may be used to fund operations of the central office (24 CFR section 990.280(b)(5)(ii)).</w:t>
      </w:r>
    </w:p>
    <w:p w14:paraId="7DF40BF9" w14:textId="7E6D497D" w:rsidR="006B5D76" w:rsidRPr="006B5D76" w:rsidRDefault="006B5D76" w:rsidP="006B5D76">
      <w:pPr>
        <w:spacing w:after="240"/>
        <w:ind w:left="2160" w:hanging="720"/>
        <w:jc w:val="both"/>
        <w:rPr>
          <w:rFonts w:ascii="Arial" w:hAnsi="Arial" w:cs="Arial"/>
          <w:bCs/>
        </w:rPr>
      </w:pPr>
      <w:r w:rsidRPr="006B5D76">
        <w:rPr>
          <w:rFonts w:ascii="Arial" w:hAnsi="Arial" w:cs="Arial"/>
          <w:bCs/>
        </w:rPr>
        <w:t>b.</w:t>
      </w:r>
      <w:r w:rsidRPr="006B5D76">
        <w:rPr>
          <w:rFonts w:ascii="Arial" w:hAnsi="Arial" w:cs="Arial"/>
          <w:bCs/>
        </w:rPr>
        <w:tab/>
        <w:t>In addition to project-specific records, PHAs may establish COCCs to account for non-project specific costs (e.g., human resources, executive director’s office). Those costs shall be funded from the property management fees received from each property and the asset management fees to the extent these are available (24 CFR section 990.280(c)). PHAs opting to fund centralized costs with capital funds must allocate overhead to projects through FDS line item 91810, “Allocated Overhead.”</w:t>
      </w:r>
    </w:p>
    <w:p w14:paraId="7E93D659" w14:textId="2EBE263B" w:rsidR="006B5D76" w:rsidRPr="006B5D76" w:rsidRDefault="006B5D76" w:rsidP="006B5D76">
      <w:pPr>
        <w:spacing w:after="240"/>
        <w:ind w:left="2160" w:hanging="720"/>
        <w:jc w:val="both"/>
        <w:rPr>
          <w:rFonts w:ascii="Arial" w:hAnsi="Arial" w:cs="Arial"/>
          <w:bCs/>
        </w:rPr>
      </w:pPr>
      <w:r w:rsidRPr="006B5D76">
        <w:rPr>
          <w:rFonts w:ascii="Arial" w:hAnsi="Arial" w:cs="Arial"/>
          <w:bCs/>
        </w:rPr>
        <w:t>c.</w:t>
      </w:r>
      <w:r w:rsidRPr="006B5D76">
        <w:rPr>
          <w:rFonts w:ascii="Arial" w:hAnsi="Arial" w:cs="Arial"/>
          <w:bCs/>
        </w:rPr>
        <w:tab/>
        <w:t xml:space="preserve">If a PHA chooses to centralize functions under asset management, it must charge each project using a fee-for-service approach unless proration is permitted. HUD has specified that the costs for rent collections, resident services, security/protective services, waiting lists, and work order processing may be prorated. (See III.N.6, “Fees Charged for Centralized Services,” and III.N.7, “Prorating Front-Line Centralized Services.”) With the exception of a central waiting list, resident services, and security/protective services, a project may not pay for the cost of a supervisor overseeing a front-line task that is performed centrally (see Section 7.10 Assignment of Costs per Supplement, Prorating Front-Line Administrative Costs, in the Supplement to HUD Handbook 7475.1 for </w:t>
      </w:r>
      <w:r w:rsidRPr="006B5D76">
        <w:rPr>
          <w:rFonts w:ascii="Arial" w:hAnsi="Arial" w:cs="Arial"/>
          <w:bCs/>
        </w:rPr>
        <w:lastRenderedPageBreak/>
        <w:t>exceptions). Each project shall be charged for the actual services received and only to the extent that such amounts are reasonable (24 CFR section</w:t>
      </w:r>
      <w:r>
        <w:rPr>
          <w:rFonts w:ascii="Arial" w:hAnsi="Arial" w:cs="Arial"/>
          <w:bCs/>
        </w:rPr>
        <w:t xml:space="preserve"> </w:t>
      </w:r>
      <w:r w:rsidRPr="006B5D76">
        <w:rPr>
          <w:rFonts w:ascii="Arial" w:hAnsi="Arial" w:cs="Arial"/>
          <w:bCs/>
        </w:rPr>
        <w:t>990.280 (d)).</w:t>
      </w:r>
    </w:p>
    <w:p w14:paraId="0AA1FEE3" w14:textId="63E9311C" w:rsidR="006B5D76" w:rsidRPr="006B5D76" w:rsidRDefault="006B5D76" w:rsidP="006B5D76">
      <w:pPr>
        <w:spacing w:after="240"/>
        <w:ind w:left="2160" w:hanging="720"/>
        <w:jc w:val="both"/>
        <w:rPr>
          <w:rFonts w:ascii="Arial" w:hAnsi="Arial" w:cs="Arial"/>
          <w:bCs/>
        </w:rPr>
      </w:pPr>
      <w:r w:rsidRPr="006B5D76">
        <w:rPr>
          <w:rFonts w:ascii="Arial" w:hAnsi="Arial" w:cs="Arial"/>
          <w:bCs/>
        </w:rPr>
        <w:t>d.</w:t>
      </w:r>
      <w:r w:rsidRPr="006B5D76">
        <w:rPr>
          <w:rFonts w:ascii="Arial" w:hAnsi="Arial" w:cs="Arial"/>
          <w:bCs/>
        </w:rPr>
        <w:tab/>
        <w:t>PHAs that own and operate 250 or more dwelling rental units under Title I of the US Housing Act of 1937, including units managed by a third-party entity (for example, a resident management corporation) but excluding Section 8 units, are required to operate using an asset management model consistent with Subpart H of 24 CFR Part 990 (24 CFR section 990.260(a)). PHAs that own and operate 400 or fewer public housing units may elect to be exempt from any asset management requirement imposed by HUD in connection with the operating fund rule, provided that an agency seeking a discontinuance of a reduction of subsidy (stop-loss) under the operating fund formula shall not be exempt from asset management requirements (Section 225 of Title II of the HUD portion of the Consolidated Appropriations Act, 2008 (Pub. L. No. 110-161) and if carried forward in all subsequent Appropriations Acts).</w:t>
      </w:r>
    </w:p>
    <w:p w14:paraId="5D603FDA" w14:textId="50579230" w:rsidR="006B5D76" w:rsidRPr="006B5D76" w:rsidRDefault="006B5D76" w:rsidP="006B5D76">
      <w:pPr>
        <w:spacing w:after="240"/>
        <w:ind w:left="2160" w:hanging="720"/>
        <w:jc w:val="both"/>
        <w:rPr>
          <w:rFonts w:ascii="Arial" w:hAnsi="Arial" w:cs="Arial"/>
          <w:bCs/>
        </w:rPr>
      </w:pPr>
      <w:r w:rsidRPr="006B5D76">
        <w:rPr>
          <w:rFonts w:ascii="Arial" w:hAnsi="Arial" w:cs="Arial"/>
          <w:bCs/>
        </w:rPr>
        <w:t>e.</w:t>
      </w:r>
      <w:r w:rsidRPr="006B5D76">
        <w:rPr>
          <w:rFonts w:ascii="Arial" w:hAnsi="Arial" w:cs="Arial"/>
          <w:bCs/>
        </w:rPr>
        <w:tab/>
        <w:t>For PHAs implementing asset management under fee-for-service, costs are classified as either a front-line expense (an expense of the project) or a fee expense (an expense of the management company (i.e., the COCC)) (see Table 7.2 and sections 5.2, 5.3, and 7.10 in the Supplement to Handbook 7475.1 for classifying costs) (24 CFR section 990.280(d)). Certain front-line project administrative expenses may be performed centrally and “charged back” (expense proration or fee-for-service) to the affected project(s). Centralized maintenance services can only be charged as a fee-for-service. Centralized indirect costs, on the other hand, are recoverable only from designated fees charged by the COCC (management, bookkeeping, asset management) (24 CFR sections 990.275 and 990.280). Project support costs should be properly classified as fee expense recoverable from management, bookkeeping, and asset management fees, or front-line project expense, recoverable through expense proration, as a shared resource cost or fee-for-service (required for centralized maintenance services). For PHAs that have established a COCC, HUD has established the following as the fees the COCC can charge projects or programs (see Section 7.1 to the Supplement to HUD Handbook 7475.1):</w:t>
      </w:r>
    </w:p>
    <w:p w14:paraId="1E49FD59" w14:textId="73518619" w:rsidR="006B5D76" w:rsidRPr="006B5D76" w:rsidRDefault="006B5D76" w:rsidP="006B5D76">
      <w:pPr>
        <w:spacing w:after="240"/>
        <w:ind w:left="1440" w:firstLine="720"/>
        <w:jc w:val="both"/>
        <w:rPr>
          <w:rFonts w:ascii="Arial" w:hAnsi="Arial" w:cs="Arial"/>
          <w:bCs/>
        </w:rPr>
      </w:pPr>
      <w:r w:rsidRPr="006B5D76">
        <w:rPr>
          <w:rFonts w:ascii="Arial" w:hAnsi="Arial" w:cs="Arial"/>
          <w:bCs/>
        </w:rPr>
        <w:t>(1)</w:t>
      </w:r>
      <w:r w:rsidRPr="006B5D76">
        <w:rPr>
          <w:rFonts w:ascii="Arial" w:hAnsi="Arial" w:cs="Arial"/>
          <w:bCs/>
        </w:rPr>
        <w:tab/>
        <w:t>Property (project) management fee;</w:t>
      </w:r>
    </w:p>
    <w:p w14:paraId="7C1F9DA2" w14:textId="3D94B46C" w:rsidR="006B5D76" w:rsidRPr="006B5D76" w:rsidRDefault="006B5D76" w:rsidP="006B5D76">
      <w:pPr>
        <w:spacing w:after="240"/>
        <w:ind w:left="1440" w:firstLine="720"/>
        <w:jc w:val="both"/>
        <w:rPr>
          <w:rFonts w:ascii="Arial" w:hAnsi="Arial" w:cs="Arial"/>
          <w:bCs/>
        </w:rPr>
      </w:pPr>
      <w:r w:rsidRPr="006B5D76">
        <w:rPr>
          <w:rFonts w:ascii="Arial" w:hAnsi="Arial" w:cs="Arial"/>
          <w:bCs/>
        </w:rPr>
        <w:t>(2)</w:t>
      </w:r>
      <w:r w:rsidRPr="006B5D76">
        <w:rPr>
          <w:rFonts w:ascii="Arial" w:hAnsi="Arial" w:cs="Arial"/>
          <w:bCs/>
        </w:rPr>
        <w:tab/>
        <w:t>Bookkeeping fees;</w:t>
      </w:r>
    </w:p>
    <w:p w14:paraId="709C86DC" w14:textId="08F0267B" w:rsidR="006B5D76" w:rsidRPr="006B5D76" w:rsidRDefault="006B5D76" w:rsidP="006B5D76">
      <w:pPr>
        <w:spacing w:after="240"/>
        <w:ind w:left="1440" w:firstLine="720"/>
        <w:jc w:val="both"/>
        <w:rPr>
          <w:rFonts w:ascii="Arial" w:hAnsi="Arial" w:cs="Arial"/>
          <w:bCs/>
        </w:rPr>
      </w:pPr>
      <w:r w:rsidRPr="006B5D76">
        <w:rPr>
          <w:rFonts w:ascii="Arial" w:hAnsi="Arial" w:cs="Arial"/>
          <w:bCs/>
        </w:rPr>
        <w:t>(3)</w:t>
      </w:r>
      <w:r w:rsidRPr="006B5D76">
        <w:rPr>
          <w:rFonts w:ascii="Arial" w:hAnsi="Arial" w:cs="Arial"/>
          <w:bCs/>
        </w:rPr>
        <w:tab/>
        <w:t>Fees for centrally provided direct services (front-line expenses);</w:t>
      </w:r>
    </w:p>
    <w:p w14:paraId="3FB01F3C" w14:textId="1B78021A" w:rsidR="006B5D76" w:rsidRPr="006B5D76" w:rsidRDefault="006B5D76" w:rsidP="006B5D76">
      <w:pPr>
        <w:spacing w:after="240"/>
        <w:ind w:left="1440" w:firstLine="720"/>
        <w:jc w:val="both"/>
        <w:rPr>
          <w:rFonts w:ascii="Arial" w:hAnsi="Arial" w:cs="Arial"/>
          <w:bCs/>
        </w:rPr>
      </w:pPr>
      <w:r w:rsidRPr="006B5D76">
        <w:rPr>
          <w:rFonts w:ascii="Arial" w:hAnsi="Arial" w:cs="Arial"/>
          <w:bCs/>
        </w:rPr>
        <w:t>(4)</w:t>
      </w:r>
      <w:r w:rsidRPr="006B5D76">
        <w:rPr>
          <w:rFonts w:ascii="Arial" w:hAnsi="Arial" w:cs="Arial"/>
          <w:bCs/>
        </w:rPr>
        <w:tab/>
        <w:t>Asset management fees;</w:t>
      </w:r>
    </w:p>
    <w:p w14:paraId="57F05EFB" w14:textId="695EE6E4" w:rsidR="006B5D76" w:rsidRPr="006B5D76" w:rsidRDefault="006B5D76" w:rsidP="006B5D76">
      <w:pPr>
        <w:spacing w:after="240"/>
        <w:ind w:left="1440" w:firstLine="720"/>
        <w:jc w:val="both"/>
        <w:rPr>
          <w:rFonts w:ascii="Arial" w:hAnsi="Arial" w:cs="Arial"/>
          <w:bCs/>
        </w:rPr>
      </w:pPr>
      <w:r w:rsidRPr="006B5D76">
        <w:rPr>
          <w:rFonts w:ascii="Arial" w:hAnsi="Arial" w:cs="Arial"/>
          <w:bCs/>
        </w:rPr>
        <w:t>(5)</w:t>
      </w:r>
      <w:r w:rsidRPr="006B5D76">
        <w:rPr>
          <w:rFonts w:ascii="Arial" w:hAnsi="Arial" w:cs="Arial"/>
          <w:bCs/>
        </w:rPr>
        <w:tab/>
        <w:t>Capital Fund Program management fees; and</w:t>
      </w:r>
    </w:p>
    <w:p w14:paraId="3B78B7C6" w14:textId="77777777" w:rsidR="006B5D76" w:rsidRPr="006B5D76" w:rsidRDefault="006B5D76" w:rsidP="006B5D76">
      <w:pPr>
        <w:spacing w:after="240"/>
        <w:ind w:left="1440" w:firstLine="720"/>
        <w:jc w:val="both"/>
        <w:rPr>
          <w:rFonts w:ascii="Arial" w:hAnsi="Arial" w:cs="Arial"/>
          <w:bCs/>
        </w:rPr>
      </w:pPr>
      <w:r w:rsidRPr="006B5D76">
        <w:rPr>
          <w:rFonts w:ascii="Arial" w:hAnsi="Arial" w:cs="Arial"/>
          <w:bCs/>
        </w:rPr>
        <w:t>(6)</w:t>
      </w:r>
      <w:r w:rsidRPr="006B5D76">
        <w:rPr>
          <w:rFonts w:ascii="Arial" w:hAnsi="Arial" w:cs="Arial"/>
          <w:bCs/>
        </w:rPr>
        <w:tab/>
        <w:t>Management fees for other programs.</w:t>
      </w:r>
    </w:p>
    <w:p w14:paraId="2120EF8E" w14:textId="24D22AAE" w:rsidR="006B5D76" w:rsidRPr="006B5D76" w:rsidRDefault="006B5D76" w:rsidP="006B5D76">
      <w:pPr>
        <w:spacing w:after="240"/>
        <w:ind w:left="2880"/>
        <w:jc w:val="both"/>
        <w:rPr>
          <w:rFonts w:ascii="Arial" w:hAnsi="Arial" w:cs="Arial"/>
          <w:bCs/>
        </w:rPr>
      </w:pPr>
      <w:r w:rsidRPr="006B5D76">
        <w:rPr>
          <w:rFonts w:ascii="Arial" w:hAnsi="Arial" w:cs="Arial"/>
          <w:bCs/>
        </w:rPr>
        <w:t xml:space="preserve">Property management fee rates established by HUD are available at </w:t>
      </w:r>
      <w:hyperlink r:id="rId53" w:history="1">
        <w:r w:rsidRPr="006B5D76">
          <w:rPr>
            <w:rStyle w:val="Hyperlink"/>
            <w:rFonts w:cs="Arial"/>
            <w:bCs/>
          </w:rPr>
          <w:t>Project-Based Accounting - Asset Management - HUD | HUD.gov / U.S. Department of Housing and Urban Development (HUD)</w:t>
        </w:r>
      </w:hyperlink>
      <w:r w:rsidRPr="006B5D76">
        <w:rPr>
          <w:rFonts w:ascii="Arial" w:hAnsi="Arial" w:cs="Arial"/>
          <w:bCs/>
        </w:rPr>
        <w:t xml:space="preserve">. </w:t>
      </w:r>
    </w:p>
    <w:p w14:paraId="2246C4DC" w14:textId="3DE00D15" w:rsidR="006B5D76" w:rsidRPr="000F03FA" w:rsidRDefault="006B5D76" w:rsidP="006B5D76">
      <w:pPr>
        <w:spacing w:after="240"/>
        <w:jc w:val="both"/>
        <w:rPr>
          <w:rFonts w:ascii="Arial" w:hAnsi="Arial" w:cs="Arial"/>
          <w:bCs/>
          <w:i/>
          <w:iCs/>
        </w:rPr>
      </w:pPr>
      <w:r>
        <w:rPr>
          <w:rFonts w:ascii="Arial" w:hAnsi="Arial" w:cs="Arial"/>
          <w:bCs/>
          <w:i/>
          <w:iCs/>
        </w:rPr>
        <w:t>(Source: 2025 OMB Compliance Supplement, Part 4, HUD, #14.850 Public Housing Operating Fund)</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lastRenderedPageBreak/>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6" w:name="_Toc212473106"/>
      <w:r w:rsidRPr="00FA4759">
        <w:rPr>
          <w:rFonts w:cs="Arial"/>
          <w:sz w:val="24"/>
          <w:szCs w:val="24"/>
        </w:rPr>
        <w:t>Additional Program Specific Information</w:t>
      </w:r>
      <w:bookmarkEnd w:id="36"/>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3EA58A1B" w:rsidR="00CD5DC7" w:rsidRPr="00AA5B05" w:rsidRDefault="00CD5DC7"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6B5D76" w:rsidRDefault="00CD5DC7" w:rsidP="008B4BCE">
      <w:pPr>
        <w:pStyle w:val="ListParagraph"/>
        <w:numPr>
          <w:ilvl w:val="0"/>
          <w:numId w:val="32"/>
        </w:numPr>
        <w:spacing w:after="240"/>
        <w:jc w:val="both"/>
        <w:rPr>
          <w:rFonts w:ascii="Arial" w:hAnsi="Arial" w:cs="Arial"/>
          <w:b/>
          <w:highlight w:val="yellow"/>
        </w:rPr>
      </w:pPr>
      <w:r w:rsidRPr="006B5D76">
        <w:rPr>
          <w:rFonts w:ascii="Arial" w:hAnsi="Arial" w:cs="Arial"/>
          <w:b/>
          <w:highlight w:val="yellow"/>
        </w:rPr>
        <w:t>The pass-through agency, and</w:t>
      </w:r>
    </w:p>
    <w:p w14:paraId="0E249625" w14:textId="7B016CD0" w:rsidR="006E46AD" w:rsidRPr="00AA5B05" w:rsidRDefault="006E46AD"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7" w:name="_Toc212473107"/>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7"/>
    </w:p>
    <w:p w14:paraId="2C5C23C1" w14:textId="77777777" w:rsidR="00B01E70" w:rsidRPr="00A0464C" w:rsidRDefault="00B01E70" w:rsidP="00B01E70">
      <w:pPr>
        <w:pStyle w:val="Heading3"/>
        <w:jc w:val="both"/>
        <w:rPr>
          <w:rFonts w:cs="Arial"/>
          <w:sz w:val="24"/>
          <w:szCs w:val="24"/>
        </w:rPr>
      </w:pPr>
      <w:bookmarkStart w:id="38" w:name="_Toc212473108"/>
      <w:r w:rsidRPr="00A0464C">
        <w:rPr>
          <w:rFonts w:cs="Arial"/>
          <w:sz w:val="24"/>
          <w:szCs w:val="24"/>
        </w:rPr>
        <w:t>OMB Compliance Requirements</w:t>
      </w:r>
      <w:bookmarkEnd w:id="38"/>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8B4BCE">
      <w:pPr>
        <w:pStyle w:val="ListParagraph"/>
        <w:numPr>
          <w:ilvl w:val="0"/>
          <w:numId w:val="35"/>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8B4BCE">
      <w:pPr>
        <w:pStyle w:val="ListParagraph"/>
        <w:numPr>
          <w:ilvl w:val="0"/>
          <w:numId w:val="35"/>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8B4BCE">
      <w:pPr>
        <w:pStyle w:val="ListParagraph"/>
        <w:numPr>
          <w:ilvl w:val="1"/>
          <w:numId w:val="33"/>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8B4BCE">
      <w:pPr>
        <w:pStyle w:val="ListParagraph"/>
        <w:numPr>
          <w:ilvl w:val="0"/>
          <w:numId w:val="36"/>
        </w:numPr>
        <w:spacing w:after="240"/>
        <w:jc w:val="both"/>
        <w:rPr>
          <w:rFonts w:ascii="Arial" w:hAnsi="Arial" w:cs="Arial"/>
        </w:rPr>
      </w:pPr>
      <w:r w:rsidRPr="008E42D7">
        <w:rPr>
          <w:rFonts w:ascii="Arial" w:hAnsi="Arial" w:cs="Arial"/>
        </w:rPr>
        <w:lastRenderedPageBreak/>
        <w:t>The specific methods for allocating indirect costs and computing indirect cost rates are as follows:</w:t>
      </w:r>
    </w:p>
    <w:p w14:paraId="1D01A770" w14:textId="7358F764" w:rsidR="00E13AE2" w:rsidRPr="00E13AE2" w:rsidRDefault="00E13AE2" w:rsidP="008B4BCE">
      <w:pPr>
        <w:pStyle w:val="ListParagraph"/>
        <w:numPr>
          <w:ilvl w:val="1"/>
          <w:numId w:val="36"/>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8B4BCE">
      <w:pPr>
        <w:pStyle w:val="ListParagraph"/>
        <w:numPr>
          <w:ilvl w:val="1"/>
          <w:numId w:val="36"/>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8B4BCE">
      <w:pPr>
        <w:pStyle w:val="ListParagraph"/>
        <w:numPr>
          <w:ilvl w:val="1"/>
          <w:numId w:val="36"/>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8B4BCE">
      <w:pPr>
        <w:pStyle w:val="ListParagraph"/>
        <w:numPr>
          <w:ilvl w:val="1"/>
          <w:numId w:val="36"/>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8B4BCE">
      <w:pPr>
        <w:pStyle w:val="ListParagraph"/>
        <w:numPr>
          <w:ilvl w:val="1"/>
          <w:numId w:val="33"/>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8B4BCE">
      <w:pPr>
        <w:pStyle w:val="ListParagraph"/>
        <w:numPr>
          <w:ilvl w:val="0"/>
          <w:numId w:val="34"/>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8B4BCE">
      <w:pPr>
        <w:pStyle w:val="ListParagraph"/>
        <w:numPr>
          <w:ilvl w:val="0"/>
          <w:numId w:val="34"/>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8B4BCE">
      <w:pPr>
        <w:pStyle w:val="ListParagraph"/>
        <w:numPr>
          <w:ilvl w:val="0"/>
          <w:numId w:val="34"/>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8B4BCE">
      <w:pPr>
        <w:pStyle w:val="ListParagraph"/>
        <w:numPr>
          <w:ilvl w:val="0"/>
          <w:numId w:val="34"/>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8B4BCE">
      <w:pPr>
        <w:pStyle w:val="ListParagraph"/>
        <w:numPr>
          <w:ilvl w:val="0"/>
          <w:numId w:val="34"/>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8B4BCE">
      <w:pPr>
        <w:pStyle w:val="ListParagraph"/>
        <w:numPr>
          <w:ilvl w:val="1"/>
          <w:numId w:val="33"/>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lastRenderedPageBreak/>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8B4BCE">
      <w:pPr>
        <w:pStyle w:val="BodyText"/>
        <w:widowControl w:val="0"/>
        <w:numPr>
          <w:ilvl w:val="0"/>
          <w:numId w:val="30"/>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8B4BCE">
      <w:pPr>
        <w:pStyle w:val="ListParagraph"/>
        <w:widowControl w:val="0"/>
        <w:numPr>
          <w:ilvl w:val="0"/>
          <w:numId w:val="30"/>
        </w:numPr>
        <w:tabs>
          <w:tab w:val="left" w:pos="820"/>
          <w:tab w:val="left" w:pos="821"/>
        </w:tabs>
        <w:spacing w:after="240"/>
        <w:ind w:right="58"/>
        <w:jc w:val="both"/>
        <w:rPr>
          <w:rFonts w:ascii="Arial" w:hAnsi="Arial" w:cs="Arial"/>
        </w:rPr>
      </w:pPr>
      <w:r w:rsidRPr="006C2DCB">
        <w:rPr>
          <w:rFonts w:ascii="Arial" w:hAnsi="Arial" w:cs="Arial"/>
        </w:rPr>
        <w:lastRenderedPageBreak/>
        <w:t>Determine whether the organization complied with the provisions of 2 CFR Part 200 as follows:</w:t>
      </w:r>
    </w:p>
    <w:p w14:paraId="56C05630" w14:textId="5BC988B2" w:rsidR="00B85001" w:rsidRPr="00F00D94" w:rsidRDefault="00B85001" w:rsidP="008B4BCE">
      <w:pPr>
        <w:pStyle w:val="ListParagraph"/>
        <w:widowControl w:val="0"/>
        <w:numPr>
          <w:ilvl w:val="0"/>
          <w:numId w:val="25"/>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8B4BCE">
      <w:pPr>
        <w:pStyle w:val="ListParagraph"/>
        <w:widowControl w:val="0"/>
        <w:numPr>
          <w:ilvl w:val="0"/>
          <w:numId w:val="25"/>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8B4BCE">
      <w:pPr>
        <w:pStyle w:val="ListParagraph"/>
        <w:widowControl w:val="0"/>
        <w:numPr>
          <w:ilvl w:val="0"/>
          <w:numId w:val="30"/>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8B4BCE">
      <w:pPr>
        <w:pStyle w:val="ListParagraph"/>
        <w:widowControl w:val="0"/>
        <w:numPr>
          <w:ilvl w:val="0"/>
          <w:numId w:val="26"/>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8B4BCE">
      <w:pPr>
        <w:pStyle w:val="ListParagraph"/>
        <w:widowControl w:val="0"/>
        <w:numPr>
          <w:ilvl w:val="0"/>
          <w:numId w:val="26"/>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8B4BCE">
      <w:pPr>
        <w:pStyle w:val="ListParagraph"/>
        <w:widowControl w:val="0"/>
        <w:numPr>
          <w:ilvl w:val="0"/>
          <w:numId w:val="26"/>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8B4BCE">
      <w:pPr>
        <w:pStyle w:val="ListParagraph"/>
        <w:widowControl w:val="0"/>
        <w:numPr>
          <w:ilvl w:val="0"/>
          <w:numId w:val="26"/>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9" w:name="_Hlk135059089"/>
      <w:r w:rsidRPr="00BF0246">
        <w:rPr>
          <w:rStyle w:val="Hyperlink"/>
          <w:rFonts w:cs="Arial"/>
          <w:b/>
          <w:i/>
          <w:iCs/>
          <w:color w:val="002060"/>
        </w:rPr>
        <w:t>Additional Control Test Objectives for Written Procedures</w:t>
      </w:r>
    </w:p>
    <w:bookmarkEnd w:id="39"/>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8B4BCE">
      <w:pPr>
        <w:pStyle w:val="ListParagraph"/>
        <w:numPr>
          <w:ilvl w:val="0"/>
          <w:numId w:val="22"/>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8B4BCE">
      <w:pPr>
        <w:pStyle w:val="AuditProcedureHeading"/>
        <w:numPr>
          <w:ilvl w:val="0"/>
          <w:numId w:val="22"/>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8B4BCE">
      <w:pPr>
        <w:pStyle w:val="AuditProcedureHeading"/>
        <w:numPr>
          <w:ilvl w:val="1"/>
          <w:numId w:val="22"/>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8B4BCE">
      <w:pPr>
        <w:pStyle w:val="ListParagraph"/>
        <w:numPr>
          <w:ilvl w:val="2"/>
          <w:numId w:val="22"/>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8B4BCE">
      <w:pPr>
        <w:pStyle w:val="AuditProcedureHeading"/>
        <w:numPr>
          <w:ilvl w:val="1"/>
          <w:numId w:val="22"/>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8B4BCE">
      <w:pPr>
        <w:pStyle w:val="ListParagraph"/>
        <w:numPr>
          <w:ilvl w:val="2"/>
          <w:numId w:val="2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8B4BCE">
      <w:pPr>
        <w:pStyle w:val="AuditProcedureHeading"/>
        <w:numPr>
          <w:ilvl w:val="1"/>
          <w:numId w:val="22"/>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8B4BCE">
      <w:pPr>
        <w:pStyle w:val="ListParagraph"/>
        <w:numPr>
          <w:ilvl w:val="2"/>
          <w:numId w:val="2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8B4BCE">
      <w:pPr>
        <w:pStyle w:val="AuditProcedureHeading"/>
        <w:numPr>
          <w:ilvl w:val="1"/>
          <w:numId w:val="22"/>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8B4BCE">
      <w:pPr>
        <w:pStyle w:val="ListParagraph"/>
        <w:numPr>
          <w:ilvl w:val="2"/>
          <w:numId w:val="22"/>
        </w:numPr>
        <w:spacing w:after="24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8B4BCE">
      <w:pPr>
        <w:pStyle w:val="AuditProcedureHeading"/>
        <w:numPr>
          <w:ilvl w:val="1"/>
          <w:numId w:val="22"/>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8B4BCE">
      <w:pPr>
        <w:pStyle w:val="ListParagraph"/>
        <w:numPr>
          <w:ilvl w:val="2"/>
          <w:numId w:val="22"/>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8B4BCE">
      <w:pPr>
        <w:pStyle w:val="AuditProcedureHeading"/>
        <w:numPr>
          <w:ilvl w:val="0"/>
          <w:numId w:val="22"/>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8B4BCE">
      <w:pPr>
        <w:pStyle w:val="AuditProcedureHeading"/>
        <w:numPr>
          <w:ilvl w:val="1"/>
          <w:numId w:val="22"/>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8B4BCE">
      <w:pPr>
        <w:pStyle w:val="AuditProcedureHeading"/>
        <w:numPr>
          <w:ilvl w:val="1"/>
          <w:numId w:val="22"/>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8B4BCE">
      <w:pPr>
        <w:pStyle w:val="ListParagraph"/>
        <w:numPr>
          <w:ilvl w:val="2"/>
          <w:numId w:val="22"/>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lastRenderedPageBreak/>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0"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1"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1"/>
          </w:p>
          <w:bookmarkEnd w:id="40"/>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lastRenderedPageBreak/>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w:t>
            </w:r>
            <w:r w:rsidRPr="00F00D94">
              <w:rPr>
                <w:rFonts w:ascii="Arial" w:hAnsi="Arial" w:cs="Arial"/>
                <w:sz w:val="20"/>
              </w:rPr>
              <w:lastRenderedPageBreak/>
              <w:t>occupancy costs related to unallowable general costs of government are also unallowable.</w:t>
            </w:r>
          </w:p>
          <w:p w14:paraId="527099CC" w14:textId="5015438E"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54"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lastRenderedPageBreak/>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2" w:name="_Toc212473109"/>
      <w:r w:rsidRPr="00FA4759">
        <w:rPr>
          <w:rFonts w:cs="Arial"/>
          <w:sz w:val="24"/>
          <w:szCs w:val="24"/>
        </w:rPr>
        <w:t>Audit Implications Summary</w:t>
      </w:r>
      <w:bookmarkEnd w:id="42"/>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w:t>
            </w:r>
            <w:r>
              <w:rPr>
                <w:rFonts w:ascii="Arial" w:hAnsi="Arial" w:cs="Arial"/>
                <w:i/>
                <w:iCs/>
                <w:color w:val="002060"/>
                <w:sz w:val="20"/>
                <w:szCs w:val="20"/>
              </w:rPr>
              <w:lastRenderedPageBreak/>
              <w:t>deficiencies/material weaknesses, material non-compliance and management letter comments.</w:t>
            </w:r>
          </w:p>
          <w:p w14:paraId="459EC801" w14:textId="624DFE48"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5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8B4BCE">
            <w:pPr>
              <w:pStyle w:val="ListParagraph"/>
              <w:widowControl w:val="0"/>
              <w:numPr>
                <w:ilvl w:val="0"/>
                <w:numId w:val="1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8B4BCE">
            <w:pPr>
              <w:widowControl w:val="0"/>
              <w:numPr>
                <w:ilvl w:val="0"/>
                <w:numId w:val="1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8B4BCE">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8B4BCE">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8B4BCE">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56"/>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3" w:name="B__LIST_OF_SELECTED_ITEMS"/>
      <w:bookmarkStart w:id="44" w:name="C___CASH_MANAGEMENT"/>
      <w:bookmarkStart w:id="45" w:name="_Toc212473110"/>
      <w:bookmarkEnd w:id="43"/>
      <w:bookmarkEnd w:id="44"/>
      <w:r w:rsidRPr="00220BD0">
        <w:rPr>
          <w:rFonts w:cs="Arial"/>
          <w:sz w:val="24"/>
        </w:rPr>
        <w:lastRenderedPageBreak/>
        <w:t xml:space="preserve">E.  </w:t>
      </w:r>
      <w:bookmarkStart w:id="46" w:name="_Toc442267695"/>
      <w:r w:rsidRPr="00220BD0">
        <w:rPr>
          <w:rFonts w:cs="Arial"/>
          <w:sz w:val="24"/>
        </w:rPr>
        <w:t>ELIGIBILITY</w:t>
      </w:r>
      <w:bookmarkEnd w:id="46"/>
      <w:bookmarkEnd w:id="45"/>
    </w:p>
    <w:p w14:paraId="5DAB0DE7" w14:textId="77777777" w:rsidR="007E5B12" w:rsidRPr="00220BD0" w:rsidRDefault="004655E0" w:rsidP="006672EA">
      <w:pPr>
        <w:pStyle w:val="Heading3"/>
        <w:jc w:val="both"/>
        <w:rPr>
          <w:rFonts w:cs="Arial"/>
          <w:sz w:val="24"/>
          <w:szCs w:val="24"/>
        </w:rPr>
      </w:pPr>
      <w:bookmarkStart w:id="47" w:name="_Toc212473111"/>
      <w:r w:rsidRPr="00220BD0">
        <w:rPr>
          <w:rFonts w:cs="Arial"/>
          <w:sz w:val="24"/>
          <w:szCs w:val="24"/>
        </w:rPr>
        <w:t xml:space="preserve">OMB </w:t>
      </w:r>
      <w:r w:rsidR="007E5B12" w:rsidRPr="00220BD0">
        <w:rPr>
          <w:rFonts w:cs="Arial"/>
          <w:sz w:val="24"/>
          <w:szCs w:val="24"/>
        </w:rPr>
        <w:t>Compliance Requirements</w:t>
      </w:r>
      <w:bookmarkEnd w:id="47"/>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4CC4D62" w14:textId="26FD6C60" w:rsidR="006B5D76" w:rsidRDefault="006B5D76" w:rsidP="006B5D76">
      <w:pPr>
        <w:jc w:val="both"/>
        <w:rPr>
          <w:rFonts w:ascii="Arial" w:eastAsia="Aptos" w:hAnsi="Arial" w:cs="Arial"/>
          <w:b/>
          <w:bCs/>
          <w:kern w:val="2"/>
          <w14:ligatures w14:val="standardContextual"/>
        </w:rPr>
      </w:pPr>
      <w:r w:rsidRPr="006B5D76">
        <w:rPr>
          <w:rFonts w:ascii="Arial" w:eastAsia="Aptos" w:hAnsi="Arial" w:cs="Arial"/>
          <w:b/>
          <w:bCs/>
          <w:kern w:val="2"/>
          <w14:ligatures w14:val="standardContextual"/>
        </w:rPr>
        <w:t>1.</w:t>
      </w:r>
      <w:r w:rsidRPr="006B5D76">
        <w:rPr>
          <w:rFonts w:ascii="Arial" w:eastAsia="Aptos" w:hAnsi="Arial" w:cs="Arial"/>
          <w:b/>
          <w:bCs/>
          <w:kern w:val="2"/>
          <w14:ligatures w14:val="standardContextual"/>
        </w:rPr>
        <w:tab/>
        <w:t>Eligibility for Individuals</w:t>
      </w:r>
    </w:p>
    <w:p w14:paraId="63B08DB9" w14:textId="77777777" w:rsidR="006B5D76" w:rsidRPr="006B5D76" w:rsidRDefault="006B5D76" w:rsidP="006B5D76">
      <w:pPr>
        <w:jc w:val="both"/>
        <w:rPr>
          <w:rFonts w:ascii="Arial" w:eastAsia="Aptos" w:hAnsi="Arial" w:cs="Arial"/>
          <w:b/>
          <w:bCs/>
          <w:kern w:val="2"/>
          <w14:ligatures w14:val="standardContextual"/>
        </w:rPr>
      </w:pPr>
    </w:p>
    <w:p w14:paraId="0CC18464" w14:textId="4DA4AE6A" w:rsidR="006B5D76" w:rsidRPr="006B5D76" w:rsidRDefault="006B5D76" w:rsidP="006B5D76">
      <w:pPr>
        <w:spacing w:after="160" w:line="278" w:lineRule="auto"/>
        <w:ind w:left="144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a.</w:t>
      </w:r>
      <w:r w:rsidRPr="006B5D76">
        <w:rPr>
          <w:rFonts w:ascii="Arial" w:eastAsia="Aptos" w:hAnsi="Arial" w:cs="Arial"/>
          <w:kern w:val="2"/>
          <w14:ligatures w14:val="standardContextual"/>
        </w:rPr>
        <w:tab/>
        <w:t xml:space="preserve">Most PHAs devise their own application forms filled out by the PHA staff during an interview with the tenant. The head of household signs (a) a certification that the information provided to the PHA is correct; (b) one or more release forms to allow the PHA to get information from third parties; (c) a federally prescribed general release form for employment information; and (d) a privacy notice. Under some circumstances, other members of the family may be required to sign these forms (24 CFR sections 5.212, 5.230, and 5.601 through 5.615). Elaboration on consent form requirements, including additional consent form requirements, can be found here: </w:t>
      </w:r>
      <w:hyperlink r:id="rId57" w:anchor="p-5.230(a)" w:history="1">
        <w:r w:rsidRPr="0062713F">
          <w:rPr>
            <w:rStyle w:val="Hyperlink"/>
            <w:rFonts w:eastAsia="Aptos" w:cs="Arial"/>
            <w:kern w:val="2"/>
            <w14:ligatures w14:val="standardContextual"/>
          </w:rPr>
          <w:t>https://www.ecfr.gov/current/title-24/subtitle-A/part- 5/subpart-B/subject-group-ECFR571d9c483519586/section-5.230#p- 5.230(a)</w:t>
        </w:r>
      </w:hyperlink>
    </w:p>
    <w:p w14:paraId="7700B75B" w14:textId="77777777" w:rsidR="006B5D76" w:rsidRPr="006B5D76" w:rsidRDefault="006B5D76" w:rsidP="006B5D76">
      <w:pPr>
        <w:spacing w:after="160" w:line="278" w:lineRule="auto"/>
        <w:ind w:firstLine="720"/>
        <w:jc w:val="both"/>
        <w:rPr>
          <w:rFonts w:ascii="Arial" w:eastAsia="Aptos" w:hAnsi="Arial" w:cs="Arial"/>
          <w:kern w:val="2"/>
          <w14:ligatures w14:val="standardContextual"/>
        </w:rPr>
      </w:pPr>
      <w:r w:rsidRPr="006B5D76">
        <w:rPr>
          <w:rFonts w:ascii="Arial" w:eastAsia="Aptos" w:hAnsi="Arial" w:cs="Arial"/>
          <w:kern w:val="2"/>
          <w14:ligatures w14:val="standardContextual"/>
        </w:rPr>
        <w:t>b.</w:t>
      </w:r>
      <w:r w:rsidRPr="006B5D76">
        <w:rPr>
          <w:rFonts w:ascii="Arial" w:eastAsia="Aptos" w:hAnsi="Arial" w:cs="Arial"/>
          <w:kern w:val="2"/>
          <w14:ligatures w14:val="standardContextual"/>
        </w:rPr>
        <w:tab/>
        <w:t>Eligibility Determination:</w:t>
      </w:r>
    </w:p>
    <w:p w14:paraId="718725C0" w14:textId="77777777" w:rsidR="006B5D76" w:rsidRPr="006B5D76" w:rsidRDefault="006B5D76" w:rsidP="006B5D76">
      <w:pPr>
        <w:spacing w:after="160" w:line="278" w:lineRule="auto"/>
        <w:ind w:left="216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(1)</w:t>
      </w:r>
      <w:r w:rsidRPr="006B5D76">
        <w:rPr>
          <w:rFonts w:ascii="Arial" w:eastAsia="Aptos" w:hAnsi="Arial" w:cs="Arial"/>
          <w:kern w:val="2"/>
          <w14:ligatures w14:val="standardContextual"/>
        </w:rPr>
        <w:tab/>
        <w:t>The admission or continued occupancy requires the tenant and other family members to provide the necessary information, documentation, and releases for the PHA to verify income eligibility (24 CFR sections 5.230, 5.609, and 960.259).</w:t>
      </w:r>
    </w:p>
    <w:p w14:paraId="68C03527" w14:textId="77777777" w:rsidR="006B5D76" w:rsidRPr="006B5D76" w:rsidRDefault="006B5D76" w:rsidP="006B5D76">
      <w:pPr>
        <w:spacing w:after="160" w:line="278" w:lineRule="auto"/>
        <w:ind w:left="216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(2)</w:t>
      </w:r>
      <w:r w:rsidRPr="006B5D76">
        <w:rPr>
          <w:rFonts w:ascii="Arial" w:eastAsia="Aptos" w:hAnsi="Arial" w:cs="Arial"/>
          <w:kern w:val="2"/>
          <w14:ligatures w14:val="standardContextual"/>
        </w:rPr>
        <w:tab/>
        <w:t>For both family income examinations and reexaminations, obtain and document in the family file third-party verification of (a) reported family annual income, (b) the value of assets, (c) expenses related to deductions from annual income, and (d) other factors that affect the determination of adjusted income or income-based rent (24 CFR section 960.259).</w:t>
      </w:r>
    </w:p>
    <w:p w14:paraId="30C4037E" w14:textId="77777777" w:rsidR="006B5D76" w:rsidRPr="006B5D76" w:rsidRDefault="006B5D76" w:rsidP="006B5D76">
      <w:pPr>
        <w:spacing w:after="160" w:line="278" w:lineRule="auto"/>
        <w:ind w:left="216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(3)</w:t>
      </w:r>
      <w:r w:rsidRPr="006B5D76">
        <w:rPr>
          <w:rFonts w:ascii="Arial" w:eastAsia="Aptos" w:hAnsi="Arial" w:cs="Arial"/>
          <w:kern w:val="2"/>
          <w14:ligatures w14:val="standardContextual"/>
        </w:rPr>
        <w:tab/>
        <w:t>Determine income eligibility and calculate the tenant’s rent payment using the documentation from third-party verification in accordance with 24 CFR Part 5, Subpart F (24 CFR sections 5.601 et seq., and 24 CFR Subpart C sections 960.253, 960.255, and 960.259).</w:t>
      </w:r>
    </w:p>
    <w:p w14:paraId="6AC6C8F2" w14:textId="77777777" w:rsidR="006B5D76" w:rsidRPr="006B5D76" w:rsidRDefault="006B5D76" w:rsidP="006B5D76">
      <w:pPr>
        <w:spacing w:after="160" w:line="278" w:lineRule="auto"/>
        <w:ind w:left="216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(4)</w:t>
      </w:r>
      <w:r w:rsidRPr="006B5D76">
        <w:rPr>
          <w:rFonts w:ascii="Arial" w:eastAsia="Aptos" w:hAnsi="Arial" w:cs="Arial"/>
          <w:kern w:val="2"/>
          <w14:ligatures w14:val="standardContextual"/>
        </w:rPr>
        <w:tab/>
        <w:t>Tenants must be from the public housing waiting list (see III.N.2, “Special Tests and Provisions – Public Housing Waiting List”) (24 CFR sections 960.206 and 960.208).</w:t>
      </w:r>
    </w:p>
    <w:p w14:paraId="18157753" w14:textId="25A57411" w:rsidR="006B5D76" w:rsidRPr="006B5D76" w:rsidRDefault="006B5D76" w:rsidP="006B5D76">
      <w:pPr>
        <w:spacing w:after="160" w:line="278" w:lineRule="auto"/>
        <w:ind w:left="216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lastRenderedPageBreak/>
        <w:t>(5)</w:t>
      </w:r>
      <w:r w:rsidRPr="006B5D76">
        <w:rPr>
          <w:rFonts w:ascii="Arial" w:eastAsia="Aptos" w:hAnsi="Arial" w:cs="Arial"/>
          <w:kern w:val="2"/>
          <w14:ligatures w14:val="standardContextual"/>
        </w:rPr>
        <w:tab/>
        <w:t>Reexamine family income and composition at least once every 12 months and adjust the tenant rent and housing assistance payment as necessary using the documentation from third-party verification (24 CFR sections 960.253, 960.257, and 960.259).</w:t>
      </w:r>
    </w:p>
    <w:p w14:paraId="0A8F7662" w14:textId="77777777" w:rsidR="006B5D76" w:rsidRPr="006B5D76" w:rsidRDefault="006B5D76" w:rsidP="006B5D76">
      <w:pPr>
        <w:spacing w:after="160" w:line="278" w:lineRule="auto"/>
        <w:ind w:left="288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(a)</w:t>
      </w:r>
      <w:r w:rsidRPr="006B5D76">
        <w:rPr>
          <w:rFonts w:ascii="Arial" w:eastAsia="Aptos" w:hAnsi="Arial" w:cs="Arial"/>
          <w:kern w:val="2"/>
          <w14:ligatures w14:val="standardContextual"/>
        </w:rPr>
        <w:tab/>
        <w:t>The Rental Demonstration program prohibits PHAs from rescreening or requiring tenant recertification due solely to a RAD conversion. However, this requirement does not eliminate the scheduled recertification (normally annually).</w:t>
      </w:r>
    </w:p>
    <w:p w14:paraId="4592D5A0" w14:textId="6F83EE3C" w:rsidR="006B5D76" w:rsidRPr="006B5D76" w:rsidRDefault="006B5D76" w:rsidP="006B5D76">
      <w:pPr>
        <w:spacing w:after="160" w:line="278" w:lineRule="auto"/>
        <w:ind w:left="2880"/>
        <w:jc w:val="both"/>
        <w:rPr>
          <w:rFonts w:ascii="Arial" w:eastAsia="Aptos" w:hAnsi="Arial" w:cs="Arial"/>
          <w:kern w:val="2"/>
          <w14:ligatures w14:val="standardContextual"/>
        </w:rPr>
      </w:pPr>
      <w:r w:rsidRPr="006B5D76">
        <w:rPr>
          <w:rFonts w:ascii="Arial" w:eastAsia="Aptos" w:hAnsi="Arial" w:cs="Arial"/>
          <w:kern w:val="2"/>
          <w14:ligatures w14:val="standardContextual"/>
        </w:rPr>
        <w:t>Recertifications must be performed as part of the normal tenant recertification process that occurs after the RAD conversion but before the end of the calendar year will be conducted under the selected conversion program (PBV or PBRA) and not Public Housing. These recertifications are to be conducted to ensure that tenant payments are appropriate under the new program. Any testing that results in an audit finding should be a finding of the PBV or PBRA program, not the public housing program.</w:t>
      </w:r>
    </w:p>
    <w:p w14:paraId="2D1A2D06" w14:textId="77777777" w:rsidR="006B5D76" w:rsidRPr="006B5D76" w:rsidRDefault="006B5D76" w:rsidP="006B5D76">
      <w:pPr>
        <w:spacing w:after="160" w:line="278" w:lineRule="auto"/>
        <w:ind w:left="2880" w:hanging="720"/>
        <w:jc w:val="both"/>
        <w:rPr>
          <w:rFonts w:ascii="Arial" w:eastAsia="Aptos" w:hAnsi="Arial" w:cs="Arial"/>
          <w:kern w:val="2"/>
          <w14:ligatures w14:val="standardContextual"/>
        </w:rPr>
      </w:pPr>
      <w:r w:rsidRPr="006B5D76">
        <w:rPr>
          <w:rFonts w:ascii="Arial" w:eastAsia="Aptos" w:hAnsi="Arial" w:cs="Arial"/>
          <w:kern w:val="2"/>
          <w14:ligatures w14:val="standardContextual"/>
        </w:rPr>
        <w:t>(b)</w:t>
      </w:r>
      <w:r w:rsidRPr="006B5D76">
        <w:rPr>
          <w:rFonts w:ascii="Arial" w:eastAsia="Aptos" w:hAnsi="Arial" w:cs="Arial"/>
          <w:kern w:val="2"/>
          <w14:ligatures w14:val="standardContextual"/>
        </w:rPr>
        <w:tab/>
        <w:t>Eligible beneficiaries are lower- income families, which include citizens or eligible immigrants. “Families” include, but are not limited to, (1) a family with or without children; (2) an elderly family (head, spouse, or sole member 62 years or older); (3) near-elderly family (head, spouse, or sole member 50 years old but less than 62 years old); (4) a disabled family; (5) a displaced family; (6) the remaining member of a tenant family; or (7) a single person who is not elderly, near-elderly, displaced, or a person with disabilities.</w:t>
      </w:r>
    </w:p>
    <w:p w14:paraId="603E071C" w14:textId="77777777" w:rsidR="006B5D76" w:rsidRPr="006B5D76" w:rsidRDefault="006B5D76" w:rsidP="006B5D76">
      <w:pPr>
        <w:spacing w:after="160" w:line="278" w:lineRule="auto"/>
        <w:jc w:val="both"/>
        <w:rPr>
          <w:rFonts w:ascii="Arial" w:eastAsia="Aptos" w:hAnsi="Arial" w:cs="Arial"/>
          <w:kern w:val="2"/>
          <w14:ligatures w14:val="standardContextual"/>
        </w:rPr>
      </w:pPr>
      <w:r w:rsidRPr="006B5D76">
        <w:rPr>
          <w:rFonts w:ascii="Arial" w:eastAsia="Aptos" w:hAnsi="Arial" w:cs="Arial"/>
          <w:b/>
          <w:bCs/>
          <w:kern w:val="2"/>
          <w14:ligatures w14:val="standardContextual"/>
        </w:rPr>
        <w:t>2.</w:t>
      </w:r>
      <w:r w:rsidRPr="006B5D76">
        <w:rPr>
          <w:rFonts w:ascii="Arial" w:eastAsia="Aptos" w:hAnsi="Arial" w:cs="Arial"/>
          <w:b/>
          <w:bCs/>
          <w:kern w:val="2"/>
          <w14:ligatures w14:val="standardContextual"/>
        </w:rPr>
        <w:tab/>
        <w:t>Eligibility for Group of Individuals or Area of Service Delivery</w:t>
      </w:r>
      <w:r w:rsidRPr="006B5D76">
        <w:rPr>
          <w:rFonts w:ascii="Arial" w:eastAsia="Aptos" w:hAnsi="Arial" w:cs="Arial"/>
          <w:kern w:val="2"/>
          <w14:ligatures w14:val="standardContextual"/>
        </w:rPr>
        <w:t xml:space="preserve"> - Not Applicable</w:t>
      </w:r>
    </w:p>
    <w:p w14:paraId="46A3A566" w14:textId="77777777" w:rsidR="006B5D76" w:rsidRPr="006B5D76" w:rsidRDefault="006B5D76" w:rsidP="006B5D76">
      <w:pPr>
        <w:spacing w:after="160" w:line="278" w:lineRule="auto"/>
        <w:jc w:val="both"/>
        <w:rPr>
          <w:rFonts w:ascii="Arial" w:eastAsia="Aptos" w:hAnsi="Arial" w:cs="Arial"/>
          <w:kern w:val="2"/>
          <w14:ligatures w14:val="standardContextual"/>
        </w:rPr>
      </w:pPr>
      <w:r w:rsidRPr="006B5D76">
        <w:rPr>
          <w:rFonts w:ascii="Arial" w:eastAsia="Aptos" w:hAnsi="Arial" w:cs="Arial"/>
          <w:b/>
          <w:bCs/>
          <w:kern w:val="2"/>
          <w14:ligatures w14:val="standardContextual"/>
        </w:rPr>
        <w:t>3.</w:t>
      </w:r>
      <w:r w:rsidRPr="006B5D76">
        <w:rPr>
          <w:rFonts w:ascii="Arial" w:eastAsia="Aptos" w:hAnsi="Arial" w:cs="Arial"/>
          <w:b/>
          <w:bCs/>
          <w:kern w:val="2"/>
          <w14:ligatures w14:val="standardContextual"/>
        </w:rPr>
        <w:tab/>
        <w:t>Eligibility for Subrecipients</w:t>
      </w:r>
      <w:r w:rsidRPr="006B5D76">
        <w:rPr>
          <w:rFonts w:ascii="Arial" w:eastAsia="Aptos" w:hAnsi="Arial" w:cs="Arial"/>
          <w:kern w:val="2"/>
          <w14:ligatures w14:val="standardContextual"/>
        </w:rPr>
        <w:t xml:space="preserve"> - Not Applicable</w:t>
      </w:r>
    </w:p>
    <w:p w14:paraId="7485D40B" w14:textId="3AE8F4EE" w:rsidR="006B5D76" w:rsidRPr="006B5D76" w:rsidRDefault="006B5D76" w:rsidP="00D74E6A">
      <w:pPr>
        <w:spacing w:after="240"/>
        <w:jc w:val="both"/>
        <w:rPr>
          <w:rFonts w:ascii="Arial" w:hAnsi="Arial" w:cs="Arial"/>
          <w:bCs/>
          <w:i/>
          <w:iCs/>
        </w:rPr>
      </w:pPr>
      <w:r>
        <w:rPr>
          <w:rFonts w:ascii="Arial" w:hAnsi="Arial" w:cs="Arial"/>
          <w:bCs/>
          <w:i/>
          <w:iCs/>
        </w:rPr>
        <w:t>(Source: 2025 OMB Compliance Supplement, Part 4, HUD, #14.850 Public Housing</w:t>
      </w:r>
      <w:r w:rsidR="007D76AB">
        <w:rPr>
          <w:rFonts w:ascii="Arial" w:hAnsi="Arial" w:cs="Arial"/>
          <w:bCs/>
          <w:i/>
          <w:iCs/>
        </w:rPr>
        <w:t xml:space="preserve"> Operating Fund</w:t>
      </w:r>
      <w:r>
        <w:rPr>
          <w:rFonts w:ascii="Arial" w:hAnsi="Arial" w:cs="Arial"/>
          <w:bCs/>
          <w:i/>
          <w:iCs/>
        </w:rPr>
        <w:t>)</w:t>
      </w:r>
    </w:p>
    <w:p w14:paraId="0BC66884" w14:textId="77777777" w:rsidR="00E039F3" w:rsidRPr="00220BD0" w:rsidRDefault="00E039F3" w:rsidP="006672EA">
      <w:pPr>
        <w:pStyle w:val="Heading3"/>
        <w:jc w:val="both"/>
        <w:rPr>
          <w:rFonts w:cs="Arial"/>
          <w:sz w:val="24"/>
          <w:szCs w:val="24"/>
        </w:rPr>
      </w:pPr>
      <w:bookmarkStart w:id="48" w:name="_Toc212473112"/>
      <w:r w:rsidRPr="00220BD0">
        <w:rPr>
          <w:rFonts w:cs="Arial"/>
          <w:sz w:val="24"/>
          <w:szCs w:val="24"/>
        </w:rPr>
        <w:t>Additional Program Specific Information</w:t>
      </w:r>
      <w:bookmarkEnd w:id="48"/>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5413E2F3" w:rsidR="00CD5DC7" w:rsidRPr="00AA5B05" w:rsidRDefault="00CD5DC7"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825671D" w:rsidR="00CD5DC7" w:rsidRPr="00AA5B05" w:rsidRDefault="00CD5DC7"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49" w:name="_Toc212473113"/>
      <w:r w:rsidRPr="00220BD0">
        <w:rPr>
          <w:rFonts w:cs="Arial"/>
          <w:sz w:val="24"/>
          <w:szCs w:val="24"/>
        </w:rPr>
        <w:t xml:space="preserve">Audit Objectives </w:t>
      </w:r>
      <w:r w:rsidR="001F23FF" w:rsidRPr="00220BD0">
        <w:rPr>
          <w:rFonts w:cs="Arial"/>
          <w:sz w:val="24"/>
          <w:szCs w:val="24"/>
        </w:rPr>
        <w:t>and Control Testing</w:t>
      </w:r>
      <w:bookmarkEnd w:id="49"/>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CF4C66E" w:rsidR="008F7129" w:rsidRPr="00263E78" w:rsidRDefault="008F7129" w:rsidP="008F7129">
      <w:pPr>
        <w:spacing w:after="240"/>
        <w:ind w:left="360" w:right="-20" w:hanging="360"/>
        <w:jc w:val="both"/>
        <w:rPr>
          <w:rFonts w:ascii="Arial" w:eastAsia="Arial" w:hAnsi="Arial" w:cs="Arial"/>
          <w:i/>
          <w:iCs/>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r w:rsidR="00263E78">
        <w:rPr>
          <w:rFonts w:ascii="Arial" w:eastAsia="Arial" w:hAnsi="Arial" w:cs="Arial"/>
        </w:rPr>
        <w:t xml:space="preserve"> </w:t>
      </w:r>
      <w:r w:rsidR="00263E78" w:rsidRPr="00263E78">
        <w:rPr>
          <w:rFonts w:ascii="Arial" w:eastAsia="Arial" w:hAnsi="Arial" w:cs="Arial"/>
          <w:i/>
          <w:iCs/>
          <w:color w:val="002060"/>
        </w:rPr>
        <w:t xml:space="preserve">Not Applicable </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50" w:name="_Toc21247311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0"/>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 xml:space="preserve">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w:t>
            </w:r>
            <w:r w:rsidR="00AC366B" w:rsidRPr="00FD0E37">
              <w:rPr>
                <w:rFonts w:ascii="Arial" w:hAnsi="Arial" w:cs="Arial"/>
                <w:iCs/>
                <w:sz w:val="20"/>
              </w:rPr>
              <w:lastRenderedPageBreak/>
              <w:t>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23A4FA8"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263E78" w:rsidRPr="00263E78">
              <w:rPr>
                <w:rFonts w:ascii="Arial" w:hAnsi="Arial" w:cs="Arial"/>
                <w:i/>
                <w:color w:val="002060"/>
                <w:sz w:val="20"/>
              </w:rPr>
              <w:t xml:space="preserve">– Not Applicable </w:t>
            </w:r>
          </w:p>
          <w:p w14:paraId="14990077" w14:textId="3A250A2C"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263E78">
              <w:rPr>
                <w:rFonts w:ascii="Arial" w:hAnsi="Arial" w:cs="Arial"/>
                <w:i/>
                <w:sz w:val="20"/>
              </w:rPr>
              <w:t xml:space="preserve"> </w:t>
            </w:r>
            <w:r w:rsidR="00263E78" w:rsidRPr="00263E78">
              <w:rPr>
                <w:rFonts w:ascii="Arial" w:hAnsi="Arial" w:cs="Arial"/>
                <w:i/>
                <w:color w:val="002060"/>
                <w:sz w:val="20"/>
              </w:rPr>
              <w:t>– Not Applicable</w:t>
            </w:r>
          </w:p>
          <w:p w14:paraId="3C56E491" w14:textId="77777777" w:rsidR="0063267C" w:rsidRPr="00F00D94" w:rsidRDefault="0063267C" w:rsidP="00263E78">
            <w:pPr>
              <w:pBdr>
                <w:top w:val="single" w:sz="6" w:space="0" w:color="FFFFFF"/>
                <w:left w:val="single" w:sz="6" w:space="0" w:color="FFFFFF"/>
                <w:bottom w:val="single" w:sz="6" w:space="0" w:color="FFFFFF"/>
                <w:right w:val="single" w:sz="6" w:space="0" w:color="FFFFFF"/>
              </w:pBdr>
              <w:spacing w:after="240"/>
              <w:ind w:left="1440" w:hanging="720"/>
              <w:jc w:val="both"/>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1" w:name="_Toc212473115"/>
      <w:r w:rsidRPr="00220BD0">
        <w:rPr>
          <w:rFonts w:cs="Arial"/>
          <w:sz w:val="24"/>
          <w:szCs w:val="24"/>
        </w:rPr>
        <w:t>Audit Implications Summary</w:t>
      </w:r>
      <w:bookmarkEnd w:id="51"/>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2430F9E6"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8B4BCE">
            <w:pPr>
              <w:pStyle w:val="ListParagraph"/>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8B4BCE">
            <w:pPr>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8B4BCE">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8B4BCE">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8B4BCE">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59"/>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52" w:name="_Toc442267699"/>
      <w:bookmarkStart w:id="53" w:name="_Toc212473116"/>
      <w:r w:rsidRPr="00220BD0">
        <w:rPr>
          <w:rFonts w:cs="Arial"/>
          <w:sz w:val="24"/>
        </w:rPr>
        <w:lastRenderedPageBreak/>
        <w:t>I.  PROCUREMENT AND SUSPENSION AND DEBARMENT</w:t>
      </w:r>
      <w:bookmarkEnd w:id="52"/>
      <w:bookmarkEnd w:id="53"/>
    </w:p>
    <w:p w14:paraId="1560ABE2" w14:textId="77777777" w:rsidR="00DC3468" w:rsidRPr="00220BD0" w:rsidRDefault="004655E0" w:rsidP="006672EA">
      <w:pPr>
        <w:pStyle w:val="Heading3"/>
        <w:jc w:val="both"/>
        <w:rPr>
          <w:rFonts w:cs="Arial"/>
          <w:sz w:val="24"/>
          <w:szCs w:val="24"/>
        </w:rPr>
      </w:pPr>
      <w:bookmarkStart w:id="54" w:name="_Toc212473117"/>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54"/>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8B4BCE">
      <w:pPr>
        <w:pStyle w:val="ListParagraph"/>
        <w:numPr>
          <w:ilvl w:val="0"/>
          <w:numId w:val="38"/>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8B4BCE">
      <w:pPr>
        <w:pStyle w:val="ListParagraph"/>
        <w:numPr>
          <w:ilvl w:val="0"/>
          <w:numId w:val="38"/>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8B4BCE">
      <w:pPr>
        <w:pStyle w:val="ListParagraph"/>
        <w:numPr>
          <w:ilvl w:val="0"/>
          <w:numId w:val="38"/>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4CCA3F59" w14:textId="3D618F17" w:rsidR="000F1417" w:rsidRDefault="000F1417" w:rsidP="008B4BCE">
      <w:pPr>
        <w:pStyle w:val="ListParagraph"/>
        <w:numPr>
          <w:ilvl w:val="0"/>
          <w:numId w:val="38"/>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8B4BCE">
      <w:pPr>
        <w:pStyle w:val="ListParagraph"/>
        <w:numPr>
          <w:ilvl w:val="0"/>
          <w:numId w:val="38"/>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8B4BCE">
      <w:pPr>
        <w:pStyle w:val="ListParagraph"/>
        <w:numPr>
          <w:ilvl w:val="0"/>
          <w:numId w:val="38"/>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Under Section 70914 of the Build America, Buy America (BABA) Act each covered federal agency must ensure that “none of the funds made available for a federal financial assistance program for infrastructure </w:t>
      </w:r>
      <w:r w:rsidRPr="000F1417">
        <w:rPr>
          <w:rFonts w:ascii="Arial" w:hAnsi="Arial" w:cs="Arial"/>
        </w:rPr>
        <w:lastRenderedPageBreak/>
        <w:t>may be obligated for a project unless all of the iron, steel, manufactured products, and construction materials used in the project are produced in the United States.”</w:t>
      </w:r>
    </w:p>
    <w:p w14:paraId="4F97DD72" w14:textId="19FADB98"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60">
        <w:r w:rsidRPr="000F1417">
          <w:rPr>
            <w:rFonts w:ascii="Arial" w:hAnsi="Arial" w:cs="Arial"/>
            <w:color w:val="2D74B5"/>
            <w:u w:val="single" w:color="2D74B5"/>
          </w:rPr>
          <w:t>IIJA</w:t>
        </w:r>
      </w:hyperlink>
      <w:r w:rsidRPr="000F1417">
        <w:rPr>
          <w:rFonts w:ascii="Arial" w:hAnsi="Arial" w:cs="Arial"/>
        </w:rPr>
        <w:t xml:space="preserve"> section 70912(4)-(5) and 70914</w:t>
      </w:r>
      <w:hyperlink r:id="rId61" w:history="1">
        <w:r w:rsidRPr="00716831">
          <w:rPr>
            <w:rStyle w:val="Hyperlink"/>
            <w:rFonts w:cs="Arial"/>
          </w:rPr>
          <w:t>,</w:t>
        </w:r>
        <w:bookmarkStart w:id="55" w:name="_Hlk209508736"/>
        <w:r w:rsidR="00716831" w:rsidRPr="00716831">
          <w:rPr>
            <w:rStyle w:val="Hyperlink"/>
            <w:rFonts w:ascii="Times New Roman" w:hAnsi="Times New Roman"/>
          </w:rPr>
          <w:t xml:space="preserve"> </w:t>
        </w:r>
        <w:bookmarkEnd w:id="55"/>
        <w:r w:rsidR="00716831" w:rsidRPr="00716831">
          <w:rPr>
            <w:rStyle w:val="Hyperlink"/>
            <w:rFonts w:cs="Arial"/>
          </w:rPr>
          <w:t>2 CFR part 184</w:t>
        </w:r>
      </w:hyperlink>
      <w:r w:rsidRPr="000F1417">
        <w:rPr>
          <w:rFonts w:ascii="Arial" w:hAnsi="Arial" w:cs="Arial"/>
        </w:rPr>
        <w:t xml:space="preserve">, and OMB Memorandum </w:t>
      </w:r>
      <w:hyperlink r:id="rId62"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8B4BCE">
      <w:pPr>
        <w:pStyle w:val="ListParagraph"/>
        <w:numPr>
          <w:ilvl w:val="0"/>
          <w:numId w:val="39"/>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8B4BCE">
      <w:pPr>
        <w:pStyle w:val="ListParagraph"/>
        <w:numPr>
          <w:ilvl w:val="0"/>
          <w:numId w:val="39"/>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8B4BCE">
      <w:pPr>
        <w:pStyle w:val="ListParagraph"/>
        <w:numPr>
          <w:ilvl w:val="0"/>
          <w:numId w:val="39"/>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2B5AE2B7"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63"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lastRenderedPageBreak/>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56" w:name="_Toc212473118"/>
      <w:r w:rsidRPr="00220BD0">
        <w:rPr>
          <w:rFonts w:cs="Arial"/>
          <w:sz w:val="24"/>
          <w:szCs w:val="24"/>
        </w:rPr>
        <w:t xml:space="preserve">OMB </w:t>
      </w:r>
      <w:r w:rsidR="00DC3468" w:rsidRPr="00220BD0">
        <w:rPr>
          <w:rFonts w:cs="Arial"/>
          <w:sz w:val="24"/>
          <w:szCs w:val="24"/>
        </w:rPr>
        <w:t>Compliance Requirements – Suspension and Debarment</w:t>
      </w:r>
      <w:bookmarkEnd w:id="56"/>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53563E9F"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64"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14C6FA88"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65"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7925FCAF"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66"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48040D43"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67" w:history="1">
        <w:r w:rsidR="000023A2" w:rsidRPr="00B206E2">
          <w:rPr>
            <w:rStyle w:val="Hyperlink"/>
            <w:rFonts w:cs="Arial"/>
          </w:rPr>
          <w:t>48 CFR 9.405-2(b)</w:t>
        </w:r>
      </w:hyperlink>
      <w:r w:rsidR="006F1440" w:rsidRPr="00F00D94">
        <w:rPr>
          <w:rFonts w:ascii="Arial" w:hAnsi="Arial" w:cs="Arial"/>
        </w:rPr>
        <w:t xml:space="preserve"> and the clause at </w:t>
      </w:r>
      <w:hyperlink r:id="rId68"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B202E45" w14:textId="5A343850" w:rsidR="004E4CD8" w:rsidRDefault="004E4CD8" w:rsidP="004E4CD8">
      <w:pPr>
        <w:spacing w:after="240"/>
        <w:jc w:val="both"/>
        <w:rPr>
          <w:rFonts w:ascii="Arial" w:hAnsi="Arial" w:cs="Arial"/>
          <w:bCs/>
        </w:rPr>
      </w:pPr>
      <w:r w:rsidRPr="004C4A05">
        <w:rPr>
          <w:rFonts w:ascii="Arial" w:hAnsi="Arial" w:cs="Arial"/>
          <w:bCs/>
        </w:rPr>
        <w:t>No Part 4 OMB Program Specific Requirements.</w:t>
      </w:r>
    </w:p>
    <w:p w14:paraId="0F3F2821" w14:textId="206149E1" w:rsidR="00D74E6A" w:rsidRPr="0062713F" w:rsidRDefault="004E4CD8" w:rsidP="00D74E6A">
      <w:pPr>
        <w:spacing w:after="240"/>
        <w:jc w:val="both"/>
        <w:rPr>
          <w:rFonts w:ascii="Arial" w:hAnsi="Arial" w:cs="Arial"/>
          <w:bCs/>
          <w:i/>
          <w:iCs/>
        </w:rPr>
      </w:pPr>
      <w:r>
        <w:rPr>
          <w:rFonts w:ascii="Arial" w:hAnsi="Arial" w:cs="Arial"/>
          <w:bCs/>
          <w:i/>
          <w:iCs/>
        </w:rPr>
        <w:t xml:space="preserve">(Source: 2025 OMB Compliance Supplement, Part 4, HUD, #14.850 Public </w:t>
      </w:r>
      <w:r w:rsidR="007D76AB">
        <w:rPr>
          <w:rFonts w:ascii="Arial" w:hAnsi="Arial" w:cs="Arial"/>
          <w:bCs/>
          <w:i/>
          <w:iCs/>
        </w:rPr>
        <w:t>Housing Operating Fund</w:t>
      </w:r>
      <w:r>
        <w:rPr>
          <w:rFonts w:ascii="Arial" w:hAnsi="Arial" w:cs="Arial"/>
          <w:bCs/>
          <w:i/>
          <w:iCs/>
        </w:rPr>
        <w:t>)</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57" w:name="_Toc212473119"/>
      <w:r w:rsidRPr="00220BD0">
        <w:rPr>
          <w:rFonts w:cs="Arial"/>
          <w:sz w:val="24"/>
          <w:szCs w:val="24"/>
        </w:rPr>
        <w:t>Additional Program Specific Information</w:t>
      </w:r>
      <w:bookmarkEnd w:id="57"/>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77777777" w:rsidR="00CD5DC7" w:rsidRPr="00AA5B05" w:rsidRDefault="00CD5DC7"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58" w:name="_Toc212473120"/>
      <w:r w:rsidRPr="00220BD0">
        <w:rPr>
          <w:rFonts w:cs="Arial"/>
          <w:sz w:val="24"/>
          <w:szCs w:val="24"/>
        </w:rPr>
        <w:t xml:space="preserve">Audit Objectives </w:t>
      </w:r>
      <w:r w:rsidR="00220BEF" w:rsidRPr="00220BD0">
        <w:rPr>
          <w:rFonts w:cs="Arial"/>
          <w:sz w:val="24"/>
          <w:szCs w:val="24"/>
        </w:rPr>
        <w:t>and Control Testing</w:t>
      </w:r>
      <w:bookmarkEnd w:id="58"/>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8B4BCE">
      <w:pPr>
        <w:pStyle w:val="ListParagraph"/>
        <w:numPr>
          <w:ilvl w:val="0"/>
          <w:numId w:val="22"/>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8B4BCE">
      <w:pPr>
        <w:pStyle w:val="AuditProcedureHeading"/>
        <w:numPr>
          <w:ilvl w:val="0"/>
          <w:numId w:val="22"/>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8B4BCE">
      <w:pPr>
        <w:pStyle w:val="AuditProcedureHeading"/>
        <w:numPr>
          <w:ilvl w:val="1"/>
          <w:numId w:val="22"/>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8B4BCE">
      <w:pPr>
        <w:pStyle w:val="ListParagraph"/>
        <w:numPr>
          <w:ilvl w:val="2"/>
          <w:numId w:val="22"/>
        </w:numPr>
        <w:spacing w:after="240"/>
        <w:ind w:left="180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8B4BCE">
      <w:pPr>
        <w:pStyle w:val="AuditProcedureHeading"/>
        <w:numPr>
          <w:ilvl w:val="1"/>
          <w:numId w:val="22"/>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8B4BCE">
      <w:pPr>
        <w:pStyle w:val="ListParagraph"/>
        <w:numPr>
          <w:ilvl w:val="2"/>
          <w:numId w:val="2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8B4BCE">
      <w:pPr>
        <w:pStyle w:val="AuditProcedureHeading"/>
        <w:numPr>
          <w:ilvl w:val="1"/>
          <w:numId w:val="22"/>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8B4BCE">
      <w:pPr>
        <w:pStyle w:val="ListParagraph"/>
        <w:numPr>
          <w:ilvl w:val="2"/>
          <w:numId w:val="2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8B4BCE">
      <w:pPr>
        <w:pStyle w:val="AuditProcedureHeading"/>
        <w:numPr>
          <w:ilvl w:val="1"/>
          <w:numId w:val="22"/>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8B4BCE">
      <w:pPr>
        <w:pStyle w:val="ListParagraph"/>
        <w:numPr>
          <w:ilvl w:val="2"/>
          <w:numId w:val="22"/>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8B4BCE">
      <w:pPr>
        <w:pStyle w:val="AuditProcedureHeading"/>
        <w:numPr>
          <w:ilvl w:val="0"/>
          <w:numId w:val="22"/>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8B4BCE">
      <w:pPr>
        <w:pStyle w:val="AuditProcedureHeading"/>
        <w:numPr>
          <w:ilvl w:val="1"/>
          <w:numId w:val="22"/>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8B4BCE">
      <w:pPr>
        <w:pStyle w:val="AuditProcedureHeading"/>
        <w:numPr>
          <w:ilvl w:val="1"/>
          <w:numId w:val="22"/>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8B4BCE">
      <w:pPr>
        <w:pStyle w:val="ListParagraph"/>
        <w:numPr>
          <w:ilvl w:val="2"/>
          <w:numId w:val="22"/>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59" w:name="_Toc212473121"/>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59"/>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60"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60"/>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3B34A525"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69" w:history="1">
              <w:r w:rsidR="000023A2" w:rsidRPr="00F00D94">
                <w:rPr>
                  <w:rStyle w:val="Hyperlink"/>
                  <w:rFonts w:cs="Arial"/>
                  <w:sz w:val="20"/>
                </w:rPr>
                <w:t>48 CFR 52.203-13</w:t>
              </w:r>
            </w:hyperlink>
            <w:r w:rsidRPr="00F00D94">
              <w:rPr>
                <w:rFonts w:ascii="Arial" w:hAnsi="Arial" w:cs="Arial"/>
                <w:sz w:val="20"/>
              </w:rPr>
              <w:t xml:space="preserve"> and </w:t>
            </w:r>
            <w:hyperlink r:id="rId70"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59973AE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71"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72"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4D35FBCF"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73" w:history="1">
              <w:r w:rsidR="00E52CC0" w:rsidRPr="00F00D94">
                <w:rPr>
                  <w:rStyle w:val="Hyperlink"/>
                  <w:rFonts w:cs="Arial"/>
                  <w:sz w:val="20"/>
                </w:rPr>
                <w:t>48 CFR 52.244-5</w:t>
              </w:r>
            </w:hyperlink>
            <w:r w:rsidR="00BF5750" w:rsidRPr="00F00D94">
              <w:rPr>
                <w:rFonts w:ascii="Arial" w:hAnsi="Arial" w:cs="Arial"/>
                <w:sz w:val="20"/>
              </w:rPr>
              <w:t>).</w:t>
            </w:r>
          </w:p>
          <w:p w14:paraId="02970176" w14:textId="1E9E7AFC"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74" w:history="1">
              <w:r w:rsidR="00E52CC0" w:rsidRPr="00F00D94">
                <w:rPr>
                  <w:rStyle w:val="Hyperlink"/>
                  <w:rFonts w:cs="Arial"/>
                  <w:sz w:val="20"/>
                </w:rPr>
                <w:t>48 CFR 52.244-5</w:t>
              </w:r>
            </w:hyperlink>
            <w:r w:rsidRPr="00F00D94">
              <w:rPr>
                <w:rFonts w:ascii="Arial" w:hAnsi="Arial" w:cs="Arial"/>
                <w:sz w:val="20"/>
              </w:rPr>
              <w:t>).</w:t>
            </w:r>
          </w:p>
          <w:p w14:paraId="761FC7CF" w14:textId="3586BEF9"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lastRenderedPageBreak/>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75"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602193D9"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76"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Note: If the contractor has an approved purchasing system, consent to subcontract may not be required unless specifically identified by contract terms or conditions. The auditor 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1A7D7E47"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77" w:history="1">
              <w:r w:rsidR="00E52CC0" w:rsidRPr="00F00D94">
                <w:rPr>
                  <w:rStyle w:val="Hyperlink"/>
                  <w:rFonts w:cs="Arial"/>
                  <w:sz w:val="20"/>
                </w:rPr>
                <w:t>2 CFR 180.300</w:t>
              </w:r>
            </w:hyperlink>
            <w:r w:rsidR="00BF5750" w:rsidRPr="00F00D94">
              <w:rPr>
                <w:rFonts w:ascii="Arial" w:hAnsi="Arial" w:cs="Arial"/>
                <w:sz w:val="20"/>
              </w:rPr>
              <w:t xml:space="preserve">; </w:t>
            </w:r>
            <w:hyperlink r:id="rId78"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w:t>
            </w:r>
            <w:r w:rsidRPr="006826EF">
              <w:rPr>
                <w:rFonts w:ascii="Arial" w:hAnsi="Arial" w:cs="Arial"/>
                <w:i/>
                <w:iCs/>
                <w:color w:val="002060"/>
                <w:sz w:val="20"/>
              </w:rPr>
              <w:lastRenderedPageBreak/>
              <w:t xml:space="preserve">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61" w:name="_Toc212473122"/>
      <w:r w:rsidRPr="00220BD0">
        <w:rPr>
          <w:rFonts w:cs="Arial"/>
          <w:sz w:val="24"/>
          <w:szCs w:val="24"/>
        </w:rPr>
        <w:t>Audit Implications Summary</w:t>
      </w:r>
      <w:bookmarkEnd w:id="61"/>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7AF32B40"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79"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8B4BCE">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8B4BCE">
            <w:pPr>
              <w:widowControl w:val="0"/>
              <w:numPr>
                <w:ilvl w:val="0"/>
                <w:numId w:val="19"/>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8B4BCE">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8B4BCE">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8B4BCE">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80"/>
          <w:pgSz w:w="12240" w:h="15840" w:code="1"/>
          <w:pgMar w:top="1440" w:right="1440" w:bottom="1440" w:left="1440" w:header="720" w:footer="720" w:gutter="0"/>
          <w:cols w:space="720"/>
          <w:noEndnote/>
        </w:sectPr>
      </w:pPr>
    </w:p>
    <w:p w14:paraId="4D2A975C" w14:textId="2B5CE5A0" w:rsidR="007E5B12" w:rsidRPr="000706D1" w:rsidRDefault="007E5B12" w:rsidP="006672EA">
      <w:pPr>
        <w:pStyle w:val="Heading2"/>
        <w:jc w:val="both"/>
        <w:rPr>
          <w:rFonts w:cs="Arial"/>
          <w:sz w:val="24"/>
        </w:rPr>
      </w:pPr>
      <w:bookmarkStart w:id="62" w:name="J___PROGRAM_INCOME"/>
      <w:bookmarkStart w:id="63" w:name="L___REPORTING"/>
      <w:bookmarkStart w:id="64" w:name="M___SUBRECIPIENT_MONITORING__"/>
      <w:bookmarkStart w:id="65" w:name="_Toc442267703"/>
      <w:bookmarkStart w:id="66" w:name="_Toc212473123"/>
      <w:bookmarkEnd w:id="62"/>
      <w:bookmarkEnd w:id="63"/>
      <w:bookmarkEnd w:id="64"/>
      <w:r w:rsidRPr="000706D1">
        <w:rPr>
          <w:rFonts w:cs="Arial"/>
          <w:sz w:val="24"/>
        </w:rPr>
        <w:lastRenderedPageBreak/>
        <w:t>N</w:t>
      </w:r>
      <w:r w:rsidR="00885BA6">
        <w:rPr>
          <w:rFonts w:cs="Arial"/>
          <w:sz w:val="24"/>
        </w:rPr>
        <w:t>1</w:t>
      </w:r>
      <w:r w:rsidRPr="000706D1">
        <w:rPr>
          <w:rFonts w:cs="Arial"/>
          <w:sz w:val="24"/>
        </w:rPr>
        <w:t>.  SPECIAL TESTS AND PROVISIONS</w:t>
      </w:r>
      <w:bookmarkEnd w:id="65"/>
      <w:r w:rsidR="00885BA6">
        <w:rPr>
          <w:rFonts w:cs="Arial"/>
          <w:sz w:val="24"/>
        </w:rPr>
        <w:t xml:space="preserve"> – WAGE RATE REQUIREMENTS</w:t>
      </w:r>
      <w:bookmarkEnd w:id="66"/>
    </w:p>
    <w:p w14:paraId="75FD95EF" w14:textId="77777777" w:rsidR="007E5B12" w:rsidRPr="000706D1" w:rsidRDefault="00D15062" w:rsidP="006672EA">
      <w:pPr>
        <w:pStyle w:val="Heading3"/>
        <w:jc w:val="both"/>
        <w:rPr>
          <w:rFonts w:cs="Arial"/>
          <w:sz w:val="24"/>
          <w:szCs w:val="24"/>
        </w:rPr>
      </w:pPr>
      <w:bookmarkStart w:id="67" w:name="_Toc212473124"/>
      <w:r w:rsidRPr="000706D1">
        <w:rPr>
          <w:rFonts w:cs="Arial"/>
          <w:sz w:val="24"/>
          <w:szCs w:val="24"/>
        </w:rPr>
        <w:t xml:space="preserve">OMB </w:t>
      </w:r>
      <w:r w:rsidR="007E5B12" w:rsidRPr="000706D1">
        <w:rPr>
          <w:rFonts w:cs="Arial"/>
          <w:sz w:val="24"/>
          <w:szCs w:val="24"/>
        </w:rPr>
        <w:t>Compliance Requirements</w:t>
      </w:r>
      <w:bookmarkEnd w:id="67"/>
    </w:p>
    <w:p w14:paraId="377AFA72" w14:textId="5E19250E" w:rsidR="005C1EBC" w:rsidRPr="005C1EBC"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CA3B7B8" w14:textId="45741917" w:rsidR="005C1EBC" w:rsidRPr="00F00D94" w:rsidRDefault="005C1EBC" w:rsidP="005C1EB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636CAB9" w14:textId="47023AF8"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43218">
        <w:rPr>
          <w:rFonts w:ascii="Arial" w:hAnsi="Arial" w:cs="Arial"/>
          <w:i/>
        </w:rPr>
        <w:t>.2</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A6DBC7B" w14:textId="53FAD5F7" w:rsidR="00D4387A" w:rsidRDefault="00885BA6" w:rsidP="00D4387A">
      <w:pPr>
        <w:pStyle w:val="BodyText"/>
        <w:spacing w:after="0"/>
        <w:ind w:right="375"/>
        <w:jc w:val="both"/>
        <w:rPr>
          <w:rFonts w:ascii="Arial" w:hAnsi="Arial" w:cs="Arial"/>
        </w:rPr>
      </w:pPr>
      <w:r w:rsidRPr="00885BA6">
        <w:rPr>
          <w:rFonts w:ascii="Arial" w:hAnsi="Arial" w:cs="Arial"/>
        </w:rPr>
        <w:t xml:space="preserve">The Wage Rate Requirements apply to construction activities for public housing. However, the requirements do not apply to volunteer work where the volunteer does not receive compensation, or is paid expenses, reasonable benefits, or a nominal fee for such services, and is not otherwise employed at any time in construction work (42 USC 1437j(a) and (b)). HUD’s Factors of Applicability for these requirements can be found at </w:t>
      </w:r>
    </w:p>
    <w:p w14:paraId="5A1C1EA1" w14:textId="182B4544" w:rsidR="00885BA6" w:rsidRDefault="00D4387A" w:rsidP="00D4387A">
      <w:pPr>
        <w:pStyle w:val="BodyText"/>
        <w:spacing w:after="0"/>
        <w:ind w:right="375"/>
        <w:jc w:val="both"/>
        <w:rPr>
          <w:rFonts w:ascii="Arial" w:hAnsi="Arial" w:cs="Arial"/>
          <w:color w:val="467886"/>
          <w:u w:val="single"/>
        </w:rPr>
      </w:pPr>
      <w:hyperlink r:id="rId81" w:history="1">
        <w:r w:rsidRPr="00EE6A99">
          <w:rPr>
            <w:rStyle w:val="Hyperlink"/>
            <w:rFonts w:cs="Arial"/>
          </w:rPr>
          <w:t>https://www.hud.gov/program_offices/davis_bacon_and_labor_standards/olr_foa</w:t>
        </w:r>
      </w:hyperlink>
    </w:p>
    <w:p w14:paraId="2AC7D513" w14:textId="77777777" w:rsidR="00D4387A" w:rsidRPr="00885BA6" w:rsidRDefault="00D4387A" w:rsidP="00D4387A">
      <w:pPr>
        <w:pStyle w:val="BodyText"/>
        <w:spacing w:after="0"/>
        <w:ind w:right="375"/>
        <w:jc w:val="both"/>
        <w:rPr>
          <w:rFonts w:ascii="Arial" w:hAnsi="Arial" w:cs="Arial"/>
        </w:rPr>
      </w:pPr>
    </w:p>
    <w:p w14:paraId="340C7D33" w14:textId="58EF490F" w:rsidR="00D4387A" w:rsidRDefault="00885BA6" w:rsidP="00D4387A">
      <w:pPr>
        <w:pStyle w:val="BodyText"/>
        <w:ind w:right="216"/>
        <w:jc w:val="both"/>
        <w:rPr>
          <w:rFonts w:ascii="Arial" w:hAnsi="Arial" w:cs="Arial"/>
        </w:rPr>
      </w:pPr>
      <w:r>
        <w:rPr>
          <w:rFonts w:ascii="Arial" w:hAnsi="Arial" w:cs="Arial"/>
          <w:bCs/>
          <w:i/>
          <w:iCs/>
        </w:rPr>
        <w:t>(Source: 2025 OMB Compliance Supplement, Part 4, HUD, #14.850 Public Housing</w:t>
      </w:r>
      <w:r w:rsidR="007D76AB">
        <w:rPr>
          <w:rFonts w:ascii="Arial" w:hAnsi="Arial" w:cs="Arial"/>
          <w:bCs/>
          <w:i/>
          <w:iCs/>
        </w:rPr>
        <w:t xml:space="preserve"> Operating Fund</w:t>
      </w:r>
      <w:r>
        <w:rPr>
          <w:rFonts w:ascii="Arial" w:hAnsi="Arial" w:cs="Arial"/>
          <w:bCs/>
          <w:i/>
          <w:iCs/>
        </w:rPr>
        <w:t>)</w:t>
      </w:r>
      <w:r w:rsidR="00D4387A" w:rsidRPr="00D4387A">
        <w:rPr>
          <w:rFonts w:ascii="Arial" w:hAnsi="Arial" w:cs="Arial"/>
        </w:rPr>
        <w:t xml:space="preserve"> </w:t>
      </w:r>
    </w:p>
    <w:p w14:paraId="2EF4D251" w14:textId="3883D198" w:rsidR="00D4387A" w:rsidRPr="0088620B" w:rsidRDefault="00D4387A" w:rsidP="007D76AB">
      <w:pPr>
        <w:pStyle w:val="BodyText"/>
        <w:jc w:val="both"/>
        <w:rPr>
          <w:rFonts w:ascii="Arial" w:hAnsi="Arial" w:cs="Arial"/>
          <w:szCs w:val="20"/>
        </w:rPr>
      </w:pPr>
      <w:r w:rsidRPr="0088620B">
        <w:rPr>
          <w:rFonts w:ascii="Arial" w:hAnsi="Arial" w:cs="Arial"/>
          <w:szCs w:val="20"/>
        </w:rPr>
        <w:t>All laborers and mechanics employed by contractors or subcontractors to work on construction contracts in excess of $2,000 financed by federal assistance funds must be paid wages not less than those established for the locality of the project (prevailing wage rates) by the Department of Labor (DOL) (40 USC 3141–3147).</w:t>
      </w:r>
    </w:p>
    <w:p w14:paraId="23AE3736" w14:textId="27289573" w:rsidR="00D4387A" w:rsidRPr="0088620B" w:rsidRDefault="00D4387A" w:rsidP="007D76AB">
      <w:pPr>
        <w:pStyle w:val="BodyText"/>
        <w:jc w:val="both"/>
        <w:rPr>
          <w:rFonts w:ascii="Arial" w:hAnsi="Arial" w:cs="Arial"/>
          <w:szCs w:val="20"/>
        </w:rPr>
      </w:pPr>
      <w:r w:rsidRPr="0088620B">
        <w:rPr>
          <w:rFonts w:ascii="Arial" w:hAnsi="Arial" w:cs="Arial"/>
          <w:szCs w:val="20"/>
        </w:rPr>
        <w:t>Nonfederal entities shall include in their construction contracts subject to the Wage Rate Requirements (which still may be referenced as the Davis-Bacon Act) a provision that the contractor or subcontractor comply with those requirements and the DOL regulations</w:t>
      </w:r>
      <w:r>
        <w:rPr>
          <w:rFonts w:ascii="Arial" w:hAnsi="Arial" w:cs="Arial"/>
          <w:szCs w:val="20"/>
        </w:rPr>
        <w:t xml:space="preserve"> </w:t>
      </w:r>
      <w:r w:rsidRPr="0088620B">
        <w:rPr>
          <w:rFonts w:ascii="Arial" w:hAnsi="Arial" w:cs="Arial"/>
          <w:szCs w:val="20"/>
        </w:rPr>
        <w:t>(29 CFR Part 5, Labor Standards Provisions Applicable to Contacts Governing Federally Financed and Assisted Construction). This includes a requirement for the contractor or subcontractor to submit to the nonfederal entity weekly, for each week in which any contract work is performed, a copy of the payroll and a statement of compliance</w:t>
      </w:r>
      <w:r w:rsidRPr="0088620B">
        <w:rPr>
          <w:rFonts w:ascii="Arial" w:hAnsi="Arial" w:cs="Arial"/>
          <w:spacing w:val="-22"/>
          <w:szCs w:val="20"/>
        </w:rPr>
        <w:t xml:space="preserve"> </w:t>
      </w:r>
      <w:r w:rsidRPr="0088620B">
        <w:rPr>
          <w:rFonts w:ascii="Arial" w:hAnsi="Arial" w:cs="Arial"/>
          <w:szCs w:val="20"/>
        </w:rPr>
        <w:t>(certified payrolls) (29 CFR sections 5.5 and 5.6; the A-102 Common Rule (section 36(i)(5)); OMB Circular A-110 (2 CFR Part 215, Appendix A, Contract Provisions); 2 CFR Part 176, Subpart C; and 2 CFR section</w:t>
      </w:r>
      <w:r w:rsidRPr="0088620B">
        <w:rPr>
          <w:rFonts w:ascii="Arial" w:hAnsi="Arial" w:cs="Arial"/>
          <w:spacing w:val="-1"/>
          <w:szCs w:val="20"/>
        </w:rPr>
        <w:t xml:space="preserve"> </w:t>
      </w:r>
      <w:r w:rsidRPr="0088620B">
        <w:rPr>
          <w:rFonts w:ascii="Arial" w:hAnsi="Arial" w:cs="Arial"/>
          <w:szCs w:val="20"/>
        </w:rPr>
        <w:t>200.326).</w:t>
      </w:r>
    </w:p>
    <w:p w14:paraId="6D88DA8C" w14:textId="77777777" w:rsidR="00D4387A" w:rsidRPr="0088620B" w:rsidRDefault="00D4387A" w:rsidP="007D76AB">
      <w:pPr>
        <w:pStyle w:val="BodyText"/>
        <w:jc w:val="both"/>
        <w:rPr>
          <w:rFonts w:ascii="Arial" w:hAnsi="Arial" w:cs="Arial"/>
          <w:szCs w:val="20"/>
        </w:rPr>
      </w:pPr>
      <w:r w:rsidRPr="0088620B">
        <w:rPr>
          <w:rFonts w:ascii="Arial" w:hAnsi="Arial" w:cs="Arial"/>
          <w:szCs w:val="20"/>
        </w:rPr>
        <w:t>This reporting is often done using Optional Form WH-347, which includes the required statement of compliance (</w:t>
      </w:r>
      <w:r w:rsidRPr="0088620B">
        <w:rPr>
          <w:rFonts w:ascii="Arial" w:hAnsi="Arial" w:cs="Arial"/>
          <w:i/>
          <w:szCs w:val="20"/>
        </w:rPr>
        <w:t>OMB No. 1235-0008</w:t>
      </w:r>
      <w:r w:rsidRPr="0088620B">
        <w:rPr>
          <w:rFonts w:ascii="Arial" w:hAnsi="Arial" w:cs="Arial"/>
          <w:szCs w:val="20"/>
        </w:rPr>
        <w:t>). The DOL, Employment Standards Administration, maintains a Davis-</w:t>
      </w:r>
      <w:r w:rsidRPr="0088620B">
        <w:rPr>
          <w:rFonts w:ascii="Arial" w:hAnsi="Arial" w:cs="Arial"/>
          <w:szCs w:val="20"/>
        </w:rPr>
        <w:lastRenderedPageBreak/>
        <w:t>Bacon and Related Acts web page (</w:t>
      </w:r>
      <w:hyperlink r:id="rId82">
        <w:r w:rsidRPr="0088620B">
          <w:rPr>
            <w:rFonts w:ascii="Arial" w:hAnsi="Arial" w:cs="Arial"/>
            <w:color w:val="2D74B5"/>
            <w:szCs w:val="20"/>
            <w:u w:val="single" w:color="2D74B5"/>
          </w:rPr>
          <w:t>https://www.dol.gov/agencies/whd/government-contracts/construction</w:t>
        </w:r>
      </w:hyperlink>
      <w:r w:rsidRPr="0088620B">
        <w:rPr>
          <w:rFonts w:ascii="Arial" w:hAnsi="Arial" w:cs="Arial"/>
          <w:szCs w:val="20"/>
        </w:rPr>
        <w:t>). Optional Form WH-347 and instructions are available on this web page.</w:t>
      </w:r>
    </w:p>
    <w:p w14:paraId="69EDF8C7" w14:textId="7FFEF2DC" w:rsidR="00D4387A" w:rsidRPr="00D4387A" w:rsidRDefault="00D4387A" w:rsidP="00D4387A">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Pr>
          <w:rFonts w:ascii="Arial" w:hAnsi="Arial" w:cs="Arial"/>
          <w:bCs/>
          <w:i/>
          <w:iCs/>
        </w:rPr>
        <w:t>(Source: 2025 OMB Compliance Supplement, Part 4, DOT, Wage Rate Requirements)</w:t>
      </w:r>
    </w:p>
    <w:p w14:paraId="1FDB8C35" w14:textId="77777777" w:rsidR="00670F5F" w:rsidRPr="000706D1" w:rsidRDefault="00670F5F" w:rsidP="006672EA">
      <w:pPr>
        <w:pStyle w:val="Heading3"/>
        <w:jc w:val="both"/>
        <w:rPr>
          <w:rFonts w:cs="Arial"/>
          <w:sz w:val="24"/>
          <w:szCs w:val="24"/>
        </w:rPr>
      </w:pPr>
      <w:bookmarkStart w:id="68" w:name="_Toc212473125"/>
      <w:r w:rsidRPr="000706D1">
        <w:rPr>
          <w:rFonts w:cs="Arial"/>
          <w:sz w:val="24"/>
          <w:szCs w:val="24"/>
        </w:rPr>
        <w:t>Additional Program Specific Information</w:t>
      </w:r>
      <w:bookmarkEnd w:id="68"/>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19F659D9" w:rsidR="00CD5DC7" w:rsidRPr="00AA5B05" w:rsidRDefault="00CD5DC7"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0DCB8F27" w:rsidR="00CD5DC7" w:rsidRPr="00AA5B05" w:rsidRDefault="00CD5DC7"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69" w:name="_Toc212473126"/>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69"/>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4259BD08"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5C1EBC" w:rsidRPr="00F00D94">
        <w:rPr>
          <w:rFonts w:ascii="Arial" w:hAnsi="Arial" w:cs="Arial"/>
          <w:i/>
        </w:rPr>
        <w:t>202</w:t>
      </w:r>
      <w:r w:rsidR="005C1EBC">
        <w:rPr>
          <w:rFonts w:ascii="Arial" w:hAnsi="Arial" w:cs="Arial"/>
          <w:i/>
        </w:rPr>
        <w:t>5</w:t>
      </w:r>
      <w:r w:rsidR="005C1EBC" w:rsidRPr="00F00D94">
        <w:rPr>
          <w:rFonts w:ascii="Arial" w:hAnsi="Arial" w:cs="Arial"/>
          <w:i/>
        </w:rPr>
        <w:t xml:space="preserve"> </w:t>
      </w:r>
      <w:r w:rsidRPr="00F00D94">
        <w:rPr>
          <w:rFonts w:ascii="Arial" w:hAnsi="Arial" w:cs="Arial"/>
          <w:i/>
        </w:rPr>
        <w:t>OMB Compliance Supplement Part 3</w:t>
      </w:r>
      <w:r w:rsidR="00143218">
        <w:rPr>
          <w:rFonts w:ascii="Arial" w:hAnsi="Arial" w:cs="Arial"/>
          <w:i/>
        </w:rPr>
        <w:t>.2</w:t>
      </w:r>
      <w:r w:rsidRPr="00F00D94">
        <w:rPr>
          <w:rFonts w:ascii="Arial" w:hAnsi="Arial" w:cs="Arial"/>
          <w:i/>
        </w:rPr>
        <w:t>)</w:t>
      </w:r>
    </w:p>
    <w:p w14:paraId="060C46D8" w14:textId="224E6034" w:rsidR="00D4387A" w:rsidRPr="00D4387A" w:rsidRDefault="00D4387A" w:rsidP="008B4BCE">
      <w:pPr>
        <w:pStyle w:val="ListParagraph"/>
        <w:numPr>
          <w:ilvl w:val="0"/>
          <w:numId w:val="4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D4387A">
        <w:rPr>
          <w:rFonts w:ascii="Arial" w:hAnsi="Arial" w:cs="Arial"/>
        </w:rPr>
        <w:t>Determine whether the nonfederal entity notified contractors and subcontractors of the requirements to comply with the Wage Rate Requirements and obtained copies of certified payrolls.</w:t>
      </w:r>
    </w:p>
    <w:p w14:paraId="51B3C4DF" w14:textId="77891F49" w:rsidR="00D4387A" w:rsidRPr="00D4387A" w:rsidRDefault="00D4387A" w:rsidP="00D4387A">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D4387A">
        <w:rPr>
          <w:rFonts w:ascii="Arial" w:hAnsi="Arial" w:cs="Arial"/>
          <w:bCs/>
          <w:i/>
          <w:iCs/>
        </w:rPr>
        <w:t>(Source: 202</w:t>
      </w:r>
      <w:r>
        <w:rPr>
          <w:rFonts w:ascii="Arial" w:hAnsi="Arial" w:cs="Arial"/>
          <w:bCs/>
          <w:i/>
          <w:iCs/>
        </w:rPr>
        <w:t>5</w:t>
      </w:r>
      <w:r w:rsidRPr="00D4387A">
        <w:rPr>
          <w:rFonts w:ascii="Arial" w:hAnsi="Arial" w:cs="Arial"/>
          <w:bCs/>
          <w:i/>
          <w:iCs/>
        </w:rPr>
        <w:t xml:space="preserve"> OMB Compliance Supplement, Part 4, DOT, Wage Rate Requirements)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lastRenderedPageBreak/>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70" w:name="_Toc212473127"/>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70"/>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07B5BF1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C1EBC">
              <w:rPr>
                <w:rFonts w:ascii="Arial" w:hAnsi="Arial" w:cs="Arial"/>
                <w:i/>
                <w:sz w:val="20"/>
                <w:szCs w:val="20"/>
              </w:rPr>
              <w:t xml:space="preserve">2025 </w:t>
            </w:r>
            <w:r>
              <w:rPr>
                <w:rFonts w:ascii="Arial" w:hAnsi="Arial" w:cs="Arial"/>
                <w:i/>
                <w:sz w:val="20"/>
                <w:szCs w:val="20"/>
              </w:rPr>
              <w:t>OMB Compliance Supplement Part 3</w:t>
            </w:r>
            <w:r w:rsidR="00143218">
              <w:rPr>
                <w:rFonts w:ascii="Arial" w:hAnsi="Arial" w:cs="Arial"/>
                <w:i/>
                <w:sz w:val="20"/>
                <w:szCs w:val="20"/>
              </w:rPr>
              <w:t>.2</w:t>
            </w:r>
            <w:r>
              <w:rPr>
                <w:rFonts w:ascii="Arial" w:hAnsi="Arial" w:cs="Arial"/>
                <w:i/>
                <w:sz w:val="20"/>
                <w:szCs w:val="20"/>
              </w:rPr>
              <w:t>)</w:t>
            </w:r>
          </w:p>
          <w:p w14:paraId="4B43F071" w14:textId="1D229E41" w:rsidR="00D4387A" w:rsidRPr="00D4387A" w:rsidRDefault="00D4387A" w:rsidP="00D4387A">
            <w:pPr>
              <w:pStyle w:val="BodyText"/>
              <w:spacing w:before="1"/>
              <w:ind w:right="536"/>
              <w:rPr>
                <w:rFonts w:ascii="Arial" w:hAnsi="Arial" w:cs="Arial"/>
                <w:sz w:val="20"/>
                <w:szCs w:val="20"/>
              </w:rPr>
            </w:pPr>
            <w:r w:rsidRPr="00D4387A">
              <w:rPr>
                <w:rFonts w:ascii="Arial" w:hAnsi="Arial" w:cs="Arial"/>
                <w:sz w:val="20"/>
                <w:szCs w:val="20"/>
              </w:rPr>
              <w:t>Select a sample of construction contracts and subcontracts greater than $2,000 that are covered by the Wage Rate Requirements and perform the following procedures:</w:t>
            </w:r>
          </w:p>
          <w:p w14:paraId="323AC8DD" w14:textId="360F3012" w:rsidR="00D4387A" w:rsidRPr="00D4387A" w:rsidRDefault="00D4387A" w:rsidP="008B4BCE">
            <w:pPr>
              <w:pStyle w:val="ListParagraph"/>
              <w:widowControl w:val="0"/>
              <w:numPr>
                <w:ilvl w:val="0"/>
                <w:numId w:val="43"/>
              </w:numPr>
              <w:tabs>
                <w:tab w:val="left" w:pos="1559"/>
                <w:tab w:val="left" w:pos="1560"/>
              </w:tabs>
              <w:suppressAutoHyphens w:val="0"/>
              <w:adjustRightInd/>
              <w:ind w:right="244"/>
              <w:rPr>
                <w:rFonts w:ascii="Arial" w:hAnsi="Arial" w:cs="Arial"/>
                <w:sz w:val="20"/>
                <w:szCs w:val="20"/>
              </w:rPr>
            </w:pPr>
            <w:r w:rsidRPr="00D4387A">
              <w:rPr>
                <w:rFonts w:ascii="Arial" w:hAnsi="Arial" w:cs="Arial"/>
                <w:sz w:val="20"/>
                <w:szCs w:val="20"/>
              </w:rPr>
              <w:t>Verify that the required prevailing wage rate clauses were included in the</w:t>
            </w:r>
            <w:r w:rsidRPr="00D4387A">
              <w:rPr>
                <w:rFonts w:ascii="Arial" w:hAnsi="Arial" w:cs="Arial"/>
                <w:spacing w:val="-21"/>
                <w:sz w:val="20"/>
                <w:szCs w:val="20"/>
              </w:rPr>
              <w:t xml:space="preserve"> </w:t>
            </w:r>
            <w:r w:rsidRPr="00D4387A">
              <w:rPr>
                <w:rFonts w:ascii="Arial" w:hAnsi="Arial" w:cs="Arial"/>
                <w:sz w:val="20"/>
                <w:szCs w:val="20"/>
              </w:rPr>
              <w:t>contract or</w:t>
            </w:r>
            <w:r w:rsidRPr="00D4387A">
              <w:rPr>
                <w:rFonts w:ascii="Arial" w:hAnsi="Arial" w:cs="Arial"/>
                <w:spacing w:val="-2"/>
                <w:sz w:val="20"/>
                <w:szCs w:val="20"/>
              </w:rPr>
              <w:t xml:space="preserve"> </w:t>
            </w:r>
            <w:r w:rsidRPr="00D4387A">
              <w:rPr>
                <w:rFonts w:ascii="Arial" w:hAnsi="Arial" w:cs="Arial"/>
                <w:sz w:val="20"/>
                <w:szCs w:val="20"/>
              </w:rPr>
              <w:t>subcontract.</w:t>
            </w:r>
          </w:p>
          <w:p w14:paraId="3A5625F7" w14:textId="77777777" w:rsidR="00D4387A" w:rsidRPr="00D4387A" w:rsidRDefault="00D4387A" w:rsidP="00D4387A">
            <w:pPr>
              <w:pStyle w:val="ListParagraph"/>
              <w:widowControl w:val="0"/>
              <w:tabs>
                <w:tab w:val="left" w:pos="1559"/>
                <w:tab w:val="left" w:pos="1560"/>
              </w:tabs>
              <w:suppressAutoHyphens w:val="0"/>
              <w:adjustRightInd/>
              <w:ind w:left="1560" w:right="244"/>
              <w:rPr>
                <w:rFonts w:ascii="Arial" w:hAnsi="Arial" w:cs="Arial"/>
                <w:sz w:val="20"/>
                <w:szCs w:val="20"/>
              </w:rPr>
            </w:pPr>
          </w:p>
          <w:p w14:paraId="577B6A4D" w14:textId="6DC07A93" w:rsidR="00D4387A" w:rsidRPr="00D4387A" w:rsidRDefault="00D4387A" w:rsidP="008B4BCE">
            <w:pPr>
              <w:pStyle w:val="ListParagraph"/>
              <w:widowControl w:val="0"/>
              <w:numPr>
                <w:ilvl w:val="0"/>
                <w:numId w:val="43"/>
              </w:numPr>
              <w:tabs>
                <w:tab w:val="left" w:pos="1559"/>
                <w:tab w:val="left" w:pos="1560"/>
              </w:tabs>
              <w:suppressAutoHyphens w:val="0"/>
              <w:adjustRightInd/>
              <w:ind w:right="502"/>
              <w:rPr>
                <w:rFonts w:ascii="Arial" w:hAnsi="Arial" w:cs="Arial"/>
                <w:sz w:val="20"/>
                <w:szCs w:val="20"/>
              </w:rPr>
            </w:pPr>
            <w:r w:rsidRPr="00D4387A">
              <w:rPr>
                <w:rFonts w:ascii="Arial" w:hAnsi="Arial" w:cs="Arial"/>
                <w:sz w:val="20"/>
                <w:szCs w:val="20"/>
              </w:rPr>
              <w:t>For each week in which work was performed under the contract or</w:t>
            </w:r>
            <w:r w:rsidRPr="00D4387A">
              <w:rPr>
                <w:rFonts w:ascii="Arial" w:hAnsi="Arial" w:cs="Arial"/>
                <w:spacing w:val="-16"/>
                <w:sz w:val="20"/>
                <w:szCs w:val="20"/>
              </w:rPr>
              <w:t xml:space="preserve"> </w:t>
            </w:r>
            <w:r w:rsidRPr="00D4387A">
              <w:rPr>
                <w:rFonts w:ascii="Arial" w:hAnsi="Arial" w:cs="Arial"/>
                <w:sz w:val="20"/>
                <w:szCs w:val="20"/>
              </w:rPr>
              <w:t>subcontract, verify that the contractor or subcontractor submitted the required certified payrolls.</w:t>
            </w:r>
          </w:p>
          <w:p w14:paraId="4BDE7174" w14:textId="77777777" w:rsidR="00D4387A" w:rsidRPr="00D4387A" w:rsidRDefault="00D4387A" w:rsidP="00D4387A">
            <w:pPr>
              <w:widowControl w:val="0"/>
              <w:tabs>
                <w:tab w:val="left" w:pos="1559"/>
                <w:tab w:val="left" w:pos="1560"/>
              </w:tabs>
              <w:ind w:right="502"/>
              <w:rPr>
                <w:rFonts w:ascii="Arial" w:hAnsi="Arial" w:cs="Arial"/>
                <w:sz w:val="20"/>
                <w:szCs w:val="20"/>
              </w:rPr>
            </w:pPr>
          </w:p>
          <w:p w14:paraId="34A9F40D" w14:textId="77777777" w:rsidR="00D4387A" w:rsidRDefault="00D4387A" w:rsidP="00D4387A">
            <w:pPr>
              <w:pStyle w:val="BodyText"/>
              <w:rPr>
                <w:rFonts w:ascii="Arial" w:hAnsi="Arial" w:cs="Arial"/>
                <w:sz w:val="20"/>
                <w:szCs w:val="20"/>
              </w:rPr>
            </w:pPr>
            <w:r w:rsidRPr="00D4387A">
              <w:rPr>
                <w:rFonts w:ascii="Arial" w:hAnsi="Arial" w:cs="Arial"/>
                <w:sz w:val="20"/>
                <w:szCs w:val="20"/>
              </w:rPr>
              <w:t>(Note: Auditors are not expected to determine whether prevailing wage rates were paid.)</w:t>
            </w:r>
          </w:p>
          <w:p w14:paraId="6904E87E" w14:textId="4B0DDDCC" w:rsidR="004B71BD" w:rsidRPr="00D4387A" w:rsidRDefault="00D4387A" w:rsidP="00D4387A">
            <w:pPr>
              <w:pStyle w:val="BodyText"/>
              <w:rPr>
                <w:rFonts w:ascii="Arial" w:hAnsi="Arial" w:cs="Arial"/>
                <w:sz w:val="20"/>
                <w:szCs w:val="20"/>
              </w:rPr>
            </w:pPr>
            <w:r w:rsidRPr="006E1C20">
              <w:rPr>
                <w:rFonts w:ascii="Arial" w:hAnsi="Arial" w:cs="Arial"/>
                <w:i/>
                <w:iCs/>
                <w:color w:val="002060"/>
                <w:sz w:val="20"/>
                <w:szCs w:val="20"/>
              </w:rPr>
              <w:t xml:space="preserve">AOS auditors </w:t>
            </w:r>
            <w:r>
              <w:rPr>
                <w:rFonts w:ascii="Arial" w:hAnsi="Arial" w:cs="Arial"/>
                <w:i/>
                <w:iCs/>
                <w:color w:val="002060"/>
                <w:sz w:val="20"/>
                <w:szCs w:val="20"/>
              </w:rPr>
              <w:t xml:space="preserve">should consult with their regional legal consultant if they </w:t>
            </w:r>
            <w:r w:rsidRPr="006E1C20">
              <w:rPr>
                <w:rFonts w:ascii="Arial" w:hAnsi="Arial" w:cs="Arial"/>
                <w:i/>
                <w:iCs/>
                <w:color w:val="002060"/>
                <w:sz w:val="20"/>
                <w:szCs w:val="20"/>
              </w:rPr>
              <w:t>encounter a purchase order and are unsure if it can be viewed as a contract</w:t>
            </w:r>
            <w:r>
              <w:rPr>
                <w:rFonts w:ascii="Arial" w:hAnsi="Arial" w:cs="Arial"/>
                <w:i/>
                <w:iCs/>
                <w:color w:val="002060"/>
                <w:sz w:val="20"/>
                <w:szCs w:val="20"/>
              </w:rPr>
              <w:t>.</w:t>
            </w: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71" w:name="_Toc212473128"/>
      <w:r w:rsidRPr="000706D1">
        <w:rPr>
          <w:rFonts w:cs="Arial"/>
          <w:sz w:val="24"/>
          <w:szCs w:val="24"/>
        </w:rPr>
        <w:t>Audit Implications Summary</w:t>
      </w:r>
      <w:bookmarkEnd w:id="71"/>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7E60BF2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8B4BCE">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8B4BCE">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8B4BCE">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8B4BCE">
            <w:pPr>
              <w:widowControl w:val="0"/>
              <w:numPr>
                <w:ilvl w:val="0"/>
                <w:numId w:val="20"/>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8B4BCE">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69C12D5B" w14:textId="77777777" w:rsidR="00885BA6" w:rsidRDefault="00885BA6" w:rsidP="00885BA6">
      <w:pPr>
        <w:pStyle w:val="Heading2"/>
        <w:jc w:val="both"/>
        <w:rPr>
          <w:rFonts w:cs="Arial"/>
          <w:sz w:val="24"/>
        </w:rPr>
        <w:sectPr w:rsidR="00885BA6" w:rsidSect="00885BA6">
          <w:headerReference w:type="default" r:id="rId84"/>
          <w:pgSz w:w="12240" w:h="15840" w:code="1"/>
          <w:pgMar w:top="1440" w:right="1440" w:bottom="1440" w:left="1440" w:header="720" w:footer="720" w:gutter="0"/>
          <w:cols w:space="720"/>
          <w:docGrid w:linePitch="360"/>
        </w:sectPr>
      </w:pPr>
    </w:p>
    <w:p w14:paraId="217B036F" w14:textId="3085591B" w:rsidR="00885BA6" w:rsidRPr="000706D1" w:rsidRDefault="00885BA6" w:rsidP="00885BA6">
      <w:pPr>
        <w:pStyle w:val="Heading2"/>
        <w:jc w:val="both"/>
        <w:rPr>
          <w:rFonts w:cs="Arial"/>
          <w:sz w:val="24"/>
        </w:rPr>
      </w:pPr>
      <w:bookmarkStart w:id="72" w:name="_Toc212473129"/>
      <w:r w:rsidRPr="000706D1">
        <w:rPr>
          <w:rFonts w:cs="Arial"/>
          <w:sz w:val="24"/>
        </w:rPr>
        <w:lastRenderedPageBreak/>
        <w:t>N</w:t>
      </w:r>
      <w:r w:rsidR="0001160F">
        <w:rPr>
          <w:rFonts w:cs="Arial"/>
          <w:sz w:val="24"/>
        </w:rPr>
        <w:t>2</w:t>
      </w:r>
      <w:r w:rsidRPr="000706D1">
        <w:rPr>
          <w:rFonts w:cs="Arial"/>
          <w:sz w:val="24"/>
        </w:rPr>
        <w:t>.  SPECIAL TESTS AND PROVISIONS</w:t>
      </w:r>
      <w:r w:rsidR="0001160F">
        <w:rPr>
          <w:rFonts w:cs="Arial"/>
          <w:sz w:val="24"/>
        </w:rPr>
        <w:t xml:space="preserve"> – PUBLIC HOUSING WAITING LIST</w:t>
      </w:r>
      <w:bookmarkEnd w:id="72"/>
    </w:p>
    <w:p w14:paraId="073F7B31" w14:textId="77777777" w:rsidR="00885BA6" w:rsidRPr="000706D1" w:rsidRDefault="00885BA6" w:rsidP="00885BA6">
      <w:pPr>
        <w:pStyle w:val="Heading3"/>
        <w:jc w:val="both"/>
        <w:rPr>
          <w:rFonts w:cs="Arial"/>
          <w:sz w:val="24"/>
          <w:szCs w:val="24"/>
        </w:rPr>
      </w:pPr>
      <w:bookmarkStart w:id="73" w:name="_Toc212473130"/>
      <w:r w:rsidRPr="000706D1">
        <w:rPr>
          <w:rFonts w:cs="Arial"/>
          <w:sz w:val="24"/>
          <w:szCs w:val="24"/>
        </w:rPr>
        <w:t>OMB Compliance Requirements</w:t>
      </w:r>
      <w:bookmarkEnd w:id="73"/>
    </w:p>
    <w:p w14:paraId="2965AD51" w14:textId="77777777" w:rsidR="00885BA6" w:rsidRPr="005C1EBC"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CB6BDD7"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499DAA89" w14:textId="77777777" w:rsidR="00885BA6" w:rsidRPr="00F00D94" w:rsidRDefault="00885BA6" w:rsidP="00885BA6">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0A423E9" w14:textId="77777777" w:rsidR="00885BA6" w:rsidRPr="000706D1" w:rsidRDefault="00885BA6" w:rsidP="00885BA6">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A854427" w14:textId="77777777" w:rsidR="008B4BCE" w:rsidRPr="008B4BCE" w:rsidRDefault="00B20CBB" w:rsidP="00B20CBB">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B20CBB">
        <w:rPr>
          <w:rFonts w:ascii="Arial" w:hAnsi="Arial" w:cs="Arial"/>
          <w:bCs/>
        </w:rPr>
        <w:t xml:space="preserve">The PHA must establish and adopt written policies for the admission of tenants. The PHA tenant selection policies must include requirements for applications and waiting lists, a description of the policies for selecting applicants from the waiting lists, and policies for verification and documentation of information </w:t>
      </w:r>
      <w:r w:rsidRPr="008B4BCE">
        <w:rPr>
          <w:rFonts w:ascii="Arial" w:hAnsi="Arial" w:cs="Arial"/>
          <w:bCs/>
        </w:rPr>
        <w:t>relevant to the acceptance or rejection of an applicant (24 CFR sections 960.202 through 960.206).</w:t>
      </w:r>
    </w:p>
    <w:p w14:paraId="1B7C55EC" w14:textId="64297527" w:rsidR="00885BA6" w:rsidRPr="008B4BCE" w:rsidRDefault="00885BA6" w:rsidP="00B20CBB">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8B4BCE">
        <w:rPr>
          <w:rFonts w:ascii="Arial" w:hAnsi="Arial" w:cs="Arial"/>
          <w:bCs/>
          <w:i/>
          <w:iCs/>
        </w:rPr>
        <w:t xml:space="preserve"> </w:t>
      </w:r>
      <w:r w:rsidR="008B4BCE" w:rsidRPr="008B4BCE">
        <w:rPr>
          <w:rFonts w:ascii="Arial" w:hAnsi="Arial" w:cs="Arial"/>
          <w:bCs/>
          <w:i/>
          <w:iCs/>
        </w:rPr>
        <w:t xml:space="preserve">(Source: 2025 OMB Compliance Supplement, Part 4, HUD, #14.850 Public </w:t>
      </w:r>
      <w:r w:rsidR="007D76AB">
        <w:rPr>
          <w:rFonts w:ascii="Arial" w:hAnsi="Arial" w:cs="Arial"/>
          <w:bCs/>
          <w:i/>
          <w:iCs/>
        </w:rPr>
        <w:t>Housing Operating Fund</w:t>
      </w:r>
      <w:r w:rsidR="008B4BCE" w:rsidRPr="008B4BCE">
        <w:rPr>
          <w:rFonts w:ascii="Arial" w:hAnsi="Arial" w:cs="Arial"/>
          <w:bCs/>
          <w:i/>
          <w:iCs/>
        </w:rPr>
        <w:t>)</w:t>
      </w:r>
    </w:p>
    <w:p w14:paraId="0BF90E89" w14:textId="77777777" w:rsidR="00885BA6" w:rsidRPr="000706D1" w:rsidRDefault="00885BA6" w:rsidP="00885BA6">
      <w:pPr>
        <w:pStyle w:val="Heading3"/>
        <w:jc w:val="both"/>
        <w:rPr>
          <w:rFonts w:cs="Arial"/>
          <w:sz w:val="24"/>
          <w:szCs w:val="24"/>
        </w:rPr>
      </w:pPr>
      <w:bookmarkStart w:id="74" w:name="_Toc212473131"/>
      <w:r w:rsidRPr="000706D1">
        <w:rPr>
          <w:rFonts w:cs="Arial"/>
          <w:sz w:val="24"/>
          <w:szCs w:val="24"/>
        </w:rPr>
        <w:t>Additional Program Specific Information</w:t>
      </w:r>
      <w:bookmarkEnd w:id="74"/>
    </w:p>
    <w:p w14:paraId="08E02935" w14:textId="77777777" w:rsidR="00A3316B" w:rsidRPr="00AA5B05" w:rsidRDefault="00A3316B" w:rsidP="00A3316B">
      <w:pPr>
        <w:spacing w:after="240"/>
        <w:jc w:val="both"/>
        <w:rPr>
          <w:rFonts w:ascii="Arial" w:hAnsi="Arial" w:cs="Arial"/>
          <w:b/>
          <w:highlight w:val="yellow"/>
        </w:rPr>
      </w:pPr>
      <w:r w:rsidRPr="00AA5B05">
        <w:rPr>
          <w:rFonts w:ascii="Arial" w:hAnsi="Arial" w:cs="Arial"/>
          <w:b/>
          <w:highlight w:val="yellow"/>
        </w:rPr>
        <w:t>Add program specific requirements from:</w:t>
      </w:r>
    </w:p>
    <w:p w14:paraId="1A99980B" w14:textId="7F6A1076"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D76AB">
        <w:rPr>
          <w:rFonts w:ascii="Arial" w:hAnsi="Arial" w:cs="Arial"/>
          <w:b/>
          <w:highlight w:val="yellow"/>
        </w:rPr>
        <w:t>,</w:t>
      </w:r>
      <w:r>
        <w:rPr>
          <w:rFonts w:ascii="Arial" w:hAnsi="Arial" w:cs="Arial"/>
          <w:b/>
          <w:highlight w:val="yellow"/>
        </w:rPr>
        <w:t xml:space="preserve"> </w:t>
      </w:r>
    </w:p>
    <w:p w14:paraId="116AA3E8" w14:textId="77777777" w:rsidR="00A3316B" w:rsidRPr="00AA5B05" w:rsidRDefault="00A3316B" w:rsidP="00A3316B">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31EC0D1" w14:textId="77777777"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DD7DAFC" w14:textId="77777777" w:rsidR="00A3316B" w:rsidRPr="00AA5B05" w:rsidRDefault="00A3316B" w:rsidP="00A3316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9EC9A1B" w14:textId="77777777" w:rsidR="00885BA6" w:rsidRPr="000706D1" w:rsidRDefault="00885BA6" w:rsidP="00885BA6">
      <w:pPr>
        <w:pStyle w:val="Heading3"/>
        <w:jc w:val="both"/>
        <w:rPr>
          <w:rFonts w:cs="Arial"/>
          <w:sz w:val="24"/>
          <w:szCs w:val="24"/>
        </w:rPr>
      </w:pPr>
      <w:bookmarkStart w:id="75" w:name="_Toc212473132"/>
      <w:r w:rsidRPr="000706D1">
        <w:rPr>
          <w:rFonts w:cs="Arial"/>
          <w:sz w:val="24"/>
          <w:szCs w:val="24"/>
        </w:rPr>
        <w:t>Audit Objectives and Control Testing</w:t>
      </w:r>
      <w:bookmarkEnd w:id="75"/>
    </w:p>
    <w:p w14:paraId="44E0E223" w14:textId="77777777" w:rsidR="00885BA6" w:rsidRPr="00F00D94" w:rsidRDefault="00885BA6" w:rsidP="00885BA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2503AE0" w14:textId="1EFE4995" w:rsidR="00885BA6" w:rsidRPr="008B4BCE" w:rsidRDefault="00885BA6" w:rsidP="008B4BCE">
      <w:pPr>
        <w:pStyle w:val="ListParagraph"/>
        <w:numPr>
          <w:ilvl w:val="2"/>
          <w:numId w:val="36"/>
        </w:numPr>
        <w:spacing w:after="240"/>
        <w:ind w:left="720" w:hanging="720"/>
        <w:jc w:val="both"/>
        <w:rPr>
          <w:rFonts w:ascii="Arial" w:hAnsi="Arial" w:cs="Arial"/>
        </w:rPr>
      </w:pPr>
      <w:r w:rsidRPr="008B4BCE">
        <w:rPr>
          <w:rFonts w:ascii="Arial" w:hAnsi="Arial" w:cs="Arial"/>
        </w:rPr>
        <w:lastRenderedPageBreak/>
        <w:t>Obtain an understanding of internal control, assess risk, and test internal control as required by 2 CFR section 200.514(c).</w:t>
      </w:r>
    </w:p>
    <w:p w14:paraId="5AEF54E7" w14:textId="77777777" w:rsidR="00885BA6"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F5A971D" w14:textId="11FAEFB3" w:rsidR="008B4BCE" w:rsidRPr="008B4BCE" w:rsidRDefault="008B4BCE" w:rsidP="007D76AB">
      <w:pPr>
        <w:pStyle w:val="BodyText"/>
        <w:numPr>
          <w:ilvl w:val="2"/>
          <w:numId w:val="36"/>
        </w:numPr>
        <w:ind w:left="720" w:hanging="720"/>
        <w:rPr>
          <w:rFonts w:ascii="Arial" w:hAnsi="Arial" w:cs="Arial"/>
          <w:szCs w:val="20"/>
        </w:rPr>
      </w:pPr>
      <w:r w:rsidRPr="008B4BCE">
        <w:rPr>
          <w:rFonts w:ascii="Arial" w:hAnsi="Arial" w:cs="Arial"/>
          <w:szCs w:val="20"/>
        </w:rPr>
        <w:t>Determine whether the PHA is following its tenant selection policies in placing applicants on the waiting list and selecting applicants from the waiting list to become tenants.</w:t>
      </w:r>
    </w:p>
    <w:p w14:paraId="2A98FE3C" w14:textId="5C69A7C3" w:rsidR="00885BA6" w:rsidRPr="008B4BCE" w:rsidRDefault="008B4BCE" w:rsidP="008B4BCE">
      <w:pPr>
        <w:spacing w:after="240"/>
        <w:jc w:val="both"/>
        <w:rPr>
          <w:rFonts w:ascii="Arial" w:hAnsi="Arial" w:cs="Arial"/>
          <w:bCs/>
          <w:i/>
          <w:iCs/>
        </w:rPr>
      </w:pPr>
      <w:r w:rsidRPr="008B4BCE">
        <w:rPr>
          <w:rFonts w:ascii="Arial" w:hAnsi="Arial" w:cs="Arial"/>
          <w:bCs/>
          <w:i/>
          <w:iCs/>
        </w:rPr>
        <w:t>(Source: 202</w:t>
      </w:r>
      <w:r>
        <w:rPr>
          <w:rFonts w:ascii="Arial" w:hAnsi="Arial" w:cs="Arial"/>
          <w:bCs/>
          <w:i/>
          <w:iCs/>
        </w:rPr>
        <w:t>5</w:t>
      </w:r>
      <w:r w:rsidRPr="008B4BCE">
        <w:rPr>
          <w:rFonts w:ascii="Arial" w:hAnsi="Arial" w:cs="Arial"/>
          <w:bCs/>
          <w:i/>
          <w:iCs/>
        </w:rPr>
        <w:t xml:space="preserve"> OMB Compliance Supplement, Part 4, HUD, #14.850 Public </w:t>
      </w:r>
      <w:r w:rsidR="007D76AB">
        <w:rPr>
          <w:rFonts w:ascii="Arial" w:hAnsi="Arial" w:cs="Arial"/>
          <w:bCs/>
          <w:i/>
          <w:iCs/>
        </w:rPr>
        <w:t>Housing Operating Fund</w:t>
      </w:r>
      <w:r w:rsidRPr="008B4BCE">
        <w:rPr>
          <w:rFonts w:ascii="Arial" w:hAnsi="Arial" w:cs="Arial"/>
          <w:bCs/>
          <w:i/>
          <w:iCs/>
        </w:rPr>
        <w:t>)</w:t>
      </w:r>
    </w:p>
    <w:p w14:paraId="4A5E05E2" w14:textId="77777777" w:rsidR="00885BA6" w:rsidRPr="00634FA3" w:rsidRDefault="00885BA6" w:rsidP="00885BA6">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85BA6" w:rsidRPr="00F00D94" w14:paraId="41A994C6" w14:textId="77777777" w:rsidTr="009F1483">
        <w:tc>
          <w:tcPr>
            <w:tcW w:w="5000" w:type="pct"/>
          </w:tcPr>
          <w:p w14:paraId="141490E3" w14:textId="77777777" w:rsidR="00885BA6" w:rsidRPr="006F5FFA" w:rsidRDefault="00885BA6"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4070983" w14:textId="77777777" w:rsidR="00885BA6" w:rsidRPr="00F00D94" w:rsidRDefault="00885BA6"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D04D782" w14:textId="77777777" w:rsidR="00885BA6" w:rsidRPr="00F00D94" w:rsidRDefault="00885BA6" w:rsidP="009F1483">
            <w:pPr>
              <w:pStyle w:val="AuditProcedureHeading"/>
              <w:spacing w:after="240"/>
              <w:jc w:val="both"/>
              <w:rPr>
                <w:rFonts w:cs="Arial"/>
                <w:b/>
                <w:bCs/>
                <w:szCs w:val="20"/>
                <w:u w:val="single"/>
              </w:rPr>
            </w:pPr>
          </w:p>
          <w:p w14:paraId="4DCC65E0" w14:textId="77777777" w:rsidR="00885BA6" w:rsidRPr="00F00D94" w:rsidRDefault="00885BA6"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56D1F70" w14:textId="77777777" w:rsidR="00885BA6" w:rsidRPr="00F00D94" w:rsidRDefault="00885BA6" w:rsidP="009F1483">
            <w:pPr>
              <w:pStyle w:val="AuditProcedureHeading"/>
              <w:spacing w:after="240"/>
              <w:jc w:val="both"/>
              <w:rPr>
                <w:rFonts w:cs="Arial"/>
                <w:b/>
                <w:bCs/>
                <w:szCs w:val="20"/>
                <w:u w:val="single"/>
              </w:rPr>
            </w:pPr>
          </w:p>
          <w:p w14:paraId="365BD618" w14:textId="77777777" w:rsidR="00885BA6" w:rsidRPr="00F00D94" w:rsidRDefault="00885BA6"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C31185A" w14:textId="77777777" w:rsidR="00885BA6" w:rsidRPr="00F00D94" w:rsidRDefault="00885BA6" w:rsidP="009F1483">
            <w:pPr>
              <w:spacing w:after="240"/>
              <w:jc w:val="both"/>
              <w:rPr>
                <w:rFonts w:ascii="Arial" w:hAnsi="Arial" w:cs="Arial"/>
                <w:b/>
                <w:sz w:val="20"/>
                <w:u w:val="single"/>
              </w:rPr>
            </w:pPr>
          </w:p>
          <w:p w14:paraId="02803966" w14:textId="77777777" w:rsidR="00885BA6" w:rsidRPr="00F00D94" w:rsidRDefault="00885BA6"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C26A58C" w14:textId="77777777" w:rsidR="00885BA6" w:rsidRPr="00C35E5F" w:rsidRDefault="00885BA6" w:rsidP="009F1483">
            <w:pPr>
              <w:spacing w:after="240"/>
              <w:jc w:val="both"/>
              <w:rPr>
                <w:rFonts w:ascii="Arial" w:eastAsiaTheme="minorHAnsi" w:hAnsi="Arial" w:cs="Arial"/>
                <w:sz w:val="20"/>
                <w:szCs w:val="20"/>
              </w:rPr>
            </w:pPr>
          </w:p>
        </w:tc>
      </w:tr>
    </w:tbl>
    <w:p w14:paraId="21BD4125"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7478EF19" w14:textId="77777777" w:rsidR="00885BA6" w:rsidRPr="000706D1" w:rsidRDefault="00885BA6" w:rsidP="00885BA6">
      <w:pPr>
        <w:pStyle w:val="Heading3"/>
        <w:jc w:val="both"/>
        <w:rPr>
          <w:rFonts w:cs="Arial"/>
          <w:sz w:val="24"/>
          <w:szCs w:val="24"/>
        </w:rPr>
      </w:pPr>
      <w:bookmarkStart w:id="76" w:name="_Toc21247313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76"/>
    </w:p>
    <w:tbl>
      <w:tblPr>
        <w:tblStyle w:val="TableGrid"/>
        <w:tblW w:w="9558" w:type="dxa"/>
        <w:tblLayout w:type="fixed"/>
        <w:tblLook w:val="04A0" w:firstRow="1" w:lastRow="0" w:firstColumn="1" w:lastColumn="0" w:noHBand="0" w:noVBand="1"/>
      </w:tblPr>
      <w:tblGrid>
        <w:gridCol w:w="9558"/>
      </w:tblGrid>
      <w:tr w:rsidR="00885BA6" w:rsidRPr="00F00D94" w14:paraId="4FBF98F2" w14:textId="77777777" w:rsidTr="009F1483">
        <w:tc>
          <w:tcPr>
            <w:tcW w:w="9558" w:type="dxa"/>
          </w:tcPr>
          <w:p w14:paraId="5E7976EF" w14:textId="77777777" w:rsidR="00885BA6" w:rsidRDefault="00885BA6"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4D49B8B" w14:textId="77777777" w:rsidR="00885BA6" w:rsidRPr="00AC7B25" w:rsidRDefault="00885BA6"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6A1C51B3" w14:textId="18AFAB97" w:rsidR="008B4BCE" w:rsidRPr="008B4BCE" w:rsidRDefault="008B4BCE" w:rsidP="008B4BCE">
            <w:pPr>
              <w:pStyle w:val="ListParagraph"/>
              <w:widowControl w:val="0"/>
              <w:numPr>
                <w:ilvl w:val="2"/>
                <w:numId w:val="45"/>
              </w:numPr>
              <w:tabs>
                <w:tab w:val="left" w:pos="1539"/>
              </w:tabs>
              <w:suppressAutoHyphens w:val="0"/>
              <w:adjustRightInd/>
              <w:ind w:left="703"/>
              <w:rPr>
                <w:rFonts w:ascii="Arial" w:hAnsi="Arial" w:cs="Arial"/>
                <w:sz w:val="20"/>
                <w:szCs w:val="20"/>
              </w:rPr>
            </w:pPr>
            <w:r w:rsidRPr="008B4BCE">
              <w:rPr>
                <w:rFonts w:ascii="Arial" w:hAnsi="Arial" w:cs="Arial"/>
                <w:sz w:val="20"/>
                <w:szCs w:val="20"/>
              </w:rPr>
              <w:t>Review the PHA’s tenant selection</w:t>
            </w:r>
            <w:r w:rsidRPr="008B4BCE">
              <w:rPr>
                <w:rFonts w:ascii="Arial" w:hAnsi="Arial" w:cs="Arial"/>
                <w:spacing w:val="-17"/>
                <w:sz w:val="20"/>
                <w:szCs w:val="20"/>
              </w:rPr>
              <w:t xml:space="preserve"> </w:t>
            </w:r>
            <w:r w:rsidRPr="008B4BCE">
              <w:rPr>
                <w:rFonts w:ascii="Arial" w:hAnsi="Arial" w:cs="Arial"/>
                <w:spacing w:val="-3"/>
                <w:sz w:val="20"/>
                <w:szCs w:val="20"/>
              </w:rPr>
              <w:t>policies.</w:t>
            </w:r>
          </w:p>
          <w:p w14:paraId="5B772375" w14:textId="77777777" w:rsidR="008B4BCE" w:rsidRPr="008B4BCE" w:rsidRDefault="008B4BCE" w:rsidP="008B4BCE">
            <w:pPr>
              <w:pStyle w:val="BodyText"/>
              <w:rPr>
                <w:rFonts w:ascii="Arial" w:hAnsi="Arial" w:cs="Arial"/>
                <w:sz w:val="20"/>
                <w:szCs w:val="20"/>
              </w:rPr>
            </w:pPr>
          </w:p>
          <w:p w14:paraId="04981AC5" w14:textId="77777777" w:rsidR="008B4BCE" w:rsidRPr="008B4BCE" w:rsidRDefault="008B4BCE" w:rsidP="008B4BCE">
            <w:pPr>
              <w:pStyle w:val="ListParagraph"/>
              <w:widowControl w:val="0"/>
              <w:numPr>
                <w:ilvl w:val="2"/>
                <w:numId w:val="45"/>
              </w:numPr>
              <w:suppressAutoHyphens w:val="0"/>
              <w:adjustRightInd/>
              <w:ind w:left="703" w:right="647" w:hanging="703"/>
              <w:jc w:val="both"/>
              <w:rPr>
                <w:rFonts w:ascii="Arial" w:hAnsi="Arial" w:cs="Arial"/>
                <w:sz w:val="20"/>
                <w:szCs w:val="20"/>
              </w:rPr>
            </w:pPr>
            <w:r w:rsidRPr="008B4BCE">
              <w:rPr>
                <w:rFonts w:ascii="Arial" w:hAnsi="Arial" w:cs="Arial"/>
                <w:sz w:val="20"/>
                <w:szCs w:val="20"/>
              </w:rPr>
              <w:t>Test a sample of applicants added to the waiting list and ascertain if the</w:t>
            </w:r>
            <w:r w:rsidRPr="008B4BCE">
              <w:rPr>
                <w:rFonts w:ascii="Arial" w:hAnsi="Arial" w:cs="Arial"/>
                <w:spacing w:val="-24"/>
                <w:sz w:val="20"/>
                <w:szCs w:val="20"/>
              </w:rPr>
              <w:t xml:space="preserve"> </w:t>
            </w:r>
            <w:r w:rsidRPr="008B4BCE">
              <w:rPr>
                <w:rFonts w:ascii="Arial" w:hAnsi="Arial" w:cs="Arial"/>
                <w:sz w:val="20"/>
                <w:szCs w:val="20"/>
              </w:rPr>
              <w:t>PHA’s tenant selection policies were followed when placing applicants on the waiting list.</w:t>
            </w:r>
          </w:p>
          <w:p w14:paraId="5A47B42F" w14:textId="77777777" w:rsidR="008B4BCE" w:rsidRPr="008B4BCE" w:rsidRDefault="008B4BCE" w:rsidP="008B4BCE">
            <w:pPr>
              <w:pStyle w:val="BodyText"/>
              <w:ind w:left="703" w:hanging="703"/>
              <w:rPr>
                <w:rFonts w:ascii="Arial" w:hAnsi="Arial" w:cs="Arial"/>
                <w:sz w:val="20"/>
                <w:szCs w:val="20"/>
              </w:rPr>
            </w:pPr>
          </w:p>
          <w:p w14:paraId="1B6012D8" w14:textId="4BA19511" w:rsidR="00885BA6" w:rsidRPr="001B6A61" w:rsidRDefault="008B4BCE" w:rsidP="0062713F">
            <w:pPr>
              <w:pStyle w:val="ListParagraph"/>
              <w:widowControl w:val="0"/>
              <w:numPr>
                <w:ilvl w:val="2"/>
                <w:numId w:val="45"/>
              </w:numPr>
              <w:suppressAutoHyphens w:val="0"/>
              <w:adjustRightInd/>
              <w:ind w:left="703" w:right="620" w:hanging="703"/>
              <w:jc w:val="both"/>
              <w:rPr>
                <w:rFonts w:ascii="Arial" w:hAnsi="Arial" w:cs="Arial"/>
                <w:b/>
                <w:bCs/>
                <w:sz w:val="20"/>
              </w:rPr>
            </w:pPr>
            <w:r w:rsidRPr="008B4BCE">
              <w:rPr>
                <w:rFonts w:ascii="Arial" w:hAnsi="Arial" w:cs="Arial"/>
                <w:sz w:val="20"/>
                <w:szCs w:val="20"/>
              </w:rPr>
              <w:t>Test</w:t>
            </w:r>
            <w:r w:rsidRPr="008B4BCE">
              <w:rPr>
                <w:rFonts w:ascii="Arial" w:hAnsi="Arial" w:cs="Arial"/>
                <w:spacing w:val="-5"/>
                <w:sz w:val="20"/>
                <w:szCs w:val="20"/>
              </w:rPr>
              <w:t xml:space="preserve"> </w:t>
            </w:r>
            <w:r w:rsidRPr="008B4BCE">
              <w:rPr>
                <w:rFonts w:ascii="Arial" w:hAnsi="Arial" w:cs="Arial"/>
                <w:sz w:val="20"/>
                <w:szCs w:val="20"/>
              </w:rPr>
              <w:t>a</w:t>
            </w:r>
            <w:r w:rsidRPr="008B4BCE">
              <w:rPr>
                <w:rFonts w:ascii="Arial" w:hAnsi="Arial" w:cs="Arial"/>
                <w:spacing w:val="-5"/>
                <w:sz w:val="20"/>
                <w:szCs w:val="20"/>
              </w:rPr>
              <w:t xml:space="preserve"> </w:t>
            </w:r>
            <w:r w:rsidRPr="008B4BCE">
              <w:rPr>
                <w:rFonts w:ascii="Arial" w:hAnsi="Arial" w:cs="Arial"/>
                <w:sz w:val="20"/>
                <w:szCs w:val="20"/>
              </w:rPr>
              <w:t>sample</w:t>
            </w:r>
            <w:r w:rsidRPr="008B4BCE">
              <w:rPr>
                <w:rFonts w:ascii="Arial" w:hAnsi="Arial" w:cs="Arial"/>
                <w:spacing w:val="-5"/>
                <w:sz w:val="20"/>
                <w:szCs w:val="20"/>
              </w:rPr>
              <w:t xml:space="preserve"> </w:t>
            </w:r>
            <w:r w:rsidRPr="008B4BCE">
              <w:rPr>
                <w:rFonts w:ascii="Arial" w:hAnsi="Arial" w:cs="Arial"/>
                <w:sz w:val="20"/>
                <w:szCs w:val="20"/>
              </w:rPr>
              <w:t>of</w:t>
            </w:r>
            <w:r w:rsidRPr="008B4BCE">
              <w:rPr>
                <w:rFonts w:ascii="Arial" w:hAnsi="Arial" w:cs="Arial"/>
                <w:spacing w:val="-5"/>
                <w:sz w:val="20"/>
                <w:szCs w:val="20"/>
              </w:rPr>
              <w:t xml:space="preserve"> </w:t>
            </w:r>
            <w:r w:rsidRPr="008B4BCE">
              <w:rPr>
                <w:rFonts w:ascii="Arial" w:hAnsi="Arial" w:cs="Arial"/>
                <w:sz w:val="20"/>
                <w:szCs w:val="20"/>
              </w:rPr>
              <w:t>new</w:t>
            </w:r>
            <w:r w:rsidRPr="008B4BCE">
              <w:rPr>
                <w:rFonts w:ascii="Arial" w:hAnsi="Arial" w:cs="Arial"/>
                <w:spacing w:val="-5"/>
                <w:sz w:val="20"/>
                <w:szCs w:val="20"/>
              </w:rPr>
              <w:t xml:space="preserve"> </w:t>
            </w:r>
            <w:r w:rsidRPr="008B4BCE">
              <w:rPr>
                <w:rFonts w:ascii="Arial" w:hAnsi="Arial" w:cs="Arial"/>
                <w:sz w:val="20"/>
                <w:szCs w:val="20"/>
              </w:rPr>
              <w:t>tenants</w:t>
            </w:r>
            <w:r w:rsidRPr="008B4BCE">
              <w:rPr>
                <w:rFonts w:ascii="Arial" w:hAnsi="Arial" w:cs="Arial"/>
                <w:spacing w:val="-6"/>
                <w:sz w:val="20"/>
                <w:szCs w:val="20"/>
              </w:rPr>
              <w:t xml:space="preserve"> </w:t>
            </w:r>
            <w:r w:rsidRPr="008B4BCE">
              <w:rPr>
                <w:rFonts w:ascii="Arial" w:hAnsi="Arial" w:cs="Arial"/>
                <w:sz w:val="20"/>
                <w:szCs w:val="20"/>
              </w:rPr>
              <w:t>to</w:t>
            </w:r>
            <w:r w:rsidRPr="008B4BCE">
              <w:rPr>
                <w:rFonts w:ascii="Arial" w:hAnsi="Arial" w:cs="Arial"/>
                <w:spacing w:val="-5"/>
                <w:sz w:val="20"/>
                <w:szCs w:val="20"/>
              </w:rPr>
              <w:t xml:space="preserve"> </w:t>
            </w:r>
            <w:r w:rsidRPr="008B4BCE">
              <w:rPr>
                <w:rFonts w:ascii="Arial" w:hAnsi="Arial" w:cs="Arial"/>
                <w:sz w:val="20"/>
                <w:szCs w:val="20"/>
              </w:rPr>
              <w:t>ascertain</w:t>
            </w:r>
            <w:r w:rsidRPr="008B4BCE">
              <w:rPr>
                <w:rFonts w:ascii="Arial" w:hAnsi="Arial" w:cs="Arial"/>
                <w:spacing w:val="-5"/>
                <w:sz w:val="20"/>
                <w:szCs w:val="20"/>
              </w:rPr>
              <w:t xml:space="preserve"> </w:t>
            </w:r>
            <w:r w:rsidRPr="008B4BCE">
              <w:rPr>
                <w:rFonts w:ascii="Arial" w:hAnsi="Arial" w:cs="Arial"/>
                <w:sz w:val="20"/>
                <w:szCs w:val="20"/>
              </w:rPr>
              <w:t>if</w:t>
            </w:r>
            <w:r w:rsidRPr="008B4BCE">
              <w:rPr>
                <w:rFonts w:ascii="Arial" w:hAnsi="Arial" w:cs="Arial"/>
                <w:spacing w:val="-5"/>
                <w:sz w:val="20"/>
                <w:szCs w:val="20"/>
              </w:rPr>
              <w:t xml:space="preserve"> </w:t>
            </w:r>
            <w:r w:rsidRPr="008B4BCE">
              <w:rPr>
                <w:rFonts w:ascii="Arial" w:hAnsi="Arial" w:cs="Arial"/>
                <w:sz w:val="20"/>
                <w:szCs w:val="20"/>
              </w:rPr>
              <w:t>they</w:t>
            </w:r>
            <w:r w:rsidRPr="008B4BCE">
              <w:rPr>
                <w:rFonts w:ascii="Arial" w:hAnsi="Arial" w:cs="Arial"/>
                <w:spacing w:val="-3"/>
                <w:sz w:val="20"/>
                <w:szCs w:val="20"/>
              </w:rPr>
              <w:t xml:space="preserve"> </w:t>
            </w:r>
            <w:r w:rsidRPr="008B4BCE">
              <w:rPr>
                <w:rFonts w:ascii="Arial" w:hAnsi="Arial" w:cs="Arial"/>
                <w:sz w:val="20"/>
                <w:szCs w:val="20"/>
              </w:rPr>
              <w:t>were</w:t>
            </w:r>
            <w:r w:rsidRPr="008B4BCE">
              <w:rPr>
                <w:rFonts w:ascii="Arial" w:hAnsi="Arial" w:cs="Arial"/>
                <w:spacing w:val="-6"/>
                <w:sz w:val="20"/>
                <w:szCs w:val="20"/>
              </w:rPr>
              <w:t xml:space="preserve"> </w:t>
            </w:r>
            <w:r w:rsidRPr="008B4BCE">
              <w:rPr>
                <w:rFonts w:ascii="Arial" w:hAnsi="Arial" w:cs="Arial"/>
                <w:sz w:val="20"/>
                <w:szCs w:val="20"/>
              </w:rPr>
              <w:t>selected</w:t>
            </w:r>
            <w:r w:rsidRPr="008B4BCE">
              <w:rPr>
                <w:rFonts w:ascii="Arial" w:hAnsi="Arial" w:cs="Arial"/>
                <w:spacing w:val="-4"/>
                <w:sz w:val="20"/>
                <w:szCs w:val="20"/>
              </w:rPr>
              <w:t xml:space="preserve"> </w:t>
            </w:r>
            <w:r w:rsidRPr="008B4BCE">
              <w:rPr>
                <w:rFonts w:ascii="Arial" w:hAnsi="Arial" w:cs="Arial"/>
                <w:sz w:val="20"/>
                <w:szCs w:val="20"/>
              </w:rPr>
              <w:t>from</w:t>
            </w:r>
            <w:r w:rsidRPr="008B4BCE">
              <w:rPr>
                <w:rFonts w:ascii="Arial" w:hAnsi="Arial" w:cs="Arial"/>
                <w:spacing w:val="-5"/>
                <w:sz w:val="20"/>
                <w:szCs w:val="20"/>
              </w:rPr>
              <w:t xml:space="preserve"> </w:t>
            </w:r>
            <w:r w:rsidRPr="008B4BCE">
              <w:rPr>
                <w:rFonts w:ascii="Arial" w:hAnsi="Arial" w:cs="Arial"/>
                <w:sz w:val="20"/>
                <w:szCs w:val="20"/>
              </w:rPr>
              <w:t>the</w:t>
            </w:r>
            <w:r w:rsidRPr="008B4BCE">
              <w:rPr>
                <w:rFonts w:ascii="Arial" w:hAnsi="Arial" w:cs="Arial"/>
                <w:spacing w:val="-1"/>
                <w:sz w:val="20"/>
                <w:szCs w:val="20"/>
              </w:rPr>
              <w:t xml:space="preserve"> </w:t>
            </w:r>
            <w:r w:rsidRPr="008B4BCE">
              <w:rPr>
                <w:rFonts w:ascii="Arial" w:hAnsi="Arial" w:cs="Arial"/>
                <w:sz w:val="20"/>
                <w:szCs w:val="20"/>
              </w:rPr>
              <w:t>waiting list in accordance with the PHA’s tenant selection</w:t>
            </w:r>
            <w:r w:rsidRPr="008B4BCE">
              <w:rPr>
                <w:rFonts w:ascii="Arial" w:hAnsi="Arial" w:cs="Arial"/>
                <w:spacing w:val="-6"/>
                <w:sz w:val="20"/>
                <w:szCs w:val="20"/>
              </w:rPr>
              <w:t xml:space="preserve"> </w:t>
            </w:r>
            <w:r w:rsidRPr="008B4BCE">
              <w:rPr>
                <w:rFonts w:ascii="Arial" w:hAnsi="Arial" w:cs="Arial"/>
                <w:sz w:val="20"/>
                <w:szCs w:val="20"/>
              </w:rPr>
              <w:t>policies.</w:t>
            </w:r>
          </w:p>
        </w:tc>
      </w:tr>
    </w:tbl>
    <w:p w14:paraId="045B69C3"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1F51C41" w14:textId="77777777" w:rsidR="00885BA6" w:rsidRPr="000706D1" w:rsidRDefault="00885BA6" w:rsidP="00885BA6">
      <w:pPr>
        <w:pStyle w:val="Heading3"/>
        <w:jc w:val="both"/>
        <w:rPr>
          <w:rFonts w:cs="Arial"/>
          <w:b w:val="0"/>
          <w:sz w:val="24"/>
          <w:szCs w:val="24"/>
        </w:rPr>
      </w:pPr>
      <w:bookmarkStart w:id="77" w:name="_Toc212473134"/>
      <w:r w:rsidRPr="000706D1">
        <w:rPr>
          <w:rFonts w:cs="Arial"/>
          <w:sz w:val="24"/>
          <w:szCs w:val="24"/>
        </w:rPr>
        <w:t>Audit Implications Summary</w:t>
      </w:r>
      <w:bookmarkEnd w:id="77"/>
    </w:p>
    <w:tbl>
      <w:tblPr>
        <w:tblStyle w:val="TableGrid"/>
        <w:tblW w:w="5000" w:type="pct"/>
        <w:tblLook w:val="04A0" w:firstRow="1" w:lastRow="0" w:firstColumn="1" w:lastColumn="0" w:noHBand="0" w:noVBand="1"/>
      </w:tblPr>
      <w:tblGrid>
        <w:gridCol w:w="9350"/>
      </w:tblGrid>
      <w:tr w:rsidR="00885BA6" w:rsidRPr="00F00D94" w14:paraId="588D8CD5" w14:textId="77777777" w:rsidTr="009F1483">
        <w:tc>
          <w:tcPr>
            <w:tcW w:w="5000" w:type="pct"/>
          </w:tcPr>
          <w:p w14:paraId="7349CF37" w14:textId="77777777" w:rsidR="00885BA6" w:rsidRDefault="00885BA6"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719F5681" w14:textId="77777777" w:rsidR="00885BA6" w:rsidRPr="006E46AD" w:rsidRDefault="00885BA6"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8C697DD" w14:textId="77777777" w:rsidR="00885BA6" w:rsidRPr="006E46AD" w:rsidRDefault="00885BA6" w:rsidP="008B4BCE">
            <w:pPr>
              <w:pStyle w:val="ListParagraph"/>
              <w:widowControl w:val="0"/>
              <w:numPr>
                <w:ilvl w:val="0"/>
                <w:numId w:val="4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5BCBCA5" w14:textId="77777777" w:rsidR="00885BA6" w:rsidRPr="006E46AD" w:rsidRDefault="00885BA6" w:rsidP="009F1483">
            <w:pPr>
              <w:widowControl w:val="0"/>
              <w:spacing w:after="240"/>
              <w:ind w:left="720"/>
              <w:jc w:val="both"/>
              <w:rPr>
                <w:rFonts w:ascii="Arial" w:hAnsi="Arial" w:cs="Arial"/>
                <w:b/>
                <w:sz w:val="20"/>
                <w:szCs w:val="20"/>
              </w:rPr>
            </w:pPr>
          </w:p>
          <w:p w14:paraId="749DEB17" w14:textId="77777777" w:rsidR="00885BA6" w:rsidRPr="006E46AD" w:rsidRDefault="00885BA6" w:rsidP="008B4BCE">
            <w:pPr>
              <w:widowControl w:val="0"/>
              <w:numPr>
                <w:ilvl w:val="0"/>
                <w:numId w:val="4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50D9CC" w14:textId="77777777" w:rsidR="00885BA6" w:rsidRPr="00F00D94" w:rsidRDefault="00885BA6" w:rsidP="009F1483">
            <w:pPr>
              <w:pStyle w:val="ListParagraph"/>
              <w:spacing w:after="240"/>
              <w:jc w:val="both"/>
              <w:rPr>
                <w:rFonts w:ascii="Arial" w:hAnsi="Arial" w:cs="Arial"/>
                <w:b/>
              </w:rPr>
            </w:pPr>
          </w:p>
          <w:p w14:paraId="5DC05E78" w14:textId="77777777" w:rsidR="00885BA6" w:rsidRPr="00F00D94" w:rsidRDefault="00885BA6" w:rsidP="008B4BCE">
            <w:pPr>
              <w:widowControl w:val="0"/>
              <w:numPr>
                <w:ilvl w:val="0"/>
                <w:numId w:val="4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7F508FF" w14:textId="77777777" w:rsidR="00885BA6" w:rsidRPr="00F00D94" w:rsidRDefault="00885BA6" w:rsidP="009F1483">
            <w:pPr>
              <w:pStyle w:val="ListParagraph"/>
              <w:spacing w:after="240"/>
              <w:jc w:val="both"/>
              <w:rPr>
                <w:rFonts w:ascii="Arial" w:hAnsi="Arial" w:cs="Arial"/>
                <w:b/>
              </w:rPr>
            </w:pPr>
          </w:p>
          <w:p w14:paraId="4E66EB96" w14:textId="77777777" w:rsidR="00885BA6" w:rsidRPr="00F00D94" w:rsidRDefault="00885BA6" w:rsidP="008B4BCE">
            <w:pPr>
              <w:widowControl w:val="0"/>
              <w:numPr>
                <w:ilvl w:val="0"/>
                <w:numId w:val="4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D68C83C" w14:textId="77777777" w:rsidR="00885BA6" w:rsidRPr="00F00D94" w:rsidRDefault="00885BA6" w:rsidP="009F1483">
            <w:pPr>
              <w:pStyle w:val="ListParagraph"/>
              <w:spacing w:after="240"/>
              <w:jc w:val="both"/>
              <w:rPr>
                <w:rFonts w:ascii="Arial" w:hAnsi="Arial" w:cs="Arial"/>
                <w:b/>
              </w:rPr>
            </w:pPr>
          </w:p>
          <w:p w14:paraId="17D69179" w14:textId="77777777" w:rsidR="00885BA6" w:rsidRPr="00F00D94" w:rsidRDefault="00885BA6" w:rsidP="008B4BCE">
            <w:pPr>
              <w:widowControl w:val="0"/>
              <w:numPr>
                <w:ilvl w:val="0"/>
                <w:numId w:val="4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D97831C" w14:textId="77777777" w:rsidR="00885BA6" w:rsidRPr="00F00D94" w:rsidRDefault="00885BA6" w:rsidP="009F1483">
            <w:pPr>
              <w:pStyle w:val="APStepItem"/>
              <w:numPr>
                <w:ilvl w:val="0"/>
                <w:numId w:val="0"/>
              </w:numPr>
              <w:spacing w:after="240"/>
              <w:rPr>
                <w:rFonts w:cs="Arial"/>
                <w:b/>
              </w:rPr>
            </w:pPr>
          </w:p>
        </w:tc>
      </w:tr>
    </w:tbl>
    <w:p w14:paraId="0D9DF262" w14:textId="77777777" w:rsidR="00885BA6" w:rsidRDefault="00885BA6" w:rsidP="00885BA6">
      <w:pPr>
        <w:pStyle w:val="Heading2"/>
        <w:jc w:val="both"/>
        <w:rPr>
          <w:rFonts w:cs="Arial"/>
          <w:sz w:val="24"/>
        </w:rPr>
        <w:sectPr w:rsidR="00885BA6" w:rsidSect="00885BA6">
          <w:headerReference w:type="default" r:id="rId86"/>
          <w:pgSz w:w="12240" w:h="15840" w:code="1"/>
          <w:pgMar w:top="1440" w:right="1440" w:bottom="1440" w:left="1440" w:header="720" w:footer="720" w:gutter="0"/>
          <w:cols w:space="720"/>
          <w:docGrid w:linePitch="360"/>
        </w:sectPr>
      </w:pPr>
    </w:p>
    <w:p w14:paraId="53B8DACD" w14:textId="57C09237" w:rsidR="00885BA6" w:rsidRPr="000706D1" w:rsidRDefault="00885BA6" w:rsidP="00885BA6">
      <w:pPr>
        <w:pStyle w:val="Heading2"/>
        <w:jc w:val="both"/>
        <w:rPr>
          <w:rFonts w:cs="Arial"/>
          <w:sz w:val="24"/>
        </w:rPr>
      </w:pPr>
      <w:bookmarkStart w:id="78" w:name="_Toc212473135"/>
      <w:r w:rsidRPr="000706D1">
        <w:rPr>
          <w:rFonts w:cs="Arial"/>
          <w:sz w:val="24"/>
        </w:rPr>
        <w:lastRenderedPageBreak/>
        <w:t>N</w:t>
      </w:r>
      <w:r w:rsidR="00AA09E4">
        <w:rPr>
          <w:rFonts w:cs="Arial"/>
          <w:sz w:val="24"/>
        </w:rPr>
        <w:t>3</w:t>
      </w:r>
      <w:r w:rsidRPr="000706D1">
        <w:rPr>
          <w:rFonts w:cs="Arial"/>
          <w:sz w:val="24"/>
        </w:rPr>
        <w:t>.  SPECIAL TESTS AND PROVISIONS</w:t>
      </w:r>
      <w:r w:rsidR="008B4BCE">
        <w:rPr>
          <w:rFonts w:cs="Arial"/>
          <w:sz w:val="24"/>
        </w:rPr>
        <w:t xml:space="preserve"> – TENANT PARTICIPATION FUNDS</w:t>
      </w:r>
      <w:bookmarkEnd w:id="78"/>
    </w:p>
    <w:p w14:paraId="75AEDCBC" w14:textId="77777777" w:rsidR="00885BA6" w:rsidRPr="000706D1" w:rsidRDefault="00885BA6" w:rsidP="00885BA6">
      <w:pPr>
        <w:pStyle w:val="Heading3"/>
        <w:jc w:val="both"/>
        <w:rPr>
          <w:rFonts w:cs="Arial"/>
          <w:sz w:val="24"/>
          <w:szCs w:val="24"/>
        </w:rPr>
      </w:pPr>
      <w:bookmarkStart w:id="79" w:name="_Toc212473136"/>
      <w:r w:rsidRPr="000706D1">
        <w:rPr>
          <w:rFonts w:cs="Arial"/>
          <w:sz w:val="24"/>
          <w:szCs w:val="24"/>
        </w:rPr>
        <w:t>OMB Compliance Requirements</w:t>
      </w:r>
      <w:bookmarkEnd w:id="79"/>
    </w:p>
    <w:p w14:paraId="50571893" w14:textId="77777777" w:rsidR="00885BA6" w:rsidRPr="005C1EBC"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856980B"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6D13B343" w14:textId="77777777" w:rsidR="00885BA6" w:rsidRPr="00F00D94" w:rsidRDefault="00885BA6" w:rsidP="00885BA6">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7D1064E" w14:textId="77777777" w:rsidR="00885BA6" w:rsidRPr="000706D1" w:rsidRDefault="00885BA6" w:rsidP="00885BA6">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18EBA6A5" w14:textId="09E2E40A" w:rsidR="00885BA6" w:rsidRDefault="008B4BCE" w:rsidP="008B4BCE">
      <w:pPr>
        <w:spacing w:after="240"/>
        <w:jc w:val="both"/>
        <w:rPr>
          <w:rFonts w:ascii="Arial" w:hAnsi="Arial" w:cs="Arial"/>
        </w:rPr>
      </w:pPr>
      <w:r w:rsidRPr="008B4BCE">
        <w:rPr>
          <w:rFonts w:ascii="Arial" w:hAnsi="Arial" w:cs="Arial"/>
        </w:rPr>
        <w:t>When tenant participation funds are provided to a PHA, the PHA must provide those funds to duly elected resident councils. Funding provided by a PHA to a duly elected resident council may be made only under a written agreement between the PHA and the resident council that includes a resident council budget. PHAs are permitted to fund $25 per unit per year for units represented by duly elected resident councils for resident services. Of this, $25, $15 per unit per year is provided to fund tenant participation activities. The agreement must require the local resident council to account to the PHA for the use of the funds and permit the PHA to inspect and audit the resident council’s financial records related to the agreement (24 CFR section 964.150).</w:t>
      </w:r>
    </w:p>
    <w:p w14:paraId="76BE5A09" w14:textId="4CED97DD" w:rsidR="008B4BCE" w:rsidRPr="008B4BCE" w:rsidRDefault="008B4BCE" w:rsidP="008B4BCE">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Public </w:t>
      </w:r>
      <w:r w:rsidR="007D76AB">
        <w:rPr>
          <w:rFonts w:ascii="Arial" w:hAnsi="Arial" w:cs="Arial"/>
          <w:bCs/>
          <w:i/>
          <w:iCs/>
        </w:rPr>
        <w:t>Housing Operating Fund</w:t>
      </w:r>
      <w:r w:rsidRPr="006C797F">
        <w:rPr>
          <w:rFonts w:ascii="Arial" w:hAnsi="Arial" w:cs="Arial"/>
          <w:bCs/>
          <w:i/>
          <w:iCs/>
        </w:rPr>
        <w:t>)</w:t>
      </w:r>
    </w:p>
    <w:p w14:paraId="6C1796CA" w14:textId="77777777" w:rsidR="00885BA6" w:rsidRPr="000706D1" w:rsidRDefault="00885BA6" w:rsidP="00885BA6">
      <w:pPr>
        <w:pStyle w:val="Heading3"/>
        <w:jc w:val="both"/>
        <w:rPr>
          <w:rFonts w:cs="Arial"/>
          <w:sz w:val="24"/>
          <w:szCs w:val="24"/>
        </w:rPr>
      </w:pPr>
      <w:bookmarkStart w:id="80" w:name="_Toc212473137"/>
      <w:r w:rsidRPr="000706D1">
        <w:rPr>
          <w:rFonts w:cs="Arial"/>
          <w:sz w:val="24"/>
          <w:szCs w:val="24"/>
        </w:rPr>
        <w:t>Additional Program Specific Information</w:t>
      </w:r>
      <w:bookmarkEnd w:id="80"/>
    </w:p>
    <w:p w14:paraId="3E3143A7" w14:textId="77777777" w:rsidR="00A3316B" w:rsidRPr="00AA5B05" w:rsidRDefault="00A3316B" w:rsidP="00A3316B">
      <w:pPr>
        <w:spacing w:after="240"/>
        <w:jc w:val="both"/>
        <w:rPr>
          <w:rFonts w:ascii="Arial" w:hAnsi="Arial" w:cs="Arial"/>
          <w:b/>
          <w:highlight w:val="yellow"/>
        </w:rPr>
      </w:pPr>
      <w:r w:rsidRPr="00AA5B05">
        <w:rPr>
          <w:rFonts w:ascii="Arial" w:hAnsi="Arial" w:cs="Arial"/>
          <w:b/>
          <w:highlight w:val="yellow"/>
        </w:rPr>
        <w:t>Add program specific requirements from:</w:t>
      </w:r>
    </w:p>
    <w:p w14:paraId="02FD248E" w14:textId="18967318"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7D76AB">
        <w:rPr>
          <w:rFonts w:ascii="Arial" w:hAnsi="Arial" w:cs="Arial"/>
          <w:b/>
          <w:highlight w:val="yellow"/>
        </w:rPr>
        <w:t>,</w:t>
      </w:r>
      <w:r>
        <w:rPr>
          <w:rFonts w:ascii="Arial" w:hAnsi="Arial" w:cs="Arial"/>
          <w:b/>
          <w:highlight w:val="yellow"/>
        </w:rPr>
        <w:t xml:space="preserve"> </w:t>
      </w:r>
    </w:p>
    <w:p w14:paraId="4470089E" w14:textId="77777777" w:rsidR="00A3316B" w:rsidRPr="00AA5B05" w:rsidRDefault="00A3316B" w:rsidP="00A3316B">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1907759D" w14:textId="77777777"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E37B4D7" w14:textId="77777777" w:rsidR="00A3316B" w:rsidRPr="00AA5B05" w:rsidRDefault="00A3316B" w:rsidP="00A3316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0AF12A4" w14:textId="77777777" w:rsidR="00885BA6" w:rsidRPr="000706D1" w:rsidRDefault="00885BA6" w:rsidP="00885BA6">
      <w:pPr>
        <w:pStyle w:val="Heading3"/>
        <w:jc w:val="both"/>
        <w:rPr>
          <w:rFonts w:cs="Arial"/>
          <w:sz w:val="24"/>
          <w:szCs w:val="24"/>
        </w:rPr>
      </w:pPr>
      <w:bookmarkStart w:id="81" w:name="_Toc212473138"/>
      <w:r w:rsidRPr="000706D1">
        <w:rPr>
          <w:rFonts w:cs="Arial"/>
          <w:sz w:val="24"/>
          <w:szCs w:val="24"/>
        </w:rPr>
        <w:lastRenderedPageBreak/>
        <w:t>Audit Objectives and Control Testing</w:t>
      </w:r>
      <w:bookmarkEnd w:id="81"/>
    </w:p>
    <w:p w14:paraId="176B031C" w14:textId="77777777" w:rsidR="00885BA6" w:rsidRPr="00F00D94" w:rsidRDefault="00885BA6" w:rsidP="00885BA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F63015D" w14:textId="77777777" w:rsidR="00885BA6" w:rsidRPr="00F00D94" w:rsidRDefault="00885BA6" w:rsidP="00885BA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43855D5" w14:textId="77777777" w:rsidR="00885BA6"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0418865" w14:textId="1C338842" w:rsidR="00885BA6" w:rsidRPr="008B4BCE" w:rsidRDefault="008B4BCE" w:rsidP="008B4BCE">
      <w:pPr>
        <w:pStyle w:val="ListParagraph"/>
        <w:numPr>
          <w:ilvl w:val="0"/>
          <w:numId w:val="4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B4BCE">
        <w:rPr>
          <w:rFonts w:ascii="Arial" w:hAnsi="Arial" w:cs="Arial"/>
        </w:rPr>
        <w:t>Determine whether the PHA has properly allocated tenant participation funds to resident councils and has determined that resident councils’ expenditures are adequately documented.</w:t>
      </w:r>
    </w:p>
    <w:p w14:paraId="171246A1" w14:textId="475128F2" w:rsidR="008B4BCE" w:rsidRPr="008B4BCE" w:rsidRDefault="008B4BCE" w:rsidP="008B4BCE">
      <w:pPr>
        <w:spacing w:after="240"/>
        <w:jc w:val="both"/>
        <w:rPr>
          <w:rFonts w:ascii="Arial" w:hAnsi="Arial" w:cs="Arial"/>
          <w:bCs/>
          <w:i/>
          <w:iCs/>
        </w:rPr>
      </w:pPr>
      <w:r w:rsidRPr="008B4BCE">
        <w:rPr>
          <w:rFonts w:ascii="Arial" w:hAnsi="Arial" w:cs="Arial"/>
          <w:bCs/>
          <w:i/>
          <w:iCs/>
        </w:rPr>
        <w:t>(Source: 202</w:t>
      </w:r>
      <w:r>
        <w:rPr>
          <w:rFonts w:ascii="Arial" w:hAnsi="Arial" w:cs="Arial"/>
          <w:bCs/>
          <w:i/>
          <w:iCs/>
        </w:rPr>
        <w:t>5</w:t>
      </w:r>
      <w:r w:rsidRPr="008B4BCE">
        <w:rPr>
          <w:rFonts w:ascii="Arial" w:hAnsi="Arial" w:cs="Arial"/>
          <w:bCs/>
          <w:i/>
          <w:iCs/>
        </w:rPr>
        <w:t xml:space="preserve"> OMB Compliance Supplement, Part 4, HUD, #14.850 Public </w:t>
      </w:r>
      <w:r w:rsidR="007D76AB">
        <w:rPr>
          <w:rFonts w:ascii="Arial" w:hAnsi="Arial" w:cs="Arial"/>
          <w:bCs/>
          <w:i/>
          <w:iCs/>
        </w:rPr>
        <w:t>Housing Operating Fund</w:t>
      </w:r>
      <w:r w:rsidRPr="008B4BCE">
        <w:rPr>
          <w:rFonts w:ascii="Arial" w:hAnsi="Arial" w:cs="Arial"/>
          <w:bCs/>
          <w:i/>
          <w:iCs/>
        </w:rPr>
        <w:t>)</w:t>
      </w:r>
    </w:p>
    <w:p w14:paraId="7D1A777C" w14:textId="77777777" w:rsidR="00885BA6" w:rsidRPr="00634FA3" w:rsidRDefault="00885BA6" w:rsidP="00885BA6">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85BA6" w:rsidRPr="00F00D94" w14:paraId="4DBC4F77" w14:textId="77777777" w:rsidTr="009F1483">
        <w:tc>
          <w:tcPr>
            <w:tcW w:w="5000" w:type="pct"/>
          </w:tcPr>
          <w:p w14:paraId="7B66C65B" w14:textId="77777777" w:rsidR="00885BA6" w:rsidRPr="006F5FFA" w:rsidRDefault="00885BA6"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0D48A12" w14:textId="77777777" w:rsidR="00885BA6" w:rsidRPr="00F00D94" w:rsidRDefault="00885BA6"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4C19580" w14:textId="77777777" w:rsidR="00885BA6" w:rsidRPr="00F00D94" w:rsidRDefault="00885BA6" w:rsidP="009F1483">
            <w:pPr>
              <w:pStyle w:val="AuditProcedureHeading"/>
              <w:spacing w:after="240"/>
              <w:jc w:val="both"/>
              <w:rPr>
                <w:rFonts w:cs="Arial"/>
                <w:b/>
                <w:bCs/>
                <w:szCs w:val="20"/>
                <w:u w:val="single"/>
              </w:rPr>
            </w:pPr>
          </w:p>
          <w:p w14:paraId="71913BD8" w14:textId="77777777" w:rsidR="00885BA6" w:rsidRPr="00F00D94" w:rsidRDefault="00885BA6"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BB1C055" w14:textId="77777777" w:rsidR="00885BA6" w:rsidRPr="00F00D94" w:rsidRDefault="00885BA6" w:rsidP="009F1483">
            <w:pPr>
              <w:pStyle w:val="AuditProcedureHeading"/>
              <w:spacing w:after="240"/>
              <w:jc w:val="both"/>
              <w:rPr>
                <w:rFonts w:cs="Arial"/>
                <w:b/>
                <w:bCs/>
                <w:szCs w:val="20"/>
                <w:u w:val="single"/>
              </w:rPr>
            </w:pPr>
          </w:p>
          <w:p w14:paraId="1D2C6841" w14:textId="77777777" w:rsidR="00885BA6" w:rsidRPr="00F00D94" w:rsidRDefault="00885BA6"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BA84454" w14:textId="77777777" w:rsidR="00885BA6" w:rsidRPr="00F00D94" w:rsidRDefault="00885BA6" w:rsidP="009F1483">
            <w:pPr>
              <w:spacing w:after="240"/>
              <w:jc w:val="both"/>
              <w:rPr>
                <w:rFonts w:ascii="Arial" w:hAnsi="Arial" w:cs="Arial"/>
                <w:b/>
                <w:sz w:val="20"/>
                <w:u w:val="single"/>
              </w:rPr>
            </w:pPr>
          </w:p>
          <w:p w14:paraId="115225A2" w14:textId="77777777" w:rsidR="00885BA6" w:rsidRPr="00F00D94" w:rsidRDefault="00885BA6"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77A6689" w14:textId="77777777" w:rsidR="00885BA6" w:rsidRPr="00C35E5F" w:rsidRDefault="00885BA6" w:rsidP="009F1483">
            <w:pPr>
              <w:spacing w:after="240"/>
              <w:jc w:val="both"/>
              <w:rPr>
                <w:rFonts w:ascii="Arial" w:eastAsiaTheme="minorHAnsi" w:hAnsi="Arial" w:cs="Arial"/>
                <w:sz w:val="20"/>
                <w:szCs w:val="20"/>
              </w:rPr>
            </w:pPr>
          </w:p>
        </w:tc>
      </w:tr>
    </w:tbl>
    <w:p w14:paraId="4C415CD3"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292E745" w14:textId="77777777" w:rsidR="00885BA6" w:rsidRPr="000706D1" w:rsidRDefault="00885BA6" w:rsidP="00885BA6">
      <w:pPr>
        <w:pStyle w:val="Heading3"/>
        <w:jc w:val="both"/>
        <w:rPr>
          <w:rFonts w:cs="Arial"/>
          <w:sz w:val="24"/>
          <w:szCs w:val="24"/>
        </w:rPr>
      </w:pPr>
      <w:bookmarkStart w:id="82" w:name="_Toc21247313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2"/>
    </w:p>
    <w:tbl>
      <w:tblPr>
        <w:tblStyle w:val="TableGrid"/>
        <w:tblW w:w="9558" w:type="dxa"/>
        <w:tblLayout w:type="fixed"/>
        <w:tblLook w:val="04A0" w:firstRow="1" w:lastRow="0" w:firstColumn="1" w:lastColumn="0" w:noHBand="0" w:noVBand="1"/>
      </w:tblPr>
      <w:tblGrid>
        <w:gridCol w:w="9558"/>
      </w:tblGrid>
      <w:tr w:rsidR="00885BA6" w:rsidRPr="00F00D94" w14:paraId="6BA12483" w14:textId="77777777" w:rsidTr="009F1483">
        <w:tc>
          <w:tcPr>
            <w:tcW w:w="9558" w:type="dxa"/>
          </w:tcPr>
          <w:p w14:paraId="58BEE2A9" w14:textId="77777777" w:rsidR="00885BA6" w:rsidRDefault="00885BA6"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E0A47C3" w14:textId="77777777" w:rsidR="00885BA6" w:rsidRPr="00AC7B25" w:rsidRDefault="00885BA6"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65B065B8" w14:textId="77777777" w:rsidR="008B4BCE" w:rsidRPr="008B4BCE" w:rsidRDefault="008B4BCE" w:rsidP="008B4BCE">
            <w:pPr>
              <w:pStyle w:val="ListParagraph"/>
              <w:numPr>
                <w:ilvl w:val="0"/>
                <w:numId w:val="48"/>
              </w:numPr>
              <w:spacing w:after="240"/>
              <w:ind w:left="703"/>
              <w:jc w:val="both"/>
              <w:rPr>
                <w:rFonts w:ascii="Arial" w:hAnsi="Arial" w:cs="Arial"/>
                <w:b/>
                <w:bCs/>
                <w:sz w:val="20"/>
                <w:szCs w:val="20"/>
              </w:rPr>
            </w:pPr>
            <w:r w:rsidRPr="008B4BCE">
              <w:rPr>
                <w:rFonts w:ascii="Arial" w:hAnsi="Arial" w:cs="Arial"/>
                <w:sz w:val="20"/>
                <w:szCs w:val="20"/>
              </w:rPr>
              <w:t>Review PHA project agreements and records to determine if funding provided</w:t>
            </w:r>
            <w:r w:rsidRPr="008B4BCE">
              <w:rPr>
                <w:rFonts w:ascii="Arial" w:hAnsi="Arial" w:cs="Arial"/>
                <w:spacing w:val="-26"/>
                <w:sz w:val="20"/>
                <w:szCs w:val="20"/>
              </w:rPr>
              <w:t xml:space="preserve"> </w:t>
            </w:r>
            <w:r w:rsidRPr="008B4BCE">
              <w:rPr>
                <w:rFonts w:ascii="Arial" w:hAnsi="Arial" w:cs="Arial"/>
                <w:sz w:val="20"/>
                <w:szCs w:val="20"/>
              </w:rPr>
              <w:t>for tenant participation has been allocated to resident councils in accordance with a written</w:t>
            </w:r>
            <w:r w:rsidRPr="008B4BCE">
              <w:rPr>
                <w:rFonts w:ascii="Arial" w:hAnsi="Arial" w:cs="Arial"/>
                <w:spacing w:val="-1"/>
                <w:sz w:val="20"/>
                <w:szCs w:val="20"/>
              </w:rPr>
              <w:t xml:space="preserve"> </w:t>
            </w:r>
            <w:r w:rsidRPr="008B4BCE">
              <w:rPr>
                <w:rFonts w:ascii="Arial" w:hAnsi="Arial" w:cs="Arial"/>
                <w:sz w:val="20"/>
                <w:szCs w:val="20"/>
              </w:rPr>
              <w:t>agreement.</w:t>
            </w:r>
          </w:p>
          <w:p w14:paraId="5B6FD091" w14:textId="1A9B551C" w:rsidR="008B4BCE" w:rsidRPr="001B6A61" w:rsidRDefault="008B4BCE" w:rsidP="008B4BCE">
            <w:pPr>
              <w:pStyle w:val="ListParagraph"/>
              <w:numPr>
                <w:ilvl w:val="0"/>
                <w:numId w:val="48"/>
              </w:numPr>
              <w:spacing w:after="240"/>
              <w:ind w:left="703"/>
              <w:jc w:val="both"/>
              <w:rPr>
                <w:rFonts w:ascii="Arial" w:hAnsi="Arial" w:cs="Arial"/>
                <w:b/>
                <w:bCs/>
                <w:sz w:val="20"/>
              </w:rPr>
            </w:pPr>
            <w:r w:rsidRPr="008B4BCE">
              <w:rPr>
                <w:rFonts w:ascii="Arial" w:hAnsi="Arial" w:cs="Arial"/>
                <w:sz w:val="20"/>
                <w:szCs w:val="20"/>
              </w:rPr>
              <w:lastRenderedPageBreak/>
              <w:t>Test a sample of the expenditures and supporting documentation reported to the PHA to determine if resident council expenditures are consistent with the resident council</w:t>
            </w:r>
            <w:r w:rsidRPr="008B4BCE">
              <w:rPr>
                <w:rFonts w:ascii="Arial" w:hAnsi="Arial" w:cs="Arial"/>
                <w:spacing w:val="-1"/>
                <w:sz w:val="20"/>
                <w:szCs w:val="20"/>
              </w:rPr>
              <w:t xml:space="preserve"> </w:t>
            </w:r>
            <w:r w:rsidRPr="008B4BCE">
              <w:rPr>
                <w:rFonts w:ascii="Arial" w:hAnsi="Arial" w:cs="Arial"/>
                <w:sz w:val="20"/>
                <w:szCs w:val="20"/>
              </w:rPr>
              <w:t>budget.</w:t>
            </w:r>
          </w:p>
        </w:tc>
      </w:tr>
    </w:tbl>
    <w:p w14:paraId="2002ADA1"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1CBACAB" w14:textId="77777777" w:rsidR="00885BA6" w:rsidRPr="000706D1" w:rsidRDefault="00885BA6" w:rsidP="00885BA6">
      <w:pPr>
        <w:pStyle w:val="Heading3"/>
        <w:jc w:val="both"/>
        <w:rPr>
          <w:rFonts w:cs="Arial"/>
          <w:b w:val="0"/>
          <w:sz w:val="24"/>
          <w:szCs w:val="24"/>
        </w:rPr>
      </w:pPr>
      <w:bookmarkStart w:id="83" w:name="_Toc212473140"/>
      <w:r w:rsidRPr="000706D1">
        <w:rPr>
          <w:rFonts w:cs="Arial"/>
          <w:sz w:val="24"/>
          <w:szCs w:val="24"/>
        </w:rPr>
        <w:t>Audit Implications Summary</w:t>
      </w:r>
      <w:bookmarkEnd w:id="83"/>
    </w:p>
    <w:tbl>
      <w:tblPr>
        <w:tblStyle w:val="TableGrid"/>
        <w:tblW w:w="5000" w:type="pct"/>
        <w:tblLook w:val="04A0" w:firstRow="1" w:lastRow="0" w:firstColumn="1" w:lastColumn="0" w:noHBand="0" w:noVBand="1"/>
      </w:tblPr>
      <w:tblGrid>
        <w:gridCol w:w="9350"/>
      </w:tblGrid>
      <w:tr w:rsidR="00885BA6" w:rsidRPr="00F00D94" w14:paraId="2F7DAD21" w14:textId="77777777" w:rsidTr="009F1483">
        <w:tc>
          <w:tcPr>
            <w:tcW w:w="5000" w:type="pct"/>
          </w:tcPr>
          <w:p w14:paraId="1DABD1EC" w14:textId="77777777" w:rsidR="00885BA6" w:rsidRDefault="00885BA6"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3A10E3E" w14:textId="77777777" w:rsidR="00885BA6" w:rsidRPr="006E46AD" w:rsidRDefault="00885BA6"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4AC539D" w14:textId="77777777" w:rsidR="00885BA6" w:rsidRPr="006E46AD" w:rsidRDefault="00885BA6" w:rsidP="008B4BCE">
            <w:pPr>
              <w:pStyle w:val="ListParagraph"/>
              <w:widowControl w:val="0"/>
              <w:numPr>
                <w:ilvl w:val="0"/>
                <w:numId w:val="4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21087E0" w14:textId="77777777" w:rsidR="00885BA6" w:rsidRPr="006E46AD" w:rsidRDefault="00885BA6" w:rsidP="009F1483">
            <w:pPr>
              <w:widowControl w:val="0"/>
              <w:spacing w:after="240"/>
              <w:ind w:left="720"/>
              <w:jc w:val="both"/>
              <w:rPr>
                <w:rFonts w:ascii="Arial" w:hAnsi="Arial" w:cs="Arial"/>
                <w:b/>
                <w:sz w:val="20"/>
                <w:szCs w:val="20"/>
              </w:rPr>
            </w:pPr>
          </w:p>
          <w:p w14:paraId="5F396E0C" w14:textId="77777777" w:rsidR="00885BA6" w:rsidRPr="006E46AD" w:rsidRDefault="00885BA6" w:rsidP="008B4BCE">
            <w:pPr>
              <w:widowControl w:val="0"/>
              <w:numPr>
                <w:ilvl w:val="0"/>
                <w:numId w:val="4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93F9BC0" w14:textId="77777777" w:rsidR="00885BA6" w:rsidRPr="00F00D94" w:rsidRDefault="00885BA6" w:rsidP="009F1483">
            <w:pPr>
              <w:pStyle w:val="ListParagraph"/>
              <w:spacing w:after="240"/>
              <w:jc w:val="both"/>
              <w:rPr>
                <w:rFonts w:ascii="Arial" w:hAnsi="Arial" w:cs="Arial"/>
                <w:b/>
              </w:rPr>
            </w:pPr>
          </w:p>
          <w:p w14:paraId="5846E2F9" w14:textId="77777777" w:rsidR="00885BA6" w:rsidRPr="00F00D94" w:rsidRDefault="00885BA6" w:rsidP="008B4BCE">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27E5C93" w14:textId="77777777" w:rsidR="00885BA6" w:rsidRPr="00F00D94" w:rsidRDefault="00885BA6" w:rsidP="009F1483">
            <w:pPr>
              <w:pStyle w:val="ListParagraph"/>
              <w:spacing w:after="240"/>
              <w:jc w:val="both"/>
              <w:rPr>
                <w:rFonts w:ascii="Arial" w:hAnsi="Arial" w:cs="Arial"/>
                <w:b/>
              </w:rPr>
            </w:pPr>
          </w:p>
          <w:p w14:paraId="34B23F61" w14:textId="77777777" w:rsidR="00885BA6" w:rsidRPr="00F00D94" w:rsidRDefault="00885BA6" w:rsidP="008B4BCE">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5364D1F" w14:textId="77777777" w:rsidR="00885BA6" w:rsidRPr="00F00D94" w:rsidRDefault="00885BA6" w:rsidP="009F1483">
            <w:pPr>
              <w:pStyle w:val="ListParagraph"/>
              <w:spacing w:after="240"/>
              <w:jc w:val="both"/>
              <w:rPr>
                <w:rFonts w:ascii="Arial" w:hAnsi="Arial" w:cs="Arial"/>
                <w:b/>
              </w:rPr>
            </w:pPr>
          </w:p>
          <w:p w14:paraId="7F3972C7" w14:textId="77777777" w:rsidR="00885BA6" w:rsidRPr="00F00D94" w:rsidRDefault="00885BA6" w:rsidP="008B4BCE">
            <w:pPr>
              <w:widowControl w:val="0"/>
              <w:numPr>
                <w:ilvl w:val="0"/>
                <w:numId w:val="4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9F5384C" w14:textId="77777777" w:rsidR="00885BA6" w:rsidRPr="00F00D94" w:rsidRDefault="00885BA6" w:rsidP="009F1483">
            <w:pPr>
              <w:pStyle w:val="APStepItem"/>
              <w:numPr>
                <w:ilvl w:val="0"/>
                <w:numId w:val="0"/>
              </w:numPr>
              <w:spacing w:after="240"/>
              <w:rPr>
                <w:rFonts w:cs="Arial"/>
                <w:b/>
              </w:rPr>
            </w:pPr>
          </w:p>
        </w:tc>
      </w:tr>
    </w:tbl>
    <w:p w14:paraId="07AB872E" w14:textId="77777777" w:rsidR="00885BA6" w:rsidRDefault="00885BA6" w:rsidP="00885BA6">
      <w:pPr>
        <w:pStyle w:val="Heading2"/>
        <w:jc w:val="both"/>
        <w:rPr>
          <w:rFonts w:cs="Arial"/>
          <w:sz w:val="24"/>
        </w:rPr>
        <w:sectPr w:rsidR="00885BA6" w:rsidSect="00885BA6">
          <w:headerReference w:type="default" r:id="rId88"/>
          <w:pgSz w:w="12240" w:h="15840" w:code="1"/>
          <w:pgMar w:top="1440" w:right="1440" w:bottom="1440" w:left="1440" w:header="720" w:footer="720" w:gutter="0"/>
          <w:cols w:space="720"/>
          <w:docGrid w:linePitch="360"/>
        </w:sectPr>
      </w:pPr>
    </w:p>
    <w:p w14:paraId="73DC6DFD" w14:textId="3C1CA502" w:rsidR="00885BA6" w:rsidRPr="000706D1" w:rsidRDefault="00885BA6" w:rsidP="00885BA6">
      <w:pPr>
        <w:pStyle w:val="Heading2"/>
        <w:jc w:val="both"/>
        <w:rPr>
          <w:rFonts w:cs="Arial"/>
          <w:sz w:val="24"/>
        </w:rPr>
      </w:pPr>
      <w:bookmarkStart w:id="84" w:name="_Toc212473141"/>
      <w:r w:rsidRPr="000706D1">
        <w:rPr>
          <w:rFonts w:cs="Arial"/>
          <w:sz w:val="24"/>
        </w:rPr>
        <w:lastRenderedPageBreak/>
        <w:t>N</w:t>
      </w:r>
      <w:r w:rsidR="00AA09E4">
        <w:rPr>
          <w:rFonts w:cs="Arial"/>
          <w:sz w:val="24"/>
        </w:rPr>
        <w:t>4</w:t>
      </w:r>
      <w:r w:rsidRPr="000706D1">
        <w:rPr>
          <w:rFonts w:cs="Arial"/>
          <w:sz w:val="24"/>
        </w:rPr>
        <w:t>.  SPECIAL TESTS AND PROVISIONS</w:t>
      </w:r>
      <w:r w:rsidR="00AA09E4">
        <w:rPr>
          <w:rFonts w:cs="Arial"/>
          <w:sz w:val="24"/>
        </w:rPr>
        <w:t xml:space="preserve"> – PROJECT-BASED BUDGETING AND ACCOUNTING</w:t>
      </w:r>
      <w:bookmarkEnd w:id="84"/>
    </w:p>
    <w:p w14:paraId="6A748369" w14:textId="77777777" w:rsidR="00885BA6" w:rsidRPr="000706D1" w:rsidRDefault="00885BA6" w:rsidP="00885BA6">
      <w:pPr>
        <w:pStyle w:val="Heading3"/>
        <w:jc w:val="both"/>
        <w:rPr>
          <w:rFonts w:cs="Arial"/>
          <w:sz w:val="24"/>
          <w:szCs w:val="24"/>
        </w:rPr>
      </w:pPr>
      <w:bookmarkStart w:id="85" w:name="_Toc212473142"/>
      <w:r w:rsidRPr="000706D1">
        <w:rPr>
          <w:rFonts w:cs="Arial"/>
          <w:sz w:val="24"/>
          <w:szCs w:val="24"/>
        </w:rPr>
        <w:t>OMB Compliance Requirements</w:t>
      </w:r>
      <w:bookmarkEnd w:id="85"/>
    </w:p>
    <w:p w14:paraId="12E240C5" w14:textId="77777777" w:rsidR="00885BA6" w:rsidRPr="005C1EBC"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0CDB6F15"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59411DDE" w14:textId="77777777" w:rsidR="00885BA6" w:rsidRPr="00F00D94" w:rsidRDefault="00885BA6" w:rsidP="00885BA6">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223B20E" w14:textId="77777777" w:rsidR="00885BA6" w:rsidRPr="000706D1" w:rsidRDefault="00885BA6" w:rsidP="00885BA6">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1124D26" w14:textId="0D517A6E" w:rsidR="00AA09E4" w:rsidRPr="00AA09E4" w:rsidRDefault="00AA09E4" w:rsidP="001364E4">
      <w:pPr>
        <w:pStyle w:val="BodyText"/>
        <w:jc w:val="both"/>
        <w:rPr>
          <w:rFonts w:ascii="Arial" w:hAnsi="Arial" w:cs="Arial"/>
        </w:rPr>
      </w:pPr>
      <w:r w:rsidRPr="00AA09E4">
        <w:rPr>
          <w:rFonts w:ascii="Arial" w:hAnsi="Arial" w:cs="Arial"/>
        </w:rPr>
        <w:t>PHAs implementing asset management shall develop and maintain a system of budgeting and accounting for each project in a manner that allows for analysis of actual revenues and expenses associated with each property (24 CFR section 990.280(a)). Prior to the beginning of its fiscal year, a PHA is required to prepare an operating budget. The PHA’s Board of Commissioners is required to review and approve the budget by resolution. The PHA is not required to submit the budget to HUD unless specifically requested under special circumstances. The approved board budget resolution must be submitted to HUD (24 CFR section 990.315(a)).</w:t>
      </w:r>
    </w:p>
    <w:p w14:paraId="738CA821" w14:textId="77777777" w:rsidR="00AA09E4" w:rsidRPr="00AA09E4" w:rsidRDefault="00AA09E4" w:rsidP="001364E4">
      <w:pPr>
        <w:pStyle w:val="BodyText"/>
        <w:jc w:val="both"/>
        <w:rPr>
          <w:rFonts w:ascii="Arial" w:hAnsi="Arial" w:cs="Arial"/>
        </w:rPr>
      </w:pPr>
      <w:r w:rsidRPr="00AA09E4">
        <w:rPr>
          <w:rFonts w:ascii="Arial" w:hAnsi="Arial" w:cs="Arial"/>
        </w:rPr>
        <w:t>Financial information to be budgeted and accounted for at a project level shall include all data needed to complete a project-based FDS following GAAP, including revenues, expenses, assets, liabilities, and equity data (24 CFR section 990.280(b)(1)).</w:t>
      </w:r>
    </w:p>
    <w:p w14:paraId="037021F7" w14:textId="77777777" w:rsidR="00AA09E4" w:rsidRPr="00AA09E4" w:rsidRDefault="00AA09E4" w:rsidP="001364E4">
      <w:pPr>
        <w:pStyle w:val="BodyText"/>
        <w:jc w:val="both"/>
        <w:rPr>
          <w:rFonts w:ascii="Arial" w:hAnsi="Arial" w:cs="Arial"/>
        </w:rPr>
      </w:pPr>
      <w:r w:rsidRPr="00AA09E4">
        <w:rPr>
          <w:rFonts w:ascii="Arial" w:hAnsi="Arial" w:cs="Arial"/>
        </w:rPr>
        <w:t>Tracking financial performance at the project level under project-based accounting provides information necessary to make effective decisions at the project level. PHAs may only charge projects for services received. For example, in accounting for project costs, PHAs will not be permitted to spread the cost of central maintenance across all projects (24 CFR section 990.280 and 2 CFR 200.405).</w:t>
      </w:r>
    </w:p>
    <w:p w14:paraId="2A85A99A" w14:textId="276F08BA" w:rsidR="00885BA6" w:rsidRPr="00AA09E4" w:rsidRDefault="00AA09E4" w:rsidP="001364E4">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Public </w:t>
      </w:r>
      <w:r w:rsidR="007D76AB">
        <w:rPr>
          <w:rFonts w:ascii="Arial" w:hAnsi="Arial" w:cs="Arial"/>
          <w:bCs/>
          <w:i/>
          <w:iCs/>
        </w:rPr>
        <w:t>Housing Operating Fund</w:t>
      </w:r>
      <w:r w:rsidRPr="006C797F">
        <w:rPr>
          <w:rFonts w:ascii="Arial" w:hAnsi="Arial" w:cs="Arial"/>
          <w:bCs/>
          <w:i/>
          <w:iCs/>
        </w:rPr>
        <w:t>)</w:t>
      </w:r>
    </w:p>
    <w:p w14:paraId="64C855A1" w14:textId="77777777" w:rsidR="00885BA6" w:rsidRPr="000706D1" w:rsidRDefault="00885BA6" w:rsidP="00885BA6">
      <w:pPr>
        <w:pStyle w:val="Heading3"/>
        <w:jc w:val="both"/>
        <w:rPr>
          <w:rFonts w:cs="Arial"/>
          <w:sz w:val="24"/>
          <w:szCs w:val="24"/>
        </w:rPr>
      </w:pPr>
      <w:bookmarkStart w:id="86" w:name="_Toc212473143"/>
      <w:r w:rsidRPr="000706D1">
        <w:rPr>
          <w:rFonts w:cs="Arial"/>
          <w:sz w:val="24"/>
          <w:szCs w:val="24"/>
        </w:rPr>
        <w:t>Additional Program Specific Information</w:t>
      </w:r>
      <w:bookmarkEnd w:id="86"/>
    </w:p>
    <w:p w14:paraId="74068FA4" w14:textId="77777777" w:rsidR="00A3316B" w:rsidRPr="00AA5B05" w:rsidRDefault="00A3316B" w:rsidP="00A3316B">
      <w:pPr>
        <w:spacing w:after="240"/>
        <w:jc w:val="both"/>
        <w:rPr>
          <w:rFonts w:ascii="Arial" w:hAnsi="Arial" w:cs="Arial"/>
          <w:b/>
          <w:highlight w:val="yellow"/>
        </w:rPr>
      </w:pPr>
      <w:r w:rsidRPr="00AA5B05">
        <w:rPr>
          <w:rFonts w:ascii="Arial" w:hAnsi="Arial" w:cs="Arial"/>
          <w:b/>
          <w:highlight w:val="yellow"/>
        </w:rPr>
        <w:t>Add program specific requirements from:</w:t>
      </w:r>
    </w:p>
    <w:p w14:paraId="3AC16E81" w14:textId="0442D64F"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1364E4">
        <w:rPr>
          <w:rFonts w:ascii="Arial" w:hAnsi="Arial" w:cs="Arial"/>
          <w:b/>
          <w:highlight w:val="yellow"/>
        </w:rPr>
        <w:t>,</w:t>
      </w:r>
      <w:r>
        <w:rPr>
          <w:rFonts w:ascii="Arial" w:hAnsi="Arial" w:cs="Arial"/>
          <w:b/>
          <w:highlight w:val="yellow"/>
        </w:rPr>
        <w:t xml:space="preserve"> </w:t>
      </w:r>
    </w:p>
    <w:p w14:paraId="29B9224E" w14:textId="77777777" w:rsidR="00A3316B" w:rsidRPr="00AA5B05" w:rsidRDefault="00A3316B" w:rsidP="00A3316B">
      <w:pPr>
        <w:pStyle w:val="ListParagraph"/>
        <w:numPr>
          <w:ilvl w:val="0"/>
          <w:numId w:val="32"/>
        </w:numPr>
        <w:spacing w:after="240"/>
        <w:jc w:val="both"/>
        <w:rPr>
          <w:rFonts w:ascii="Arial" w:hAnsi="Arial" w:cs="Arial"/>
          <w:b/>
          <w:highlight w:val="yellow"/>
        </w:rPr>
      </w:pPr>
      <w:r>
        <w:rPr>
          <w:rFonts w:ascii="Arial" w:hAnsi="Arial" w:cs="Arial"/>
          <w:b/>
          <w:highlight w:val="yellow"/>
        </w:rPr>
        <w:lastRenderedPageBreak/>
        <w:t>T</w:t>
      </w:r>
      <w:r w:rsidRPr="00AA5B05">
        <w:rPr>
          <w:rFonts w:ascii="Arial" w:hAnsi="Arial" w:cs="Arial"/>
          <w:b/>
          <w:highlight w:val="yellow"/>
        </w:rPr>
        <w:t>he pass-through agency</w:t>
      </w:r>
      <w:r>
        <w:rPr>
          <w:rFonts w:ascii="Arial" w:hAnsi="Arial" w:cs="Arial"/>
          <w:b/>
          <w:highlight w:val="yellow"/>
        </w:rPr>
        <w:t>, and</w:t>
      </w:r>
    </w:p>
    <w:p w14:paraId="3E65E334" w14:textId="77777777"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5CA05B3" w14:textId="77777777" w:rsidR="00A3316B" w:rsidRPr="00AA5B05" w:rsidRDefault="00A3316B" w:rsidP="00A3316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BBD8DB6" w14:textId="77777777" w:rsidR="00885BA6" w:rsidRPr="000706D1" w:rsidRDefault="00885BA6" w:rsidP="00885BA6">
      <w:pPr>
        <w:pStyle w:val="Heading3"/>
        <w:jc w:val="both"/>
        <w:rPr>
          <w:rFonts w:cs="Arial"/>
          <w:sz w:val="24"/>
          <w:szCs w:val="24"/>
        </w:rPr>
      </w:pPr>
      <w:bookmarkStart w:id="87" w:name="_Toc212473144"/>
      <w:r w:rsidRPr="000706D1">
        <w:rPr>
          <w:rFonts w:cs="Arial"/>
          <w:sz w:val="24"/>
          <w:szCs w:val="24"/>
        </w:rPr>
        <w:t>Audit Objectives and Control Testing</w:t>
      </w:r>
      <w:bookmarkEnd w:id="87"/>
    </w:p>
    <w:p w14:paraId="21F23B70" w14:textId="77777777" w:rsidR="00885BA6" w:rsidRPr="00F00D94" w:rsidRDefault="00885BA6" w:rsidP="00885BA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4DEF3A1" w14:textId="77777777" w:rsidR="00885BA6" w:rsidRPr="00F00D94" w:rsidRDefault="00885BA6" w:rsidP="00885BA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8354D51" w14:textId="77777777" w:rsidR="00885BA6"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0FE3F080" w14:textId="4A2EBB94" w:rsidR="00885BA6" w:rsidRPr="00AA09E4" w:rsidRDefault="00AA09E4" w:rsidP="00AA09E4">
      <w:pPr>
        <w:pStyle w:val="ListParagraph"/>
        <w:numPr>
          <w:ilvl w:val="0"/>
          <w:numId w:val="4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AA09E4">
        <w:rPr>
          <w:rFonts w:ascii="Arial" w:hAnsi="Arial" w:cs="Arial"/>
        </w:rPr>
        <w:t>Determine whether each asset management PHA has implemented project-based budgeting and accounting.</w:t>
      </w:r>
    </w:p>
    <w:p w14:paraId="28E05170" w14:textId="74AADC6C" w:rsidR="00AA09E4" w:rsidRPr="00AA09E4" w:rsidRDefault="00AA09E4" w:rsidP="00AA09E4">
      <w:pPr>
        <w:spacing w:after="240"/>
        <w:jc w:val="both"/>
        <w:rPr>
          <w:rFonts w:ascii="Arial" w:hAnsi="Arial" w:cs="Arial"/>
          <w:bCs/>
          <w:i/>
          <w:iCs/>
        </w:rPr>
      </w:pPr>
      <w:r w:rsidRPr="00AA09E4">
        <w:rPr>
          <w:rFonts w:ascii="Arial" w:hAnsi="Arial" w:cs="Arial"/>
          <w:bCs/>
          <w:i/>
          <w:iCs/>
        </w:rPr>
        <w:t>(Source: 202</w:t>
      </w:r>
      <w:r>
        <w:rPr>
          <w:rFonts w:ascii="Arial" w:hAnsi="Arial" w:cs="Arial"/>
          <w:bCs/>
          <w:i/>
          <w:iCs/>
        </w:rPr>
        <w:t>5</w:t>
      </w:r>
      <w:r w:rsidRPr="00AA09E4">
        <w:rPr>
          <w:rFonts w:ascii="Arial" w:hAnsi="Arial" w:cs="Arial"/>
          <w:bCs/>
          <w:i/>
          <w:iCs/>
        </w:rPr>
        <w:t xml:space="preserve"> OMB Compliance Supplement, Part 4, HUD, #14.850 Public </w:t>
      </w:r>
      <w:r w:rsidR="007D76AB">
        <w:rPr>
          <w:rFonts w:ascii="Arial" w:hAnsi="Arial" w:cs="Arial"/>
          <w:bCs/>
          <w:i/>
          <w:iCs/>
        </w:rPr>
        <w:t>Housing Operating Fund</w:t>
      </w:r>
      <w:r w:rsidRPr="00AA09E4">
        <w:rPr>
          <w:rFonts w:ascii="Arial" w:hAnsi="Arial" w:cs="Arial"/>
          <w:bCs/>
          <w:i/>
          <w:iCs/>
        </w:rPr>
        <w:t>)</w:t>
      </w:r>
    </w:p>
    <w:p w14:paraId="368E0A55" w14:textId="77777777" w:rsidR="00885BA6" w:rsidRPr="00634FA3" w:rsidRDefault="00885BA6" w:rsidP="00885BA6">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85BA6" w:rsidRPr="00F00D94" w14:paraId="75D5F12A" w14:textId="77777777" w:rsidTr="009F1483">
        <w:tc>
          <w:tcPr>
            <w:tcW w:w="5000" w:type="pct"/>
          </w:tcPr>
          <w:p w14:paraId="022F42B0" w14:textId="77777777" w:rsidR="00885BA6" w:rsidRPr="006F5FFA" w:rsidRDefault="00885BA6"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A1E0B50" w14:textId="77777777" w:rsidR="00885BA6" w:rsidRPr="00F00D94" w:rsidRDefault="00885BA6"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DA4F0CE" w14:textId="77777777" w:rsidR="00885BA6" w:rsidRPr="00F00D94" w:rsidRDefault="00885BA6" w:rsidP="009F1483">
            <w:pPr>
              <w:pStyle w:val="AuditProcedureHeading"/>
              <w:spacing w:after="240"/>
              <w:jc w:val="both"/>
              <w:rPr>
                <w:rFonts w:cs="Arial"/>
                <w:b/>
                <w:bCs/>
                <w:szCs w:val="20"/>
                <w:u w:val="single"/>
              </w:rPr>
            </w:pPr>
          </w:p>
          <w:p w14:paraId="5BB6D92A" w14:textId="77777777" w:rsidR="00885BA6" w:rsidRPr="00F00D94" w:rsidRDefault="00885BA6"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0B6014B" w14:textId="77777777" w:rsidR="00885BA6" w:rsidRPr="00F00D94" w:rsidRDefault="00885BA6" w:rsidP="009F1483">
            <w:pPr>
              <w:pStyle w:val="AuditProcedureHeading"/>
              <w:spacing w:after="240"/>
              <w:jc w:val="both"/>
              <w:rPr>
                <w:rFonts w:cs="Arial"/>
                <w:b/>
                <w:bCs/>
                <w:szCs w:val="20"/>
                <w:u w:val="single"/>
              </w:rPr>
            </w:pPr>
          </w:p>
          <w:p w14:paraId="315C5657" w14:textId="77777777" w:rsidR="00885BA6" w:rsidRPr="00F00D94" w:rsidRDefault="00885BA6"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E691502" w14:textId="77777777" w:rsidR="00885BA6" w:rsidRPr="00F00D94" w:rsidRDefault="00885BA6" w:rsidP="009F1483">
            <w:pPr>
              <w:spacing w:after="240"/>
              <w:jc w:val="both"/>
              <w:rPr>
                <w:rFonts w:ascii="Arial" w:hAnsi="Arial" w:cs="Arial"/>
                <w:b/>
                <w:sz w:val="20"/>
                <w:u w:val="single"/>
              </w:rPr>
            </w:pPr>
          </w:p>
          <w:p w14:paraId="6057B98D" w14:textId="77777777" w:rsidR="00885BA6" w:rsidRPr="00F00D94" w:rsidRDefault="00885BA6"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0764F89" w14:textId="77777777" w:rsidR="00885BA6" w:rsidRPr="00C35E5F" w:rsidRDefault="00885BA6" w:rsidP="009F1483">
            <w:pPr>
              <w:spacing w:after="240"/>
              <w:jc w:val="both"/>
              <w:rPr>
                <w:rFonts w:ascii="Arial" w:eastAsiaTheme="minorHAnsi" w:hAnsi="Arial" w:cs="Arial"/>
                <w:sz w:val="20"/>
                <w:szCs w:val="20"/>
              </w:rPr>
            </w:pPr>
          </w:p>
        </w:tc>
      </w:tr>
    </w:tbl>
    <w:p w14:paraId="2B91D384"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46C4127" w14:textId="77777777" w:rsidR="00885BA6" w:rsidRPr="000706D1" w:rsidRDefault="00885BA6" w:rsidP="00885BA6">
      <w:pPr>
        <w:pStyle w:val="Heading3"/>
        <w:jc w:val="both"/>
        <w:rPr>
          <w:rFonts w:cs="Arial"/>
          <w:sz w:val="24"/>
          <w:szCs w:val="24"/>
        </w:rPr>
      </w:pPr>
      <w:bookmarkStart w:id="88" w:name="_Toc212473145"/>
      <w:r w:rsidRPr="000706D1">
        <w:rPr>
          <w:rFonts w:cs="Arial"/>
          <w:sz w:val="24"/>
          <w:szCs w:val="24"/>
        </w:rPr>
        <w:lastRenderedPageBreak/>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88"/>
    </w:p>
    <w:tbl>
      <w:tblPr>
        <w:tblStyle w:val="TableGrid"/>
        <w:tblW w:w="9558" w:type="dxa"/>
        <w:tblLayout w:type="fixed"/>
        <w:tblLook w:val="04A0" w:firstRow="1" w:lastRow="0" w:firstColumn="1" w:lastColumn="0" w:noHBand="0" w:noVBand="1"/>
      </w:tblPr>
      <w:tblGrid>
        <w:gridCol w:w="9558"/>
      </w:tblGrid>
      <w:tr w:rsidR="00885BA6" w:rsidRPr="00F00D94" w14:paraId="40CF99CA" w14:textId="77777777" w:rsidTr="009F1483">
        <w:tc>
          <w:tcPr>
            <w:tcW w:w="9558" w:type="dxa"/>
          </w:tcPr>
          <w:p w14:paraId="180C329D" w14:textId="77777777" w:rsidR="00885BA6" w:rsidRDefault="00885BA6"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FE626A" w14:textId="77777777" w:rsidR="00885BA6" w:rsidRPr="00AC7B25" w:rsidRDefault="00885BA6"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4758E067" w14:textId="77777777" w:rsidR="00AA09E4" w:rsidRPr="00AA09E4" w:rsidRDefault="00AA09E4" w:rsidP="00AA09E4">
            <w:pPr>
              <w:pStyle w:val="ListParagraph"/>
              <w:widowControl w:val="0"/>
              <w:numPr>
                <w:ilvl w:val="0"/>
                <w:numId w:val="50"/>
              </w:numPr>
              <w:tabs>
                <w:tab w:val="left" w:pos="2259"/>
                <w:tab w:val="left" w:pos="2260"/>
              </w:tabs>
              <w:suppressAutoHyphens w:val="0"/>
              <w:adjustRightInd/>
              <w:spacing w:before="1"/>
              <w:jc w:val="both"/>
              <w:rPr>
                <w:rFonts w:ascii="Arial" w:hAnsi="Arial" w:cs="Arial"/>
                <w:sz w:val="20"/>
                <w:szCs w:val="20"/>
              </w:rPr>
            </w:pPr>
            <w:r w:rsidRPr="00AA09E4">
              <w:rPr>
                <w:rFonts w:ascii="Arial" w:hAnsi="Arial" w:cs="Arial"/>
                <w:sz w:val="20"/>
                <w:szCs w:val="20"/>
              </w:rPr>
              <w:t>Obtain the PHA’s budget and determine if it is project</w:t>
            </w:r>
            <w:r w:rsidRPr="00AA09E4">
              <w:rPr>
                <w:rFonts w:ascii="Arial" w:hAnsi="Arial" w:cs="Arial"/>
                <w:spacing w:val="-20"/>
                <w:sz w:val="20"/>
                <w:szCs w:val="20"/>
              </w:rPr>
              <w:t xml:space="preserve"> </w:t>
            </w:r>
            <w:r w:rsidRPr="00AA09E4">
              <w:rPr>
                <w:rFonts w:ascii="Arial" w:hAnsi="Arial" w:cs="Arial"/>
                <w:spacing w:val="-3"/>
                <w:sz w:val="20"/>
                <w:szCs w:val="20"/>
              </w:rPr>
              <w:t>based.</w:t>
            </w:r>
          </w:p>
          <w:p w14:paraId="37A5B70B" w14:textId="77777777" w:rsidR="00AA09E4" w:rsidRPr="00AA09E4" w:rsidRDefault="00AA09E4" w:rsidP="00AA09E4">
            <w:pPr>
              <w:pStyle w:val="BodyText"/>
              <w:spacing w:before="11"/>
              <w:jc w:val="both"/>
              <w:rPr>
                <w:rFonts w:ascii="Arial" w:hAnsi="Arial" w:cs="Arial"/>
                <w:sz w:val="20"/>
                <w:szCs w:val="20"/>
              </w:rPr>
            </w:pPr>
          </w:p>
          <w:p w14:paraId="6B6C02DA" w14:textId="77777777" w:rsidR="00AA09E4" w:rsidRPr="00AA09E4" w:rsidRDefault="00AA09E4" w:rsidP="00AA09E4">
            <w:pPr>
              <w:pStyle w:val="ListParagraph"/>
              <w:widowControl w:val="0"/>
              <w:numPr>
                <w:ilvl w:val="0"/>
                <w:numId w:val="50"/>
              </w:numPr>
              <w:tabs>
                <w:tab w:val="left" w:pos="2259"/>
                <w:tab w:val="left" w:pos="2260"/>
              </w:tabs>
              <w:suppressAutoHyphens w:val="0"/>
              <w:adjustRightInd/>
              <w:ind w:right="545"/>
              <w:jc w:val="both"/>
              <w:rPr>
                <w:rFonts w:ascii="Arial" w:hAnsi="Arial" w:cs="Arial"/>
                <w:sz w:val="20"/>
                <w:szCs w:val="20"/>
              </w:rPr>
            </w:pPr>
            <w:r w:rsidRPr="00AA09E4">
              <w:rPr>
                <w:rFonts w:ascii="Arial" w:hAnsi="Arial" w:cs="Arial"/>
                <w:sz w:val="20"/>
                <w:szCs w:val="20"/>
              </w:rPr>
              <w:t>Confirm that the PHA maintains a board-approved budget, which was approved by</w:t>
            </w:r>
            <w:r w:rsidRPr="00AA09E4">
              <w:rPr>
                <w:rFonts w:ascii="Arial" w:hAnsi="Arial" w:cs="Arial"/>
                <w:spacing w:val="-5"/>
                <w:sz w:val="20"/>
                <w:szCs w:val="20"/>
              </w:rPr>
              <w:t xml:space="preserve"> </w:t>
            </w:r>
            <w:r w:rsidRPr="00AA09E4">
              <w:rPr>
                <w:rFonts w:ascii="Arial" w:hAnsi="Arial" w:cs="Arial"/>
                <w:sz w:val="20"/>
                <w:szCs w:val="20"/>
              </w:rPr>
              <w:t>a</w:t>
            </w:r>
            <w:r w:rsidRPr="00AA09E4">
              <w:rPr>
                <w:rFonts w:ascii="Arial" w:hAnsi="Arial" w:cs="Arial"/>
                <w:spacing w:val="-4"/>
                <w:sz w:val="20"/>
                <w:szCs w:val="20"/>
              </w:rPr>
              <w:t xml:space="preserve"> </w:t>
            </w:r>
            <w:r w:rsidRPr="00AA09E4">
              <w:rPr>
                <w:rFonts w:ascii="Arial" w:hAnsi="Arial" w:cs="Arial"/>
                <w:sz w:val="20"/>
                <w:szCs w:val="20"/>
              </w:rPr>
              <w:t>board</w:t>
            </w:r>
            <w:r w:rsidRPr="00AA09E4">
              <w:rPr>
                <w:rFonts w:ascii="Arial" w:hAnsi="Arial" w:cs="Arial"/>
                <w:spacing w:val="-4"/>
                <w:sz w:val="20"/>
                <w:szCs w:val="20"/>
              </w:rPr>
              <w:t xml:space="preserve"> </w:t>
            </w:r>
            <w:r w:rsidRPr="00AA09E4">
              <w:rPr>
                <w:rFonts w:ascii="Arial" w:hAnsi="Arial" w:cs="Arial"/>
                <w:sz w:val="20"/>
                <w:szCs w:val="20"/>
              </w:rPr>
              <w:t>resolution</w:t>
            </w:r>
            <w:r w:rsidRPr="00AA09E4">
              <w:rPr>
                <w:rFonts w:ascii="Arial" w:hAnsi="Arial" w:cs="Arial"/>
                <w:spacing w:val="-4"/>
                <w:sz w:val="20"/>
                <w:szCs w:val="20"/>
              </w:rPr>
              <w:t xml:space="preserve"> </w:t>
            </w:r>
            <w:r w:rsidRPr="00AA09E4">
              <w:rPr>
                <w:rFonts w:ascii="Arial" w:hAnsi="Arial" w:cs="Arial"/>
                <w:sz w:val="20"/>
                <w:szCs w:val="20"/>
              </w:rPr>
              <w:t>before</w:t>
            </w:r>
            <w:r w:rsidRPr="00AA09E4">
              <w:rPr>
                <w:rFonts w:ascii="Arial" w:hAnsi="Arial" w:cs="Arial"/>
                <w:spacing w:val="-6"/>
                <w:sz w:val="20"/>
                <w:szCs w:val="20"/>
              </w:rPr>
              <w:t xml:space="preserve"> </w:t>
            </w:r>
            <w:r w:rsidRPr="00AA09E4">
              <w:rPr>
                <w:rFonts w:ascii="Arial" w:hAnsi="Arial" w:cs="Arial"/>
                <w:sz w:val="20"/>
                <w:szCs w:val="20"/>
              </w:rPr>
              <w:t>the</w:t>
            </w:r>
            <w:r w:rsidRPr="00AA09E4">
              <w:rPr>
                <w:rFonts w:ascii="Arial" w:hAnsi="Arial" w:cs="Arial"/>
                <w:spacing w:val="-4"/>
                <w:sz w:val="20"/>
                <w:szCs w:val="20"/>
              </w:rPr>
              <w:t xml:space="preserve"> </w:t>
            </w:r>
            <w:r w:rsidRPr="00AA09E4">
              <w:rPr>
                <w:rFonts w:ascii="Arial" w:hAnsi="Arial" w:cs="Arial"/>
                <w:sz w:val="20"/>
                <w:szCs w:val="20"/>
              </w:rPr>
              <w:t>beginning</w:t>
            </w:r>
            <w:r w:rsidRPr="00AA09E4">
              <w:rPr>
                <w:rFonts w:ascii="Arial" w:hAnsi="Arial" w:cs="Arial"/>
                <w:spacing w:val="-4"/>
                <w:sz w:val="20"/>
                <w:szCs w:val="20"/>
              </w:rPr>
              <w:t xml:space="preserve"> </w:t>
            </w:r>
            <w:r w:rsidRPr="00AA09E4">
              <w:rPr>
                <w:rFonts w:ascii="Arial" w:hAnsi="Arial" w:cs="Arial"/>
                <w:sz w:val="20"/>
                <w:szCs w:val="20"/>
              </w:rPr>
              <w:t>of</w:t>
            </w:r>
            <w:r w:rsidRPr="00AA09E4">
              <w:rPr>
                <w:rFonts w:ascii="Arial" w:hAnsi="Arial" w:cs="Arial"/>
                <w:spacing w:val="-6"/>
                <w:sz w:val="20"/>
                <w:szCs w:val="20"/>
              </w:rPr>
              <w:t xml:space="preserve"> </w:t>
            </w:r>
            <w:r w:rsidRPr="00AA09E4">
              <w:rPr>
                <w:rFonts w:ascii="Arial" w:hAnsi="Arial" w:cs="Arial"/>
                <w:sz w:val="20"/>
                <w:szCs w:val="20"/>
              </w:rPr>
              <w:t>the</w:t>
            </w:r>
            <w:r w:rsidRPr="00AA09E4">
              <w:rPr>
                <w:rFonts w:ascii="Arial" w:hAnsi="Arial" w:cs="Arial"/>
                <w:spacing w:val="-6"/>
                <w:sz w:val="20"/>
                <w:szCs w:val="20"/>
              </w:rPr>
              <w:t xml:space="preserve"> </w:t>
            </w:r>
            <w:r w:rsidRPr="00AA09E4">
              <w:rPr>
                <w:rFonts w:ascii="Arial" w:hAnsi="Arial" w:cs="Arial"/>
                <w:sz w:val="20"/>
                <w:szCs w:val="20"/>
              </w:rPr>
              <w:t>PHA’s</w:t>
            </w:r>
            <w:r w:rsidRPr="00AA09E4">
              <w:rPr>
                <w:rFonts w:ascii="Arial" w:hAnsi="Arial" w:cs="Arial"/>
                <w:spacing w:val="-5"/>
                <w:sz w:val="20"/>
                <w:szCs w:val="20"/>
              </w:rPr>
              <w:t xml:space="preserve"> </w:t>
            </w:r>
            <w:r w:rsidRPr="00AA09E4">
              <w:rPr>
                <w:rFonts w:ascii="Arial" w:hAnsi="Arial" w:cs="Arial"/>
                <w:sz w:val="20"/>
                <w:szCs w:val="20"/>
              </w:rPr>
              <w:t>fiscal</w:t>
            </w:r>
            <w:r w:rsidRPr="00AA09E4">
              <w:rPr>
                <w:rFonts w:ascii="Arial" w:hAnsi="Arial" w:cs="Arial"/>
                <w:spacing w:val="-1"/>
                <w:sz w:val="20"/>
                <w:szCs w:val="20"/>
              </w:rPr>
              <w:t xml:space="preserve"> </w:t>
            </w:r>
            <w:r w:rsidRPr="00AA09E4">
              <w:rPr>
                <w:rFonts w:ascii="Arial" w:hAnsi="Arial" w:cs="Arial"/>
                <w:spacing w:val="-4"/>
                <w:sz w:val="20"/>
                <w:szCs w:val="20"/>
              </w:rPr>
              <w:t>year.</w:t>
            </w:r>
          </w:p>
          <w:p w14:paraId="29B64794" w14:textId="77777777" w:rsidR="00AA09E4" w:rsidRPr="00AA09E4" w:rsidRDefault="00AA09E4" w:rsidP="00AA09E4">
            <w:pPr>
              <w:pStyle w:val="BodyText"/>
              <w:jc w:val="both"/>
              <w:rPr>
                <w:rFonts w:ascii="Arial" w:hAnsi="Arial" w:cs="Arial"/>
                <w:sz w:val="20"/>
                <w:szCs w:val="20"/>
              </w:rPr>
            </w:pPr>
          </w:p>
          <w:p w14:paraId="50E4BF46" w14:textId="77777777" w:rsidR="00AA09E4" w:rsidRPr="00AA09E4" w:rsidRDefault="00AA09E4" w:rsidP="00AA09E4">
            <w:pPr>
              <w:pStyle w:val="ListParagraph"/>
              <w:widowControl w:val="0"/>
              <w:numPr>
                <w:ilvl w:val="0"/>
                <w:numId w:val="50"/>
              </w:numPr>
              <w:tabs>
                <w:tab w:val="left" w:pos="2259"/>
                <w:tab w:val="left" w:pos="2260"/>
              </w:tabs>
              <w:suppressAutoHyphens w:val="0"/>
              <w:adjustRightInd/>
              <w:ind w:right="641"/>
              <w:jc w:val="both"/>
              <w:rPr>
                <w:rFonts w:ascii="Arial" w:hAnsi="Arial" w:cs="Arial"/>
                <w:sz w:val="20"/>
                <w:szCs w:val="20"/>
              </w:rPr>
            </w:pPr>
            <w:r w:rsidRPr="00AA09E4">
              <w:rPr>
                <w:rFonts w:ascii="Arial" w:hAnsi="Arial" w:cs="Arial"/>
                <w:sz w:val="20"/>
                <w:szCs w:val="20"/>
              </w:rPr>
              <w:t>Review</w:t>
            </w:r>
            <w:r w:rsidRPr="00AA09E4">
              <w:rPr>
                <w:rFonts w:ascii="Arial" w:hAnsi="Arial" w:cs="Arial"/>
                <w:spacing w:val="-7"/>
                <w:sz w:val="20"/>
                <w:szCs w:val="20"/>
              </w:rPr>
              <w:t xml:space="preserve"> </w:t>
            </w:r>
            <w:r w:rsidRPr="00AA09E4">
              <w:rPr>
                <w:rFonts w:ascii="Arial" w:hAnsi="Arial" w:cs="Arial"/>
                <w:spacing w:val="-4"/>
                <w:sz w:val="20"/>
                <w:szCs w:val="20"/>
              </w:rPr>
              <w:t>the</w:t>
            </w:r>
            <w:r w:rsidRPr="00AA09E4">
              <w:rPr>
                <w:rFonts w:ascii="Arial" w:hAnsi="Arial" w:cs="Arial"/>
                <w:spacing w:val="-13"/>
                <w:sz w:val="20"/>
                <w:szCs w:val="20"/>
              </w:rPr>
              <w:t xml:space="preserve"> </w:t>
            </w:r>
            <w:r w:rsidRPr="00AA09E4">
              <w:rPr>
                <w:rFonts w:ascii="Arial" w:hAnsi="Arial" w:cs="Arial"/>
                <w:sz w:val="20"/>
                <w:szCs w:val="20"/>
              </w:rPr>
              <w:t>FDS</w:t>
            </w:r>
            <w:r w:rsidRPr="00AA09E4">
              <w:rPr>
                <w:rFonts w:ascii="Arial" w:hAnsi="Arial" w:cs="Arial"/>
                <w:spacing w:val="-7"/>
                <w:sz w:val="20"/>
                <w:szCs w:val="20"/>
              </w:rPr>
              <w:t xml:space="preserve"> </w:t>
            </w:r>
            <w:r w:rsidRPr="00AA09E4">
              <w:rPr>
                <w:rFonts w:ascii="Arial" w:hAnsi="Arial" w:cs="Arial"/>
                <w:sz w:val="20"/>
                <w:szCs w:val="20"/>
              </w:rPr>
              <w:t>and</w:t>
            </w:r>
            <w:r w:rsidRPr="00AA09E4">
              <w:rPr>
                <w:rFonts w:ascii="Arial" w:hAnsi="Arial" w:cs="Arial"/>
                <w:spacing w:val="-5"/>
                <w:sz w:val="20"/>
                <w:szCs w:val="20"/>
              </w:rPr>
              <w:t xml:space="preserve"> </w:t>
            </w:r>
            <w:r w:rsidRPr="00AA09E4">
              <w:rPr>
                <w:rFonts w:ascii="Arial" w:hAnsi="Arial" w:cs="Arial"/>
                <w:sz w:val="20"/>
                <w:szCs w:val="20"/>
              </w:rPr>
              <w:t>determine</w:t>
            </w:r>
            <w:r w:rsidRPr="00AA09E4">
              <w:rPr>
                <w:rFonts w:ascii="Arial" w:hAnsi="Arial" w:cs="Arial"/>
                <w:spacing w:val="-5"/>
                <w:sz w:val="20"/>
                <w:szCs w:val="20"/>
              </w:rPr>
              <w:t xml:space="preserve"> </w:t>
            </w:r>
            <w:r w:rsidRPr="00AA09E4">
              <w:rPr>
                <w:rFonts w:ascii="Arial" w:hAnsi="Arial" w:cs="Arial"/>
                <w:sz w:val="20"/>
                <w:szCs w:val="20"/>
              </w:rPr>
              <w:t>whether</w:t>
            </w:r>
            <w:r w:rsidRPr="00AA09E4">
              <w:rPr>
                <w:rFonts w:ascii="Arial" w:hAnsi="Arial" w:cs="Arial"/>
                <w:spacing w:val="-5"/>
                <w:sz w:val="20"/>
                <w:szCs w:val="20"/>
              </w:rPr>
              <w:t xml:space="preserve"> </w:t>
            </w:r>
            <w:r w:rsidRPr="00AA09E4">
              <w:rPr>
                <w:rFonts w:ascii="Arial" w:hAnsi="Arial" w:cs="Arial"/>
                <w:sz w:val="20"/>
                <w:szCs w:val="20"/>
              </w:rPr>
              <w:t>each</w:t>
            </w:r>
            <w:r w:rsidRPr="00AA09E4">
              <w:rPr>
                <w:rFonts w:ascii="Arial" w:hAnsi="Arial" w:cs="Arial"/>
                <w:spacing w:val="-5"/>
                <w:sz w:val="20"/>
                <w:szCs w:val="20"/>
              </w:rPr>
              <w:t xml:space="preserve"> </w:t>
            </w:r>
            <w:r w:rsidRPr="00AA09E4">
              <w:rPr>
                <w:rFonts w:ascii="Arial" w:hAnsi="Arial" w:cs="Arial"/>
                <w:sz w:val="20"/>
                <w:szCs w:val="20"/>
              </w:rPr>
              <w:t>project</w:t>
            </w:r>
            <w:r w:rsidRPr="00AA09E4">
              <w:rPr>
                <w:rFonts w:ascii="Arial" w:hAnsi="Arial" w:cs="Arial"/>
                <w:spacing w:val="-6"/>
                <w:sz w:val="20"/>
                <w:szCs w:val="20"/>
              </w:rPr>
              <w:t xml:space="preserve"> </w:t>
            </w:r>
            <w:r w:rsidRPr="00AA09E4">
              <w:rPr>
                <w:rFonts w:ascii="Arial" w:hAnsi="Arial" w:cs="Arial"/>
                <w:sz w:val="20"/>
                <w:szCs w:val="20"/>
              </w:rPr>
              <w:t>has</w:t>
            </w:r>
            <w:r w:rsidRPr="00AA09E4">
              <w:rPr>
                <w:rFonts w:ascii="Arial" w:hAnsi="Arial" w:cs="Arial"/>
                <w:spacing w:val="-7"/>
                <w:sz w:val="20"/>
                <w:szCs w:val="20"/>
              </w:rPr>
              <w:t xml:space="preserve"> </w:t>
            </w:r>
            <w:r w:rsidRPr="00AA09E4">
              <w:rPr>
                <w:rFonts w:ascii="Arial" w:hAnsi="Arial" w:cs="Arial"/>
                <w:sz w:val="20"/>
                <w:szCs w:val="20"/>
              </w:rPr>
              <w:t>its</w:t>
            </w:r>
            <w:r w:rsidRPr="00AA09E4">
              <w:rPr>
                <w:rFonts w:ascii="Arial" w:hAnsi="Arial" w:cs="Arial"/>
                <w:spacing w:val="-6"/>
                <w:sz w:val="20"/>
                <w:szCs w:val="20"/>
              </w:rPr>
              <w:t xml:space="preserve"> </w:t>
            </w:r>
            <w:r w:rsidRPr="00AA09E4">
              <w:rPr>
                <w:rFonts w:ascii="Arial" w:hAnsi="Arial" w:cs="Arial"/>
                <w:sz w:val="20"/>
                <w:szCs w:val="20"/>
              </w:rPr>
              <w:t>own</w:t>
            </w:r>
            <w:r w:rsidRPr="00AA09E4">
              <w:rPr>
                <w:rFonts w:ascii="Arial" w:hAnsi="Arial" w:cs="Arial"/>
                <w:spacing w:val="-4"/>
                <w:sz w:val="20"/>
                <w:szCs w:val="20"/>
              </w:rPr>
              <w:t xml:space="preserve"> </w:t>
            </w:r>
            <w:r w:rsidRPr="00AA09E4">
              <w:rPr>
                <w:rFonts w:ascii="Arial" w:hAnsi="Arial" w:cs="Arial"/>
                <w:sz w:val="20"/>
                <w:szCs w:val="20"/>
              </w:rPr>
              <w:t>column</w:t>
            </w:r>
            <w:r w:rsidRPr="00AA09E4">
              <w:rPr>
                <w:rFonts w:ascii="Arial" w:hAnsi="Arial" w:cs="Arial"/>
                <w:spacing w:val="-6"/>
                <w:sz w:val="20"/>
                <w:szCs w:val="20"/>
              </w:rPr>
              <w:t xml:space="preserve"> </w:t>
            </w:r>
            <w:r w:rsidRPr="00AA09E4">
              <w:rPr>
                <w:rFonts w:ascii="Arial" w:hAnsi="Arial" w:cs="Arial"/>
                <w:sz w:val="20"/>
                <w:szCs w:val="20"/>
              </w:rPr>
              <w:t>on</w:t>
            </w:r>
            <w:r w:rsidRPr="00AA09E4">
              <w:rPr>
                <w:rFonts w:ascii="Arial" w:hAnsi="Arial" w:cs="Arial"/>
                <w:spacing w:val="-1"/>
                <w:sz w:val="20"/>
                <w:szCs w:val="20"/>
              </w:rPr>
              <w:t xml:space="preserve"> </w:t>
            </w:r>
            <w:r w:rsidRPr="00AA09E4">
              <w:rPr>
                <w:rFonts w:ascii="Arial" w:hAnsi="Arial" w:cs="Arial"/>
                <w:sz w:val="20"/>
                <w:szCs w:val="20"/>
              </w:rPr>
              <w:t>the FDS.</w:t>
            </w:r>
          </w:p>
          <w:p w14:paraId="728AB758" w14:textId="77777777" w:rsidR="00AA09E4" w:rsidRPr="00AA09E4" w:rsidRDefault="00AA09E4" w:rsidP="00AA09E4">
            <w:pPr>
              <w:pStyle w:val="BodyText"/>
              <w:jc w:val="both"/>
              <w:rPr>
                <w:rFonts w:ascii="Arial" w:hAnsi="Arial" w:cs="Arial"/>
                <w:sz w:val="20"/>
                <w:szCs w:val="20"/>
              </w:rPr>
            </w:pPr>
          </w:p>
          <w:p w14:paraId="4EA89FC8" w14:textId="77777777" w:rsidR="00AA09E4" w:rsidRPr="00AA09E4" w:rsidRDefault="00AA09E4" w:rsidP="00AA09E4">
            <w:pPr>
              <w:pStyle w:val="ListParagraph"/>
              <w:widowControl w:val="0"/>
              <w:numPr>
                <w:ilvl w:val="0"/>
                <w:numId w:val="50"/>
              </w:numPr>
              <w:tabs>
                <w:tab w:val="left" w:pos="2259"/>
                <w:tab w:val="left" w:pos="2260"/>
              </w:tabs>
              <w:suppressAutoHyphens w:val="0"/>
              <w:adjustRightInd/>
              <w:ind w:right="530"/>
              <w:jc w:val="both"/>
              <w:rPr>
                <w:rFonts w:ascii="Arial" w:hAnsi="Arial" w:cs="Arial"/>
                <w:sz w:val="20"/>
                <w:szCs w:val="20"/>
              </w:rPr>
            </w:pPr>
            <w:r w:rsidRPr="00AA09E4">
              <w:rPr>
                <w:rFonts w:ascii="Arial" w:hAnsi="Arial" w:cs="Arial"/>
                <w:sz w:val="20"/>
                <w:szCs w:val="20"/>
              </w:rPr>
              <w:t xml:space="preserve">Review budget to actual reports. Verify that actual revenue and expenses associated with each </w:t>
            </w:r>
            <w:r w:rsidRPr="00AA09E4">
              <w:rPr>
                <w:rFonts w:ascii="Arial" w:hAnsi="Arial" w:cs="Arial"/>
                <w:spacing w:val="-4"/>
                <w:sz w:val="20"/>
                <w:szCs w:val="20"/>
              </w:rPr>
              <w:t xml:space="preserve">project </w:t>
            </w:r>
            <w:r w:rsidRPr="00AA09E4">
              <w:rPr>
                <w:rFonts w:ascii="Arial" w:hAnsi="Arial" w:cs="Arial"/>
                <w:sz w:val="20"/>
                <w:szCs w:val="20"/>
              </w:rPr>
              <w:t>are analyzed periodically by the PHA. Confirm that the PHA addresses significant variances between the budget and actual</w:t>
            </w:r>
            <w:r w:rsidRPr="00AA09E4">
              <w:rPr>
                <w:rFonts w:ascii="Arial" w:hAnsi="Arial" w:cs="Arial"/>
                <w:spacing w:val="-14"/>
                <w:sz w:val="20"/>
                <w:szCs w:val="20"/>
              </w:rPr>
              <w:t xml:space="preserve"> </w:t>
            </w:r>
            <w:r w:rsidRPr="00AA09E4">
              <w:rPr>
                <w:rFonts w:ascii="Arial" w:hAnsi="Arial" w:cs="Arial"/>
                <w:sz w:val="20"/>
                <w:szCs w:val="20"/>
              </w:rPr>
              <w:t>data.</w:t>
            </w:r>
          </w:p>
          <w:p w14:paraId="08124AE3" w14:textId="77777777" w:rsidR="00AA09E4" w:rsidRPr="001B6A61" w:rsidRDefault="00AA09E4" w:rsidP="009F1483">
            <w:pPr>
              <w:spacing w:after="240"/>
              <w:jc w:val="both"/>
              <w:rPr>
                <w:rFonts w:ascii="Arial" w:hAnsi="Arial" w:cs="Arial"/>
                <w:b/>
                <w:bCs/>
                <w:sz w:val="20"/>
              </w:rPr>
            </w:pPr>
          </w:p>
        </w:tc>
      </w:tr>
    </w:tbl>
    <w:p w14:paraId="774BC47A" w14:textId="77777777" w:rsidR="00885BA6" w:rsidRPr="00F00D94" w:rsidRDefault="00885BA6" w:rsidP="00885BA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0BD8451" w14:textId="77777777" w:rsidR="00885BA6" w:rsidRPr="000706D1" w:rsidRDefault="00885BA6" w:rsidP="00885BA6">
      <w:pPr>
        <w:pStyle w:val="Heading3"/>
        <w:jc w:val="both"/>
        <w:rPr>
          <w:rFonts w:cs="Arial"/>
          <w:b w:val="0"/>
          <w:sz w:val="24"/>
          <w:szCs w:val="24"/>
        </w:rPr>
      </w:pPr>
      <w:bookmarkStart w:id="89" w:name="_Toc212473146"/>
      <w:r w:rsidRPr="000706D1">
        <w:rPr>
          <w:rFonts w:cs="Arial"/>
          <w:sz w:val="24"/>
          <w:szCs w:val="24"/>
        </w:rPr>
        <w:t>Audit Implications Summary</w:t>
      </w:r>
      <w:bookmarkEnd w:id="89"/>
    </w:p>
    <w:tbl>
      <w:tblPr>
        <w:tblStyle w:val="TableGrid"/>
        <w:tblW w:w="5000" w:type="pct"/>
        <w:tblLook w:val="04A0" w:firstRow="1" w:lastRow="0" w:firstColumn="1" w:lastColumn="0" w:noHBand="0" w:noVBand="1"/>
      </w:tblPr>
      <w:tblGrid>
        <w:gridCol w:w="9350"/>
      </w:tblGrid>
      <w:tr w:rsidR="00885BA6" w:rsidRPr="00F00D94" w14:paraId="0DAF9ADE" w14:textId="77777777" w:rsidTr="009F1483">
        <w:tc>
          <w:tcPr>
            <w:tcW w:w="5000" w:type="pct"/>
          </w:tcPr>
          <w:p w14:paraId="7189E4F9" w14:textId="77777777" w:rsidR="00885BA6" w:rsidRDefault="00885BA6"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2222495" w14:textId="77777777" w:rsidR="00885BA6" w:rsidRPr="006E46AD" w:rsidRDefault="00885BA6"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2E25959" w14:textId="77777777" w:rsidR="00885BA6" w:rsidRPr="006E46AD" w:rsidRDefault="00885BA6" w:rsidP="00AA09E4">
            <w:pPr>
              <w:pStyle w:val="ListParagraph"/>
              <w:widowControl w:val="0"/>
              <w:numPr>
                <w:ilvl w:val="0"/>
                <w:numId w:val="5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8A706B" w14:textId="77777777" w:rsidR="00885BA6" w:rsidRPr="006E46AD" w:rsidRDefault="00885BA6" w:rsidP="009F1483">
            <w:pPr>
              <w:widowControl w:val="0"/>
              <w:spacing w:after="240"/>
              <w:ind w:left="720"/>
              <w:jc w:val="both"/>
              <w:rPr>
                <w:rFonts w:ascii="Arial" w:hAnsi="Arial" w:cs="Arial"/>
                <w:b/>
                <w:sz w:val="20"/>
                <w:szCs w:val="20"/>
              </w:rPr>
            </w:pPr>
          </w:p>
          <w:p w14:paraId="1A077E7C" w14:textId="77777777" w:rsidR="00885BA6" w:rsidRPr="006E46AD" w:rsidRDefault="00885BA6" w:rsidP="00AA09E4">
            <w:pPr>
              <w:widowControl w:val="0"/>
              <w:numPr>
                <w:ilvl w:val="0"/>
                <w:numId w:val="5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C8C1BB6" w14:textId="77777777" w:rsidR="00885BA6" w:rsidRPr="00F00D94" w:rsidRDefault="00885BA6" w:rsidP="009F1483">
            <w:pPr>
              <w:pStyle w:val="ListParagraph"/>
              <w:spacing w:after="240"/>
              <w:jc w:val="both"/>
              <w:rPr>
                <w:rFonts w:ascii="Arial" w:hAnsi="Arial" w:cs="Arial"/>
                <w:b/>
              </w:rPr>
            </w:pPr>
          </w:p>
          <w:p w14:paraId="160FE598" w14:textId="77777777" w:rsidR="00885BA6" w:rsidRPr="00F00D94" w:rsidRDefault="00885BA6" w:rsidP="00AA09E4">
            <w:pPr>
              <w:widowControl w:val="0"/>
              <w:numPr>
                <w:ilvl w:val="0"/>
                <w:numId w:val="5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AE7AED7" w14:textId="77777777" w:rsidR="00885BA6" w:rsidRPr="00F00D94" w:rsidRDefault="00885BA6" w:rsidP="009F1483">
            <w:pPr>
              <w:pStyle w:val="ListParagraph"/>
              <w:spacing w:after="240"/>
              <w:jc w:val="both"/>
              <w:rPr>
                <w:rFonts w:ascii="Arial" w:hAnsi="Arial" w:cs="Arial"/>
                <w:b/>
              </w:rPr>
            </w:pPr>
          </w:p>
          <w:p w14:paraId="252B57E8" w14:textId="77777777" w:rsidR="00885BA6" w:rsidRPr="00F00D94" w:rsidRDefault="00885BA6" w:rsidP="00AA09E4">
            <w:pPr>
              <w:widowControl w:val="0"/>
              <w:numPr>
                <w:ilvl w:val="0"/>
                <w:numId w:val="5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AD8250B" w14:textId="77777777" w:rsidR="00885BA6" w:rsidRPr="00F00D94" w:rsidRDefault="00885BA6" w:rsidP="009F1483">
            <w:pPr>
              <w:pStyle w:val="ListParagraph"/>
              <w:spacing w:after="240"/>
              <w:jc w:val="both"/>
              <w:rPr>
                <w:rFonts w:ascii="Arial" w:hAnsi="Arial" w:cs="Arial"/>
                <w:b/>
              </w:rPr>
            </w:pPr>
          </w:p>
          <w:p w14:paraId="2111CE98" w14:textId="77777777" w:rsidR="00885BA6" w:rsidRPr="00F00D94" w:rsidRDefault="00885BA6" w:rsidP="00AA09E4">
            <w:pPr>
              <w:widowControl w:val="0"/>
              <w:numPr>
                <w:ilvl w:val="0"/>
                <w:numId w:val="5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32F6E84" w14:textId="77777777" w:rsidR="00885BA6" w:rsidRPr="00F00D94" w:rsidRDefault="00885BA6" w:rsidP="009F1483">
            <w:pPr>
              <w:pStyle w:val="APStepItem"/>
              <w:numPr>
                <w:ilvl w:val="0"/>
                <w:numId w:val="0"/>
              </w:numPr>
              <w:spacing w:after="240"/>
              <w:rPr>
                <w:rFonts w:cs="Arial"/>
                <w:b/>
              </w:rPr>
            </w:pPr>
          </w:p>
        </w:tc>
      </w:tr>
    </w:tbl>
    <w:p w14:paraId="21F22790" w14:textId="77777777" w:rsidR="008B4BCE" w:rsidRDefault="008B4BCE" w:rsidP="008B4BCE">
      <w:pPr>
        <w:pStyle w:val="Heading2"/>
        <w:jc w:val="both"/>
        <w:rPr>
          <w:rFonts w:cs="Arial"/>
          <w:sz w:val="24"/>
        </w:rPr>
        <w:sectPr w:rsidR="008B4BCE" w:rsidSect="00885BA6">
          <w:headerReference w:type="default" r:id="rId90"/>
          <w:pgSz w:w="12240" w:h="15840" w:code="1"/>
          <w:pgMar w:top="1440" w:right="1440" w:bottom="1440" w:left="1440" w:header="720" w:footer="720" w:gutter="0"/>
          <w:cols w:space="720"/>
          <w:docGrid w:linePitch="360"/>
        </w:sectPr>
      </w:pPr>
    </w:p>
    <w:p w14:paraId="38B296CB" w14:textId="67BE9CEC" w:rsidR="008B4BCE" w:rsidRPr="000706D1" w:rsidRDefault="008B4BCE" w:rsidP="008B4BCE">
      <w:pPr>
        <w:pStyle w:val="Heading2"/>
        <w:jc w:val="both"/>
        <w:rPr>
          <w:rFonts w:cs="Arial"/>
          <w:sz w:val="24"/>
        </w:rPr>
      </w:pPr>
      <w:bookmarkStart w:id="90" w:name="_Toc212473147"/>
      <w:r w:rsidRPr="000706D1">
        <w:rPr>
          <w:rFonts w:cs="Arial"/>
          <w:sz w:val="24"/>
        </w:rPr>
        <w:lastRenderedPageBreak/>
        <w:t>N</w:t>
      </w:r>
      <w:r w:rsidR="005C5BD9">
        <w:rPr>
          <w:rFonts w:cs="Arial"/>
          <w:sz w:val="24"/>
        </w:rPr>
        <w:t>5</w:t>
      </w:r>
      <w:r w:rsidRPr="000706D1">
        <w:rPr>
          <w:rFonts w:cs="Arial"/>
          <w:sz w:val="24"/>
        </w:rPr>
        <w:t>.  SPECIAL TESTS AND PROVISIONS</w:t>
      </w:r>
      <w:r w:rsidR="005C5BD9">
        <w:rPr>
          <w:rFonts w:cs="Arial"/>
          <w:sz w:val="24"/>
        </w:rPr>
        <w:t xml:space="preserve"> – BALANCE SHEET ALLOCATIONS</w:t>
      </w:r>
      <w:bookmarkEnd w:id="90"/>
    </w:p>
    <w:p w14:paraId="364FC097" w14:textId="77777777" w:rsidR="008B4BCE" w:rsidRPr="000706D1" w:rsidRDefault="008B4BCE" w:rsidP="008B4BCE">
      <w:pPr>
        <w:pStyle w:val="Heading3"/>
        <w:jc w:val="both"/>
        <w:rPr>
          <w:rFonts w:cs="Arial"/>
          <w:sz w:val="24"/>
          <w:szCs w:val="24"/>
        </w:rPr>
      </w:pPr>
      <w:bookmarkStart w:id="91" w:name="_Toc212473148"/>
      <w:r w:rsidRPr="000706D1">
        <w:rPr>
          <w:rFonts w:cs="Arial"/>
          <w:sz w:val="24"/>
          <w:szCs w:val="24"/>
        </w:rPr>
        <w:t>OMB Compliance Requirements</w:t>
      </w:r>
      <w:bookmarkEnd w:id="91"/>
    </w:p>
    <w:p w14:paraId="2C9C2857" w14:textId="77777777" w:rsidR="008B4BCE" w:rsidRPr="005C1EBC"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7DC45004"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6F3EB56B" w14:textId="77777777" w:rsidR="008B4BCE" w:rsidRPr="00F00D94" w:rsidRDefault="008B4BCE" w:rsidP="008B4BCE">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3C2AF66" w14:textId="77777777" w:rsidR="008B4BCE" w:rsidRPr="000706D1" w:rsidRDefault="008B4BCE" w:rsidP="008B4BC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62C8A7F" w14:textId="196F1FFD" w:rsidR="000A7411" w:rsidRPr="000A7411" w:rsidRDefault="000A7411" w:rsidP="000A7411">
      <w:pPr>
        <w:spacing w:after="240"/>
        <w:jc w:val="both"/>
        <w:rPr>
          <w:rFonts w:ascii="Arial" w:hAnsi="Arial" w:cs="Arial"/>
          <w:b/>
          <w:highlight w:val="yellow"/>
        </w:rPr>
      </w:pPr>
      <w:r w:rsidRPr="00F93C0A">
        <w:rPr>
          <w:rFonts w:ascii="Arial" w:hAnsi="Arial" w:cs="Arial"/>
        </w:rPr>
        <w:t xml:space="preserve">PHAs implementing asset management using the COCC model must apportion their assets, liabilities, and equities to their projects and COCC at the time of conversion to project-based accounting. Most PHAs have already completed this process; however, some PHAs may still be establishing their COCC for the first time. Assets, liabilities, and associated net assets should be assigned to the applicable project or COCC if a direct relationship exists, including personal and real property. HUD has provided guidance on this subject in Section 4.3 in the </w:t>
      </w:r>
      <w:hyperlink r:id="rId91">
        <w:r w:rsidRPr="00F93C0A">
          <w:rPr>
            <w:rFonts w:ascii="Arial" w:hAnsi="Arial" w:cs="Arial"/>
            <w:color w:val="0000FF"/>
            <w:u w:val="single" w:color="0000FF"/>
          </w:rPr>
          <w:t>Supplement to Handbook 7475.1</w:t>
        </w:r>
      </w:hyperlink>
      <w:r w:rsidRPr="00F93C0A">
        <w:rPr>
          <w:rFonts w:ascii="Arial" w:hAnsi="Arial" w:cs="Arial"/>
          <w:color w:val="0000FF"/>
        </w:rPr>
        <w:t xml:space="preserve"> </w:t>
      </w:r>
      <w:r w:rsidRPr="00F93C0A">
        <w:rPr>
          <w:rFonts w:ascii="Arial" w:hAnsi="Arial" w:cs="Arial"/>
        </w:rPr>
        <w:t>and PIH Notice 2008-17, Guidance on Disposition of Excess Equipment and Non- Dwelling Real Property under Asset Management (24 CFR section 990.280(b)(1)).</w:t>
      </w:r>
    </w:p>
    <w:p w14:paraId="3239DB96" w14:textId="3814A923" w:rsidR="008B4BCE" w:rsidRPr="000A7411" w:rsidRDefault="000A7411" w:rsidP="000A7411">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w:t>
      </w:r>
      <w:r>
        <w:rPr>
          <w:rFonts w:ascii="Arial" w:hAnsi="Arial" w:cs="Arial"/>
          <w:bCs/>
          <w:i/>
          <w:iCs/>
        </w:rPr>
        <w:t>Public Housing Operating Fund</w:t>
      </w:r>
      <w:r w:rsidRPr="006C797F">
        <w:rPr>
          <w:rFonts w:ascii="Arial" w:hAnsi="Arial" w:cs="Arial"/>
          <w:bCs/>
          <w:i/>
          <w:iCs/>
        </w:rPr>
        <w:t>)</w:t>
      </w:r>
    </w:p>
    <w:p w14:paraId="70A9E7D3" w14:textId="77777777" w:rsidR="008B4BCE" w:rsidRPr="000706D1" w:rsidRDefault="008B4BCE" w:rsidP="008B4BCE">
      <w:pPr>
        <w:pStyle w:val="Heading3"/>
        <w:jc w:val="both"/>
        <w:rPr>
          <w:rFonts w:cs="Arial"/>
          <w:sz w:val="24"/>
          <w:szCs w:val="24"/>
        </w:rPr>
      </w:pPr>
      <w:bookmarkStart w:id="92" w:name="_Toc212473149"/>
      <w:r w:rsidRPr="000706D1">
        <w:rPr>
          <w:rFonts w:cs="Arial"/>
          <w:sz w:val="24"/>
          <w:szCs w:val="24"/>
        </w:rPr>
        <w:t>Additional Program Specific Information</w:t>
      </w:r>
      <w:bookmarkEnd w:id="92"/>
    </w:p>
    <w:p w14:paraId="1AA1F264" w14:textId="77777777" w:rsidR="00A3316B" w:rsidRPr="00AA5B05" w:rsidRDefault="00A3316B" w:rsidP="00A3316B">
      <w:pPr>
        <w:spacing w:after="240"/>
        <w:jc w:val="both"/>
        <w:rPr>
          <w:rFonts w:ascii="Arial" w:hAnsi="Arial" w:cs="Arial"/>
          <w:b/>
          <w:highlight w:val="yellow"/>
        </w:rPr>
      </w:pPr>
      <w:r w:rsidRPr="00AA5B05">
        <w:rPr>
          <w:rFonts w:ascii="Arial" w:hAnsi="Arial" w:cs="Arial"/>
          <w:b/>
          <w:highlight w:val="yellow"/>
        </w:rPr>
        <w:t>Add program specific requirements from:</w:t>
      </w:r>
    </w:p>
    <w:p w14:paraId="51DCB24E" w14:textId="52534DF0"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1364E4">
        <w:rPr>
          <w:rFonts w:ascii="Arial" w:hAnsi="Arial" w:cs="Arial"/>
          <w:b/>
          <w:highlight w:val="yellow"/>
        </w:rPr>
        <w:t>,</w:t>
      </w:r>
      <w:r>
        <w:rPr>
          <w:rFonts w:ascii="Arial" w:hAnsi="Arial" w:cs="Arial"/>
          <w:b/>
          <w:highlight w:val="yellow"/>
        </w:rPr>
        <w:t xml:space="preserve"> </w:t>
      </w:r>
    </w:p>
    <w:p w14:paraId="1AB13B39" w14:textId="77777777" w:rsidR="00A3316B" w:rsidRPr="00AA5B05" w:rsidRDefault="00A3316B" w:rsidP="00A3316B">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1C39A7DE" w14:textId="77777777"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AE99EED" w14:textId="77777777" w:rsidR="00A3316B" w:rsidRPr="00AA5B05" w:rsidRDefault="00A3316B" w:rsidP="00A3316B">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267038D" w14:textId="77777777" w:rsidR="008B4BCE" w:rsidRPr="000706D1" w:rsidRDefault="008B4BCE" w:rsidP="008B4BCE">
      <w:pPr>
        <w:pStyle w:val="Heading3"/>
        <w:jc w:val="both"/>
        <w:rPr>
          <w:rFonts w:cs="Arial"/>
          <w:sz w:val="24"/>
          <w:szCs w:val="24"/>
        </w:rPr>
      </w:pPr>
      <w:bookmarkStart w:id="93" w:name="_Toc212473150"/>
      <w:r w:rsidRPr="000706D1">
        <w:rPr>
          <w:rFonts w:cs="Arial"/>
          <w:sz w:val="24"/>
          <w:szCs w:val="24"/>
        </w:rPr>
        <w:lastRenderedPageBreak/>
        <w:t>Audit Objectives and Control Testing</w:t>
      </w:r>
      <w:bookmarkEnd w:id="93"/>
    </w:p>
    <w:p w14:paraId="75001B93" w14:textId="77777777" w:rsidR="008B4BCE" w:rsidRPr="00F00D94" w:rsidRDefault="008B4BCE" w:rsidP="008B4BC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02ED136" w14:textId="77777777" w:rsidR="008B4BCE" w:rsidRPr="00F00D94" w:rsidRDefault="008B4BCE" w:rsidP="008B4BC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F1CD35E" w14:textId="77777777" w:rsidR="008B4BCE"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FE59351" w14:textId="29E3BFA0" w:rsidR="008B4BCE" w:rsidRPr="000A7411" w:rsidRDefault="000A7411" w:rsidP="000A7411">
      <w:pPr>
        <w:pStyle w:val="ListParagraph"/>
        <w:numPr>
          <w:ilvl w:val="0"/>
          <w:numId w:val="52"/>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0A7411">
        <w:rPr>
          <w:rFonts w:ascii="Arial" w:hAnsi="Arial" w:cs="Arial"/>
        </w:rPr>
        <w:t>Determine if PHAs have apportioned their assets, liabilities, and equity between the projects and COCC.</w:t>
      </w:r>
    </w:p>
    <w:p w14:paraId="14FAA46E" w14:textId="504B9B2A" w:rsidR="000A7411" w:rsidRPr="000A7411" w:rsidRDefault="000A7411" w:rsidP="000A7411">
      <w:pPr>
        <w:spacing w:after="240"/>
        <w:jc w:val="both"/>
        <w:rPr>
          <w:rFonts w:ascii="Arial" w:hAnsi="Arial" w:cs="Arial"/>
          <w:bCs/>
          <w:i/>
          <w:iCs/>
        </w:rPr>
      </w:pPr>
      <w:r w:rsidRPr="000A7411">
        <w:rPr>
          <w:rFonts w:ascii="Arial" w:hAnsi="Arial" w:cs="Arial"/>
          <w:bCs/>
          <w:i/>
          <w:iCs/>
        </w:rPr>
        <w:t>(Source: 202</w:t>
      </w:r>
      <w:r>
        <w:rPr>
          <w:rFonts w:ascii="Arial" w:hAnsi="Arial" w:cs="Arial"/>
          <w:bCs/>
          <w:i/>
          <w:iCs/>
        </w:rPr>
        <w:t>5</w:t>
      </w:r>
      <w:r w:rsidRPr="000A7411">
        <w:rPr>
          <w:rFonts w:ascii="Arial" w:hAnsi="Arial" w:cs="Arial"/>
          <w:bCs/>
          <w:i/>
          <w:iCs/>
        </w:rPr>
        <w:t xml:space="preserve"> OMB Compliance Supplement, Part 4, HUD, #14.850 Public Housing Operating Fund)</w:t>
      </w:r>
    </w:p>
    <w:p w14:paraId="35515FEC" w14:textId="77777777" w:rsidR="008B4BCE" w:rsidRPr="00634FA3" w:rsidRDefault="008B4BCE" w:rsidP="008B4BC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B4BCE" w:rsidRPr="00F00D94" w14:paraId="01CBF7DB" w14:textId="77777777" w:rsidTr="009F1483">
        <w:tc>
          <w:tcPr>
            <w:tcW w:w="5000" w:type="pct"/>
          </w:tcPr>
          <w:p w14:paraId="0DD99DE1" w14:textId="77777777" w:rsidR="008B4BCE" w:rsidRPr="006F5FFA" w:rsidRDefault="008B4BCE"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08A7C9A"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BDB252C" w14:textId="77777777" w:rsidR="008B4BCE" w:rsidRPr="00F00D94" w:rsidRDefault="008B4BCE" w:rsidP="009F1483">
            <w:pPr>
              <w:pStyle w:val="AuditProcedureHeading"/>
              <w:spacing w:after="240"/>
              <w:jc w:val="both"/>
              <w:rPr>
                <w:rFonts w:cs="Arial"/>
                <w:b/>
                <w:bCs/>
                <w:szCs w:val="20"/>
                <w:u w:val="single"/>
              </w:rPr>
            </w:pPr>
          </w:p>
          <w:p w14:paraId="712DBAF5" w14:textId="77777777" w:rsidR="008B4BCE" w:rsidRPr="00F00D94" w:rsidRDefault="008B4BCE"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6A4F21" w14:textId="77777777" w:rsidR="008B4BCE" w:rsidRPr="00F00D94" w:rsidRDefault="008B4BCE" w:rsidP="009F1483">
            <w:pPr>
              <w:pStyle w:val="AuditProcedureHeading"/>
              <w:spacing w:after="240"/>
              <w:jc w:val="both"/>
              <w:rPr>
                <w:rFonts w:cs="Arial"/>
                <w:b/>
                <w:bCs/>
                <w:szCs w:val="20"/>
                <w:u w:val="single"/>
              </w:rPr>
            </w:pPr>
          </w:p>
          <w:p w14:paraId="436A5DDC"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9F9597" w14:textId="77777777" w:rsidR="008B4BCE" w:rsidRPr="00F00D94" w:rsidRDefault="008B4BCE" w:rsidP="009F1483">
            <w:pPr>
              <w:spacing w:after="240"/>
              <w:jc w:val="both"/>
              <w:rPr>
                <w:rFonts w:ascii="Arial" w:hAnsi="Arial" w:cs="Arial"/>
                <w:b/>
                <w:sz w:val="20"/>
                <w:u w:val="single"/>
              </w:rPr>
            </w:pPr>
          </w:p>
          <w:p w14:paraId="1F3ABC71" w14:textId="77777777" w:rsidR="008B4BCE" w:rsidRPr="00F00D94" w:rsidRDefault="008B4BCE"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B5BF4D2" w14:textId="77777777" w:rsidR="008B4BCE" w:rsidRPr="00C35E5F" w:rsidRDefault="008B4BCE" w:rsidP="009F1483">
            <w:pPr>
              <w:spacing w:after="240"/>
              <w:jc w:val="both"/>
              <w:rPr>
                <w:rFonts w:ascii="Arial" w:eastAsiaTheme="minorHAnsi" w:hAnsi="Arial" w:cs="Arial"/>
                <w:sz w:val="20"/>
                <w:szCs w:val="20"/>
              </w:rPr>
            </w:pPr>
          </w:p>
        </w:tc>
      </w:tr>
    </w:tbl>
    <w:p w14:paraId="08F03EB0"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03A1AD47" w14:textId="77777777" w:rsidR="008B4BCE" w:rsidRPr="000706D1" w:rsidRDefault="008B4BCE" w:rsidP="008B4BCE">
      <w:pPr>
        <w:pStyle w:val="Heading3"/>
        <w:jc w:val="both"/>
        <w:rPr>
          <w:rFonts w:cs="Arial"/>
          <w:sz w:val="24"/>
          <w:szCs w:val="24"/>
        </w:rPr>
      </w:pPr>
      <w:bookmarkStart w:id="94" w:name="_Toc21247315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94"/>
    </w:p>
    <w:tbl>
      <w:tblPr>
        <w:tblStyle w:val="TableGrid"/>
        <w:tblW w:w="9558" w:type="dxa"/>
        <w:tblLayout w:type="fixed"/>
        <w:tblLook w:val="04A0" w:firstRow="1" w:lastRow="0" w:firstColumn="1" w:lastColumn="0" w:noHBand="0" w:noVBand="1"/>
      </w:tblPr>
      <w:tblGrid>
        <w:gridCol w:w="9558"/>
      </w:tblGrid>
      <w:tr w:rsidR="008B4BCE" w:rsidRPr="00F00D94" w14:paraId="6ED6253A" w14:textId="77777777" w:rsidTr="009F1483">
        <w:tc>
          <w:tcPr>
            <w:tcW w:w="9558" w:type="dxa"/>
          </w:tcPr>
          <w:p w14:paraId="6C811DE6" w14:textId="77777777" w:rsidR="008B4BCE" w:rsidRDefault="008B4BCE"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064FC71" w14:textId="77777777" w:rsidR="008B4BCE" w:rsidRPr="00AC7B25" w:rsidRDefault="008B4BCE"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7ABDCBC8" w14:textId="77777777" w:rsidR="0062713F" w:rsidRPr="0062713F" w:rsidRDefault="0062713F" w:rsidP="0062713F">
            <w:pPr>
              <w:pStyle w:val="ListParagraph"/>
              <w:widowControl w:val="0"/>
              <w:numPr>
                <w:ilvl w:val="2"/>
                <w:numId w:val="84"/>
              </w:numPr>
              <w:tabs>
                <w:tab w:val="left" w:pos="793"/>
              </w:tabs>
              <w:suppressAutoHyphens w:val="0"/>
              <w:adjustRightInd/>
              <w:ind w:left="703" w:hanging="703"/>
              <w:jc w:val="both"/>
              <w:rPr>
                <w:rFonts w:ascii="Arial" w:hAnsi="Arial" w:cs="Arial"/>
                <w:sz w:val="20"/>
                <w:szCs w:val="20"/>
              </w:rPr>
            </w:pPr>
            <w:r w:rsidRPr="0062713F">
              <w:rPr>
                <w:rFonts w:ascii="Arial" w:hAnsi="Arial" w:cs="Arial"/>
                <w:sz w:val="20"/>
                <w:szCs w:val="20"/>
              </w:rPr>
              <w:t>Select a sample of assets, liabilities, and</w:t>
            </w:r>
            <w:r w:rsidRPr="0062713F">
              <w:rPr>
                <w:rFonts w:ascii="Arial" w:hAnsi="Arial" w:cs="Arial"/>
                <w:spacing w:val="-12"/>
                <w:sz w:val="20"/>
                <w:szCs w:val="20"/>
              </w:rPr>
              <w:t xml:space="preserve"> </w:t>
            </w:r>
            <w:r w:rsidRPr="0062713F">
              <w:rPr>
                <w:rFonts w:ascii="Arial" w:hAnsi="Arial" w:cs="Arial"/>
                <w:spacing w:val="-3"/>
                <w:sz w:val="20"/>
                <w:szCs w:val="20"/>
              </w:rPr>
              <w:t>equities.</w:t>
            </w:r>
          </w:p>
          <w:p w14:paraId="5E3F9FE1" w14:textId="77777777" w:rsidR="0062713F" w:rsidRPr="0062713F" w:rsidRDefault="0062713F" w:rsidP="0062713F">
            <w:pPr>
              <w:pStyle w:val="BodyText"/>
              <w:tabs>
                <w:tab w:val="left" w:pos="793"/>
              </w:tabs>
              <w:ind w:left="703" w:hanging="703"/>
              <w:jc w:val="both"/>
              <w:rPr>
                <w:rFonts w:ascii="Arial" w:hAnsi="Arial" w:cs="Arial"/>
                <w:sz w:val="20"/>
                <w:szCs w:val="20"/>
              </w:rPr>
            </w:pPr>
          </w:p>
          <w:p w14:paraId="2D353F9D" w14:textId="5883D814" w:rsidR="008B4BCE" w:rsidRPr="001B6A61" w:rsidRDefault="0062713F" w:rsidP="0062713F">
            <w:pPr>
              <w:pStyle w:val="ListParagraph"/>
              <w:widowControl w:val="0"/>
              <w:numPr>
                <w:ilvl w:val="2"/>
                <w:numId w:val="84"/>
              </w:numPr>
              <w:tabs>
                <w:tab w:val="left" w:pos="793"/>
              </w:tabs>
              <w:suppressAutoHyphens w:val="0"/>
              <w:adjustRightInd/>
              <w:ind w:left="703" w:hanging="703"/>
              <w:jc w:val="both"/>
              <w:rPr>
                <w:rFonts w:ascii="Arial" w:hAnsi="Arial" w:cs="Arial"/>
                <w:b/>
                <w:bCs/>
                <w:sz w:val="20"/>
              </w:rPr>
            </w:pPr>
            <w:r w:rsidRPr="0062713F">
              <w:rPr>
                <w:rFonts w:ascii="Arial" w:hAnsi="Arial" w:cs="Arial"/>
                <w:sz w:val="20"/>
                <w:szCs w:val="20"/>
              </w:rPr>
              <w:t>Determine that they were appropriately allocated to projects and</w:t>
            </w:r>
            <w:r w:rsidRPr="0062713F">
              <w:rPr>
                <w:rFonts w:ascii="Arial" w:hAnsi="Arial" w:cs="Arial"/>
                <w:spacing w:val="-23"/>
                <w:sz w:val="20"/>
                <w:szCs w:val="20"/>
              </w:rPr>
              <w:t xml:space="preserve"> </w:t>
            </w:r>
            <w:r w:rsidRPr="0062713F">
              <w:rPr>
                <w:rFonts w:ascii="Arial" w:hAnsi="Arial" w:cs="Arial"/>
                <w:spacing w:val="-3"/>
                <w:sz w:val="20"/>
                <w:szCs w:val="20"/>
              </w:rPr>
              <w:t>COCC.</w:t>
            </w:r>
          </w:p>
        </w:tc>
      </w:tr>
    </w:tbl>
    <w:p w14:paraId="285F0EF1"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61CD0A8A" w14:textId="77777777" w:rsidR="008B4BCE" w:rsidRPr="000706D1" w:rsidRDefault="008B4BCE" w:rsidP="008B4BCE">
      <w:pPr>
        <w:pStyle w:val="Heading3"/>
        <w:jc w:val="both"/>
        <w:rPr>
          <w:rFonts w:cs="Arial"/>
          <w:b w:val="0"/>
          <w:sz w:val="24"/>
          <w:szCs w:val="24"/>
        </w:rPr>
      </w:pPr>
      <w:bookmarkStart w:id="95" w:name="_Toc212473152"/>
      <w:r w:rsidRPr="000706D1">
        <w:rPr>
          <w:rFonts w:cs="Arial"/>
          <w:sz w:val="24"/>
          <w:szCs w:val="24"/>
        </w:rPr>
        <w:lastRenderedPageBreak/>
        <w:t>Audit Implications Summary</w:t>
      </w:r>
      <w:bookmarkEnd w:id="95"/>
    </w:p>
    <w:tbl>
      <w:tblPr>
        <w:tblStyle w:val="TableGrid"/>
        <w:tblW w:w="5000" w:type="pct"/>
        <w:tblLook w:val="04A0" w:firstRow="1" w:lastRow="0" w:firstColumn="1" w:lastColumn="0" w:noHBand="0" w:noVBand="1"/>
      </w:tblPr>
      <w:tblGrid>
        <w:gridCol w:w="9350"/>
      </w:tblGrid>
      <w:tr w:rsidR="008B4BCE" w:rsidRPr="00F00D94" w14:paraId="6443DA22" w14:textId="77777777" w:rsidTr="009F1483">
        <w:tc>
          <w:tcPr>
            <w:tcW w:w="5000" w:type="pct"/>
          </w:tcPr>
          <w:p w14:paraId="121A4BEB" w14:textId="77777777" w:rsidR="008B4BCE" w:rsidRDefault="008B4BCE"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5DF2C8C" w14:textId="77777777" w:rsidR="008B4BCE" w:rsidRPr="006E46AD" w:rsidRDefault="008B4BCE"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DBCB6D9" w14:textId="77777777" w:rsidR="008B4BCE" w:rsidRPr="006E46AD" w:rsidRDefault="008B4BCE" w:rsidP="000A7411">
            <w:pPr>
              <w:pStyle w:val="ListParagraph"/>
              <w:widowControl w:val="0"/>
              <w:numPr>
                <w:ilvl w:val="0"/>
                <w:numId w:val="5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3BBF8151" w14:textId="77777777" w:rsidR="008B4BCE" w:rsidRPr="006E46AD" w:rsidRDefault="008B4BCE" w:rsidP="009F1483">
            <w:pPr>
              <w:widowControl w:val="0"/>
              <w:spacing w:after="240"/>
              <w:ind w:left="720"/>
              <w:jc w:val="both"/>
              <w:rPr>
                <w:rFonts w:ascii="Arial" w:hAnsi="Arial" w:cs="Arial"/>
                <w:b/>
                <w:sz w:val="20"/>
                <w:szCs w:val="20"/>
              </w:rPr>
            </w:pPr>
          </w:p>
          <w:p w14:paraId="3CD0DC23" w14:textId="77777777" w:rsidR="008B4BCE" w:rsidRPr="006E46AD" w:rsidRDefault="008B4BCE" w:rsidP="000A7411">
            <w:pPr>
              <w:widowControl w:val="0"/>
              <w:numPr>
                <w:ilvl w:val="0"/>
                <w:numId w:val="5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39A1125" w14:textId="77777777" w:rsidR="008B4BCE" w:rsidRPr="00F00D94" w:rsidRDefault="008B4BCE" w:rsidP="009F1483">
            <w:pPr>
              <w:pStyle w:val="ListParagraph"/>
              <w:spacing w:after="240"/>
              <w:jc w:val="both"/>
              <w:rPr>
                <w:rFonts w:ascii="Arial" w:hAnsi="Arial" w:cs="Arial"/>
                <w:b/>
              </w:rPr>
            </w:pPr>
          </w:p>
          <w:p w14:paraId="38907788" w14:textId="77777777" w:rsidR="008B4BCE" w:rsidRPr="00F00D94" w:rsidRDefault="008B4BCE" w:rsidP="000A7411">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9467400" w14:textId="77777777" w:rsidR="008B4BCE" w:rsidRPr="00F00D94" w:rsidRDefault="008B4BCE" w:rsidP="009F1483">
            <w:pPr>
              <w:pStyle w:val="ListParagraph"/>
              <w:spacing w:after="240"/>
              <w:jc w:val="both"/>
              <w:rPr>
                <w:rFonts w:ascii="Arial" w:hAnsi="Arial" w:cs="Arial"/>
                <w:b/>
              </w:rPr>
            </w:pPr>
          </w:p>
          <w:p w14:paraId="3EDCE470" w14:textId="77777777" w:rsidR="008B4BCE" w:rsidRPr="00F00D94" w:rsidRDefault="008B4BCE" w:rsidP="000A7411">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B347E9F" w14:textId="77777777" w:rsidR="008B4BCE" w:rsidRPr="00F00D94" w:rsidRDefault="008B4BCE" w:rsidP="009F1483">
            <w:pPr>
              <w:pStyle w:val="ListParagraph"/>
              <w:spacing w:after="240"/>
              <w:jc w:val="both"/>
              <w:rPr>
                <w:rFonts w:ascii="Arial" w:hAnsi="Arial" w:cs="Arial"/>
                <w:b/>
              </w:rPr>
            </w:pPr>
          </w:p>
          <w:p w14:paraId="67EA5CBF" w14:textId="77777777" w:rsidR="008B4BCE" w:rsidRPr="00F00D94" w:rsidRDefault="008B4BCE" w:rsidP="000A7411">
            <w:pPr>
              <w:widowControl w:val="0"/>
              <w:numPr>
                <w:ilvl w:val="0"/>
                <w:numId w:val="5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4F4F410" w14:textId="77777777" w:rsidR="008B4BCE" w:rsidRPr="00F00D94" w:rsidRDefault="008B4BCE" w:rsidP="009F1483">
            <w:pPr>
              <w:pStyle w:val="APStepItem"/>
              <w:numPr>
                <w:ilvl w:val="0"/>
                <w:numId w:val="0"/>
              </w:numPr>
              <w:spacing w:after="240"/>
              <w:rPr>
                <w:rFonts w:cs="Arial"/>
                <w:b/>
              </w:rPr>
            </w:pPr>
          </w:p>
        </w:tc>
      </w:tr>
    </w:tbl>
    <w:p w14:paraId="6A253B9F" w14:textId="77777777" w:rsidR="008B4BCE" w:rsidRDefault="008B4BCE" w:rsidP="008B4BCE">
      <w:pPr>
        <w:pStyle w:val="Heading2"/>
        <w:jc w:val="both"/>
        <w:rPr>
          <w:rFonts w:cs="Arial"/>
          <w:sz w:val="24"/>
        </w:rPr>
        <w:sectPr w:rsidR="008B4BCE" w:rsidSect="00885BA6">
          <w:headerReference w:type="default" r:id="rId93"/>
          <w:pgSz w:w="12240" w:h="15840" w:code="1"/>
          <w:pgMar w:top="1440" w:right="1440" w:bottom="1440" w:left="1440" w:header="720" w:footer="720" w:gutter="0"/>
          <w:cols w:space="720"/>
          <w:docGrid w:linePitch="360"/>
        </w:sectPr>
      </w:pPr>
    </w:p>
    <w:p w14:paraId="652B5F00" w14:textId="68370F14" w:rsidR="008B4BCE" w:rsidRPr="000706D1" w:rsidRDefault="008B4BCE" w:rsidP="008B4BCE">
      <w:pPr>
        <w:pStyle w:val="Heading2"/>
        <w:jc w:val="both"/>
        <w:rPr>
          <w:rFonts w:cs="Arial"/>
          <w:sz w:val="24"/>
        </w:rPr>
      </w:pPr>
      <w:bookmarkStart w:id="96" w:name="_Toc212473153"/>
      <w:r w:rsidRPr="000706D1">
        <w:rPr>
          <w:rFonts w:cs="Arial"/>
          <w:sz w:val="24"/>
        </w:rPr>
        <w:lastRenderedPageBreak/>
        <w:t>N</w:t>
      </w:r>
      <w:r w:rsidR="00031514">
        <w:rPr>
          <w:rFonts w:cs="Arial"/>
          <w:sz w:val="24"/>
        </w:rPr>
        <w:t>6</w:t>
      </w:r>
      <w:r w:rsidRPr="000706D1">
        <w:rPr>
          <w:rFonts w:cs="Arial"/>
          <w:sz w:val="24"/>
        </w:rPr>
        <w:t>.  SPECIAL TESTS AND PROVISIONS</w:t>
      </w:r>
      <w:r w:rsidR="00031514">
        <w:rPr>
          <w:rFonts w:cs="Arial"/>
          <w:sz w:val="24"/>
        </w:rPr>
        <w:t xml:space="preserve"> – FEES CHARGED FOR CENTRALIZED SERVICES</w:t>
      </w:r>
      <w:bookmarkEnd w:id="96"/>
    </w:p>
    <w:p w14:paraId="4BE88201" w14:textId="77777777" w:rsidR="008B4BCE" w:rsidRPr="000706D1" w:rsidRDefault="008B4BCE" w:rsidP="008B4BCE">
      <w:pPr>
        <w:pStyle w:val="Heading3"/>
        <w:jc w:val="both"/>
        <w:rPr>
          <w:rFonts w:cs="Arial"/>
          <w:sz w:val="24"/>
          <w:szCs w:val="24"/>
        </w:rPr>
      </w:pPr>
      <w:bookmarkStart w:id="97" w:name="_Toc212473154"/>
      <w:r w:rsidRPr="000706D1">
        <w:rPr>
          <w:rFonts w:cs="Arial"/>
          <w:sz w:val="24"/>
          <w:szCs w:val="24"/>
        </w:rPr>
        <w:t>OMB Compliance Requirements</w:t>
      </w:r>
      <w:bookmarkEnd w:id="97"/>
    </w:p>
    <w:p w14:paraId="31D035A2" w14:textId="77777777" w:rsidR="008B4BCE" w:rsidRPr="005C1EBC"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BA65674"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574F685F" w14:textId="77777777" w:rsidR="008B4BCE" w:rsidRPr="00F00D94" w:rsidRDefault="008B4BCE" w:rsidP="008B4BCE">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C63E240" w14:textId="77777777" w:rsidR="008B4BCE" w:rsidRPr="000706D1" w:rsidRDefault="008B4BCE" w:rsidP="008B4BC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CE18678" w14:textId="388291A5" w:rsidR="00031514" w:rsidRPr="00F93C0A" w:rsidRDefault="00031514" w:rsidP="00031514">
      <w:pPr>
        <w:spacing w:after="240"/>
        <w:jc w:val="both"/>
        <w:rPr>
          <w:rFonts w:ascii="Arial" w:hAnsi="Arial" w:cs="Arial"/>
        </w:rPr>
      </w:pPr>
      <w:r w:rsidRPr="00F93C0A">
        <w:rPr>
          <w:rFonts w:ascii="Arial" w:hAnsi="Arial" w:cs="Arial"/>
        </w:rPr>
        <w:t xml:space="preserve">In the case where a COCC chooses to centralize functions that directly support a project (e.g., central maintenance), it must charge each project using a fee-for-service approach, with the exception of charges for rent collections, resident services, security/protective services, waiting lists, and work-order processing (see Section 7.10 of the </w:t>
      </w:r>
      <w:hyperlink r:id="rId94">
        <w:r w:rsidRPr="00F93C0A">
          <w:rPr>
            <w:rFonts w:ascii="Arial" w:hAnsi="Arial" w:cs="Arial"/>
            <w:color w:val="0000FF"/>
            <w:u w:val="single" w:color="0000FF"/>
          </w:rPr>
          <w:t>Supplement to Handbook 7475.1</w:t>
        </w:r>
      </w:hyperlink>
      <w:r w:rsidRPr="00F93C0A">
        <w:rPr>
          <w:rFonts w:ascii="Arial" w:hAnsi="Arial" w:cs="Arial"/>
        </w:rPr>
        <w:t>). Each project must be charged for the services received and only to the extent that such amounts are reasonable. Guidance on fee reasonableness for centralized service fees is provided in Section 7.10 in the Supplement to HUD Handbook 7475.1. HUD considers any fees that are within HUD guidance to be reasonable. PHAs are requested to consult with HUD regarding any fees that depart from HUD guidance, and HUD will provide its view on the reasonableness of the fees. Any fees above the HUD guidelines that have not been approved by HUD must be reviewed in detail to determine if the additional costs are justified by local conditions or other factors (24 CFR section 990.280(d)).</w:t>
      </w:r>
    </w:p>
    <w:p w14:paraId="68DA15DA" w14:textId="2583340A" w:rsidR="008B4BCE" w:rsidRPr="00031514" w:rsidRDefault="00031514" w:rsidP="00031514">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w:t>
      </w:r>
      <w:r>
        <w:rPr>
          <w:rFonts w:ascii="Arial" w:hAnsi="Arial" w:cs="Arial"/>
          <w:bCs/>
          <w:i/>
          <w:iCs/>
        </w:rPr>
        <w:t>Public Housing Operating Fund</w:t>
      </w:r>
      <w:r w:rsidRPr="006C797F">
        <w:rPr>
          <w:rFonts w:ascii="Arial" w:hAnsi="Arial" w:cs="Arial"/>
          <w:bCs/>
          <w:i/>
          <w:iCs/>
        </w:rPr>
        <w:t>)</w:t>
      </w:r>
    </w:p>
    <w:p w14:paraId="11852DE8" w14:textId="77777777" w:rsidR="008B4BCE" w:rsidRPr="000706D1" w:rsidRDefault="008B4BCE" w:rsidP="008B4BCE">
      <w:pPr>
        <w:pStyle w:val="Heading3"/>
        <w:jc w:val="both"/>
        <w:rPr>
          <w:rFonts w:cs="Arial"/>
          <w:sz w:val="24"/>
          <w:szCs w:val="24"/>
        </w:rPr>
      </w:pPr>
      <w:bookmarkStart w:id="98" w:name="_Toc212473155"/>
      <w:r w:rsidRPr="000706D1">
        <w:rPr>
          <w:rFonts w:cs="Arial"/>
          <w:sz w:val="24"/>
          <w:szCs w:val="24"/>
        </w:rPr>
        <w:t>Additional Program Specific Information</w:t>
      </w:r>
      <w:bookmarkEnd w:id="98"/>
    </w:p>
    <w:p w14:paraId="3D3ECB5D" w14:textId="77777777" w:rsidR="008B4BCE" w:rsidRPr="00AA5B05" w:rsidRDefault="008B4BCE" w:rsidP="008B4BCE">
      <w:pPr>
        <w:spacing w:after="240"/>
        <w:jc w:val="both"/>
        <w:rPr>
          <w:rFonts w:ascii="Arial" w:hAnsi="Arial" w:cs="Arial"/>
          <w:b/>
          <w:highlight w:val="yellow"/>
        </w:rPr>
      </w:pPr>
      <w:r w:rsidRPr="00AA5B05">
        <w:rPr>
          <w:rFonts w:ascii="Arial" w:hAnsi="Arial" w:cs="Arial"/>
          <w:b/>
          <w:highlight w:val="yellow"/>
        </w:rPr>
        <w:t>Add program specific requirements from:</w:t>
      </w:r>
    </w:p>
    <w:p w14:paraId="2D0C7D76" w14:textId="728CB806"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1364E4">
        <w:rPr>
          <w:rFonts w:ascii="Arial" w:hAnsi="Arial" w:cs="Arial"/>
          <w:b/>
          <w:highlight w:val="yellow"/>
        </w:rPr>
        <w:t>,</w:t>
      </w:r>
      <w:r w:rsidR="00031514">
        <w:rPr>
          <w:rFonts w:ascii="Arial" w:hAnsi="Arial" w:cs="Arial"/>
          <w:b/>
          <w:highlight w:val="yellow"/>
        </w:rPr>
        <w:t xml:space="preserve"> </w:t>
      </w:r>
    </w:p>
    <w:p w14:paraId="5335E711" w14:textId="77777777" w:rsidR="008B4BCE" w:rsidRPr="00AA5B05" w:rsidRDefault="008B4BCE"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5EE50CA"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29E3884" w14:textId="77777777" w:rsidR="008B4BCE" w:rsidRPr="00AA5B05" w:rsidRDefault="008B4BCE" w:rsidP="008B4BCE">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7AEADF57" w14:textId="77777777" w:rsidR="008B4BCE" w:rsidRPr="000706D1" w:rsidRDefault="008B4BCE" w:rsidP="008B4BCE">
      <w:pPr>
        <w:pStyle w:val="Heading3"/>
        <w:jc w:val="both"/>
        <w:rPr>
          <w:rFonts w:cs="Arial"/>
          <w:sz w:val="24"/>
          <w:szCs w:val="24"/>
        </w:rPr>
      </w:pPr>
      <w:bookmarkStart w:id="99" w:name="_Toc212473156"/>
      <w:r w:rsidRPr="000706D1">
        <w:rPr>
          <w:rFonts w:cs="Arial"/>
          <w:sz w:val="24"/>
          <w:szCs w:val="24"/>
        </w:rPr>
        <w:t>Audit Objectives and Control Testing</w:t>
      </w:r>
      <w:bookmarkEnd w:id="99"/>
    </w:p>
    <w:p w14:paraId="1F870013" w14:textId="77777777" w:rsidR="008B4BCE" w:rsidRPr="00F00D94" w:rsidRDefault="008B4BCE" w:rsidP="008B4BC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1A88EF" w14:textId="77777777" w:rsidR="008B4BCE" w:rsidRPr="00F00D94" w:rsidRDefault="008B4BCE" w:rsidP="008B4BC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A03FCDC" w14:textId="77777777" w:rsidR="008B4BCE" w:rsidRPr="00A3316B"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A3316B">
        <w:rPr>
          <w:rFonts w:ascii="Arial" w:hAnsi="Arial" w:cs="Arial"/>
          <w:i/>
        </w:rPr>
        <w:t>(Source: 2025 OMB Compliance Supplement Part 3.2)</w:t>
      </w:r>
    </w:p>
    <w:p w14:paraId="4637B2B2" w14:textId="70519946" w:rsidR="00A3316B" w:rsidRPr="00A3316B" w:rsidRDefault="00A3316B" w:rsidP="00A3316B">
      <w:pPr>
        <w:pStyle w:val="ListParagraph"/>
        <w:numPr>
          <w:ilvl w:val="0"/>
          <w:numId w:val="54"/>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A3316B">
        <w:rPr>
          <w:rFonts w:ascii="Arial" w:hAnsi="Arial" w:cs="Arial"/>
        </w:rPr>
        <w:t>Determine whether the fees charged by the COCC to the project for centralized maintenance and inspections are reasonable.</w:t>
      </w:r>
    </w:p>
    <w:p w14:paraId="51D98047" w14:textId="4DB58040" w:rsidR="00A3316B" w:rsidRPr="00A3316B" w:rsidRDefault="00A3316B" w:rsidP="00A3316B">
      <w:pPr>
        <w:spacing w:after="240"/>
        <w:jc w:val="both"/>
        <w:rPr>
          <w:rFonts w:ascii="Arial" w:hAnsi="Arial" w:cs="Arial"/>
          <w:bCs/>
          <w:i/>
          <w:iCs/>
        </w:rPr>
      </w:pPr>
      <w:r w:rsidRPr="00A3316B">
        <w:rPr>
          <w:rFonts w:ascii="Arial" w:hAnsi="Arial" w:cs="Arial"/>
          <w:bCs/>
          <w:i/>
          <w:iCs/>
        </w:rPr>
        <w:t>(Source: 202</w:t>
      </w:r>
      <w:r>
        <w:rPr>
          <w:rFonts w:ascii="Arial" w:hAnsi="Arial" w:cs="Arial"/>
          <w:bCs/>
          <w:i/>
          <w:iCs/>
        </w:rPr>
        <w:t>5</w:t>
      </w:r>
      <w:r w:rsidRPr="00A3316B">
        <w:rPr>
          <w:rFonts w:ascii="Arial" w:hAnsi="Arial" w:cs="Arial"/>
          <w:bCs/>
          <w:i/>
          <w:iCs/>
        </w:rPr>
        <w:t xml:space="preserve"> OMB Compliance Supplement, Part 4, HUD, #14.850 Public </w:t>
      </w:r>
      <w:r w:rsidR="007D76AB">
        <w:rPr>
          <w:rFonts w:ascii="Arial" w:hAnsi="Arial" w:cs="Arial"/>
          <w:bCs/>
          <w:i/>
          <w:iCs/>
        </w:rPr>
        <w:t>Housing Operating Fund</w:t>
      </w:r>
      <w:r w:rsidRPr="00A3316B">
        <w:rPr>
          <w:rFonts w:ascii="Arial" w:hAnsi="Arial" w:cs="Arial"/>
          <w:bCs/>
          <w:i/>
          <w:iCs/>
        </w:rPr>
        <w:t>)</w:t>
      </w:r>
    </w:p>
    <w:p w14:paraId="399A582B" w14:textId="77777777" w:rsidR="008B4BCE" w:rsidRPr="00634FA3" w:rsidRDefault="008B4BCE" w:rsidP="008B4BC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B4BCE" w:rsidRPr="00F00D94" w14:paraId="5A0E2CE9" w14:textId="77777777" w:rsidTr="009F1483">
        <w:tc>
          <w:tcPr>
            <w:tcW w:w="5000" w:type="pct"/>
          </w:tcPr>
          <w:p w14:paraId="71353E10" w14:textId="77777777" w:rsidR="008B4BCE" w:rsidRPr="006F5FFA" w:rsidRDefault="008B4BCE"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29AE0DA"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AB0DA8C" w14:textId="77777777" w:rsidR="008B4BCE" w:rsidRPr="00F00D94" w:rsidRDefault="008B4BCE" w:rsidP="009F1483">
            <w:pPr>
              <w:pStyle w:val="AuditProcedureHeading"/>
              <w:spacing w:after="240"/>
              <w:jc w:val="both"/>
              <w:rPr>
                <w:rFonts w:cs="Arial"/>
                <w:b/>
                <w:bCs/>
                <w:szCs w:val="20"/>
                <w:u w:val="single"/>
              </w:rPr>
            </w:pPr>
          </w:p>
          <w:p w14:paraId="5DBCEE0C" w14:textId="77777777" w:rsidR="008B4BCE" w:rsidRPr="00F00D94" w:rsidRDefault="008B4BCE"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4051D40" w14:textId="77777777" w:rsidR="008B4BCE" w:rsidRPr="00F00D94" w:rsidRDefault="008B4BCE" w:rsidP="009F1483">
            <w:pPr>
              <w:pStyle w:val="AuditProcedureHeading"/>
              <w:spacing w:after="240"/>
              <w:jc w:val="both"/>
              <w:rPr>
                <w:rFonts w:cs="Arial"/>
                <w:b/>
                <w:bCs/>
                <w:szCs w:val="20"/>
                <w:u w:val="single"/>
              </w:rPr>
            </w:pPr>
          </w:p>
          <w:p w14:paraId="433FE064"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4902264" w14:textId="77777777" w:rsidR="008B4BCE" w:rsidRPr="00F00D94" w:rsidRDefault="008B4BCE" w:rsidP="009F1483">
            <w:pPr>
              <w:spacing w:after="240"/>
              <w:jc w:val="both"/>
              <w:rPr>
                <w:rFonts w:ascii="Arial" w:hAnsi="Arial" w:cs="Arial"/>
                <w:b/>
                <w:sz w:val="20"/>
                <w:u w:val="single"/>
              </w:rPr>
            </w:pPr>
          </w:p>
          <w:p w14:paraId="28840370" w14:textId="77777777" w:rsidR="008B4BCE" w:rsidRPr="00F00D94" w:rsidRDefault="008B4BCE"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B84A080" w14:textId="77777777" w:rsidR="008B4BCE" w:rsidRPr="00C35E5F" w:rsidRDefault="008B4BCE" w:rsidP="009F1483">
            <w:pPr>
              <w:spacing w:after="240"/>
              <w:jc w:val="both"/>
              <w:rPr>
                <w:rFonts w:ascii="Arial" w:eastAsiaTheme="minorHAnsi" w:hAnsi="Arial" w:cs="Arial"/>
                <w:sz w:val="20"/>
                <w:szCs w:val="20"/>
              </w:rPr>
            </w:pPr>
          </w:p>
        </w:tc>
      </w:tr>
    </w:tbl>
    <w:p w14:paraId="6CDDBB63"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16AAF84" w14:textId="77777777" w:rsidR="008B4BCE" w:rsidRPr="000706D1" w:rsidRDefault="008B4BCE" w:rsidP="008B4BCE">
      <w:pPr>
        <w:pStyle w:val="Heading3"/>
        <w:jc w:val="both"/>
        <w:rPr>
          <w:rFonts w:cs="Arial"/>
          <w:sz w:val="24"/>
          <w:szCs w:val="24"/>
        </w:rPr>
      </w:pPr>
      <w:bookmarkStart w:id="100" w:name="_Toc21247315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0"/>
    </w:p>
    <w:tbl>
      <w:tblPr>
        <w:tblStyle w:val="TableGrid"/>
        <w:tblW w:w="9558" w:type="dxa"/>
        <w:tblLayout w:type="fixed"/>
        <w:tblLook w:val="04A0" w:firstRow="1" w:lastRow="0" w:firstColumn="1" w:lastColumn="0" w:noHBand="0" w:noVBand="1"/>
      </w:tblPr>
      <w:tblGrid>
        <w:gridCol w:w="9558"/>
      </w:tblGrid>
      <w:tr w:rsidR="008B4BCE" w:rsidRPr="00F00D94" w14:paraId="1BB91292" w14:textId="77777777" w:rsidTr="009F1483">
        <w:tc>
          <w:tcPr>
            <w:tcW w:w="9558" w:type="dxa"/>
          </w:tcPr>
          <w:p w14:paraId="44DC19D1" w14:textId="77777777" w:rsidR="008B4BCE" w:rsidRDefault="008B4BCE"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AD74FFA" w14:textId="77777777" w:rsidR="008B4BCE" w:rsidRDefault="008B4BCE"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60A83F40" w14:textId="77777777" w:rsidR="00A3316B" w:rsidRPr="0062713F" w:rsidRDefault="00A3316B" w:rsidP="001C3146">
            <w:pPr>
              <w:pStyle w:val="ListParagraph"/>
              <w:widowControl w:val="0"/>
              <w:numPr>
                <w:ilvl w:val="0"/>
                <w:numId w:val="55"/>
              </w:numPr>
              <w:tabs>
                <w:tab w:val="left" w:pos="2259"/>
                <w:tab w:val="left" w:pos="2260"/>
              </w:tabs>
              <w:ind w:left="703" w:right="5" w:hanging="703"/>
              <w:rPr>
                <w:rFonts w:ascii="Arial" w:hAnsi="Arial" w:cs="Arial"/>
                <w:sz w:val="20"/>
                <w:szCs w:val="20"/>
              </w:rPr>
            </w:pPr>
            <w:r w:rsidRPr="0062713F">
              <w:rPr>
                <w:rFonts w:ascii="Arial" w:hAnsi="Arial" w:cs="Arial"/>
                <w:sz w:val="20"/>
                <w:szCs w:val="20"/>
              </w:rPr>
              <w:t>Select</w:t>
            </w:r>
            <w:r w:rsidRPr="0062713F">
              <w:rPr>
                <w:rFonts w:ascii="Arial" w:hAnsi="Arial" w:cs="Arial"/>
                <w:spacing w:val="-6"/>
                <w:sz w:val="20"/>
                <w:szCs w:val="20"/>
              </w:rPr>
              <w:t xml:space="preserve"> </w:t>
            </w:r>
            <w:r w:rsidRPr="0062713F">
              <w:rPr>
                <w:rFonts w:ascii="Arial" w:hAnsi="Arial" w:cs="Arial"/>
                <w:sz w:val="20"/>
                <w:szCs w:val="20"/>
              </w:rPr>
              <w:t>a</w:t>
            </w:r>
            <w:r w:rsidRPr="0062713F">
              <w:rPr>
                <w:rFonts w:ascii="Arial" w:hAnsi="Arial" w:cs="Arial"/>
                <w:spacing w:val="-5"/>
                <w:sz w:val="20"/>
                <w:szCs w:val="20"/>
              </w:rPr>
              <w:t xml:space="preserve"> </w:t>
            </w:r>
            <w:r w:rsidRPr="0062713F">
              <w:rPr>
                <w:rFonts w:ascii="Arial" w:hAnsi="Arial" w:cs="Arial"/>
                <w:sz w:val="20"/>
                <w:szCs w:val="20"/>
              </w:rPr>
              <w:t>sample</w:t>
            </w:r>
            <w:r w:rsidRPr="0062713F">
              <w:rPr>
                <w:rFonts w:ascii="Arial" w:hAnsi="Arial" w:cs="Arial"/>
                <w:spacing w:val="-6"/>
                <w:sz w:val="20"/>
                <w:szCs w:val="20"/>
              </w:rPr>
              <w:t xml:space="preserve"> </w:t>
            </w:r>
            <w:r w:rsidRPr="0062713F">
              <w:rPr>
                <w:rFonts w:ascii="Arial" w:hAnsi="Arial" w:cs="Arial"/>
                <w:sz w:val="20"/>
                <w:szCs w:val="20"/>
              </w:rPr>
              <w:t>of</w:t>
            </w:r>
            <w:r w:rsidRPr="0062713F">
              <w:rPr>
                <w:rFonts w:ascii="Arial" w:hAnsi="Arial" w:cs="Arial"/>
                <w:spacing w:val="-5"/>
                <w:sz w:val="20"/>
                <w:szCs w:val="20"/>
              </w:rPr>
              <w:t xml:space="preserve"> </w:t>
            </w:r>
            <w:r w:rsidRPr="0062713F">
              <w:rPr>
                <w:rFonts w:ascii="Arial" w:hAnsi="Arial" w:cs="Arial"/>
                <w:sz w:val="20"/>
                <w:szCs w:val="20"/>
              </w:rPr>
              <w:t>fees</w:t>
            </w:r>
            <w:r w:rsidRPr="0062713F">
              <w:rPr>
                <w:rFonts w:ascii="Arial" w:hAnsi="Arial" w:cs="Arial"/>
                <w:spacing w:val="-4"/>
                <w:sz w:val="20"/>
                <w:szCs w:val="20"/>
              </w:rPr>
              <w:t xml:space="preserve"> </w:t>
            </w:r>
            <w:r w:rsidRPr="0062713F">
              <w:rPr>
                <w:rFonts w:ascii="Arial" w:hAnsi="Arial" w:cs="Arial"/>
                <w:sz w:val="20"/>
                <w:szCs w:val="20"/>
              </w:rPr>
              <w:t>charged</w:t>
            </w:r>
            <w:r w:rsidRPr="0062713F">
              <w:rPr>
                <w:rFonts w:ascii="Arial" w:hAnsi="Arial" w:cs="Arial"/>
                <w:spacing w:val="-5"/>
                <w:sz w:val="20"/>
                <w:szCs w:val="20"/>
              </w:rPr>
              <w:t xml:space="preserve"> </w:t>
            </w:r>
            <w:r w:rsidRPr="0062713F">
              <w:rPr>
                <w:rFonts w:ascii="Arial" w:hAnsi="Arial" w:cs="Arial"/>
                <w:sz w:val="20"/>
                <w:szCs w:val="20"/>
              </w:rPr>
              <w:t>by</w:t>
            </w:r>
            <w:r w:rsidRPr="0062713F">
              <w:rPr>
                <w:rFonts w:ascii="Arial" w:hAnsi="Arial" w:cs="Arial"/>
                <w:spacing w:val="-6"/>
                <w:sz w:val="20"/>
                <w:szCs w:val="20"/>
              </w:rPr>
              <w:t xml:space="preserve"> </w:t>
            </w:r>
            <w:r w:rsidRPr="0062713F">
              <w:rPr>
                <w:rFonts w:ascii="Arial" w:hAnsi="Arial" w:cs="Arial"/>
                <w:sz w:val="20"/>
                <w:szCs w:val="20"/>
              </w:rPr>
              <w:t>the</w:t>
            </w:r>
            <w:r w:rsidRPr="0062713F">
              <w:rPr>
                <w:rFonts w:ascii="Arial" w:hAnsi="Arial" w:cs="Arial"/>
                <w:spacing w:val="-5"/>
                <w:sz w:val="20"/>
                <w:szCs w:val="20"/>
              </w:rPr>
              <w:t xml:space="preserve"> </w:t>
            </w:r>
            <w:r w:rsidRPr="0062713F">
              <w:rPr>
                <w:rFonts w:ascii="Arial" w:hAnsi="Arial" w:cs="Arial"/>
                <w:sz w:val="20"/>
                <w:szCs w:val="20"/>
              </w:rPr>
              <w:t>COCC</w:t>
            </w:r>
            <w:r w:rsidRPr="0062713F">
              <w:rPr>
                <w:rFonts w:ascii="Arial" w:hAnsi="Arial" w:cs="Arial"/>
                <w:spacing w:val="-6"/>
                <w:sz w:val="20"/>
                <w:szCs w:val="20"/>
              </w:rPr>
              <w:t xml:space="preserve"> </w:t>
            </w:r>
            <w:r w:rsidRPr="0062713F">
              <w:rPr>
                <w:rFonts w:ascii="Arial" w:hAnsi="Arial" w:cs="Arial"/>
                <w:sz w:val="20"/>
                <w:szCs w:val="20"/>
              </w:rPr>
              <w:t>to</w:t>
            </w:r>
            <w:r w:rsidRPr="0062713F">
              <w:rPr>
                <w:rFonts w:ascii="Arial" w:hAnsi="Arial" w:cs="Arial"/>
                <w:spacing w:val="-5"/>
                <w:sz w:val="20"/>
                <w:szCs w:val="20"/>
              </w:rPr>
              <w:t xml:space="preserve"> </w:t>
            </w:r>
            <w:r w:rsidRPr="0062713F">
              <w:rPr>
                <w:rFonts w:ascii="Arial" w:hAnsi="Arial" w:cs="Arial"/>
                <w:sz w:val="20"/>
                <w:szCs w:val="20"/>
              </w:rPr>
              <w:t>a</w:t>
            </w:r>
            <w:r w:rsidRPr="0062713F">
              <w:rPr>
                <w:rFonts w:ascii="Arial" w:hAnsi="Arial" w:cs="Arial"/>
                <w:spacing w:val="-5"/>
                <w:sz w:val="20"/>
                <w:szCs w:val="20"/>
              </w:rPr>
              <w:t xml:space="preserve"> </w:t>
            </w:r>
            <w:r w:rsidRPr="0062713F">
              <w:rPr>
                <w:rFonts w:ascii="Arial" w:hAnsi="Arial" w:cs="Arial"/>
                <w:sz w:val="20"/>
                <w:szCs w:val="20"/>
              </w:rPr>
              <w:t>project</w:t>
            </w:r>
            <w:r w:rsidRPr="0062713F">
              <w:rPr>
                <w:rFonts w:ascii="Arial" w:hAnsi="Arial" w:cs="Arial"/>
                <w:spacing w:val="-6"/>
                <w:sz w:val="20"/>
                <w:szCs w:val="20"/>
              </w:rPr>
              <w:t xml:space="preserve"> </w:t>
            </w:r>
            <w:r w:rsidRPr="0062713F">
              <w:rPr>
                <w:rFonts w:ascii="Arial" w:hAnsi="Arial" w:cs="Arial"/>
                <w:sz w:val="20"/>
                <w:szCs w:val="20"/>
              </w:rPr>
              <w:t>for</w:t>
            </w:r>
            <w:r w:rsidRPr="0062713F">
              <w:rPr>
                <w:rFonts w:ascii="Arial" w:hAnsi="Arial" w:cs="Arial"/>
                <w:spacing w:val="-5"/>
                <w:sz w:val="20"/>
                <w:szCs w:val="20"/>
              </w:rPr>
              <w:t xml:space="preserve"> </w:t>
            </w:r>
            <w:r w:rsidRPr="0062713F">
              <w:rPr>
                <w:rFonts w:ascii="Arial" w:hAnsi="Arial" w:cs="Arial"/>
                <w:sz w:val="20"/>
                <w:szCs w:val="20"/>
              </w:rPr>
              <w:t>centralized maintenance and inspection</w:t>
            </w:r>
            <w:r w:rsidRPr="0062713F">
              <w:rPr>
                <w:rFonts w:ascii="Arial" w:hAnsi="Arial" w:cs="Arial"/>
                <w:spacing w:val="-2"/>
                <w:sz w:val="20"/>
                <w:szCs w:val="20"/>
              </w:rPr>
              <w:t xml:space="preserve"> </w:t>
            </w:r>
            <w:r w:rsidRPr="0062713F">
              <w:rPr>
                <w:rFonts w:ascii="Arial" w:hAnsi="Arial" w:cs="Arial"/>
                <w:sz w:val="20"/>
                <w:szCs w:val="20"/>
              </w:rPr>
              <w:t>services.</w:t>
            </w:r>
          </w:p>
          <w:p w14:paraId="5822440B" w14:textId="77777777" w:rsidR="00A3316B" w:rsidRPr="0062713F" w:rsidRDefault="00A3316B" w:rsidP="00A3316B">
            <w:pPr>
              <w:pStyle w:val="ListParagraph"/>
              <w:widowControl w:val="0"/>
              <w:tabs>
                <w:tab w:val="left" w:pos="2259"/>
                <w:tab w:val="left" w:pos="2260"/>
              </w:tabs>
              <w:ind w:left="703" w:right="5"/>
              <w:rPr>
                <w:rFonts w:ascii="Arial" w:hAnsi="Arial" w:cs="Arial"/>
                <w:sz w:val="20"/>
                <w:szCs w:val="20"/>
              </w:rPr>
            </w:pPr>
          </w:p>
          <w:p w14:paraId="03F7A6F3" w14:textId="77777777" w:rsidR="00A3316B" w:rsidRPr="0062713F" w:rsidRDefault="00A3316B" w:rsidP="001C3146">
            <w:pPr>
              <w:pStyle w:val="ListParagraph"/>
              <w:widowControl w:val="0"/>
              <w:numPr>
                <w:ilvl w:val="0"/>
                <w:numId w:val="55"/>
              </w:numPr>
              <w:tabs>
                <w:tab w:val="left" w:pos="2259"/>
                <w:tab w:val="left" w:pos="2260"/>
              </w:tabs>
              <w:ind w:left="703" w:right="5" w:hanging="703"/>
              <w:rPr>
                <w:rFonts w:ascii="Arial" w:hAnsi="Arial" w:cs="Arial"/>
                <w:sz w:val="20"/>
                <w:szCs w:val="20"/>
              </w:rPr>
            </w:pPr>
            <w:r w:rsidRPr="0062713F">
              <w:rPr>
                <w:rFonts w:ascii="Arial" w:hAnsi="Arial" w:cs="Arial"/>
                <w:sz w:val="20"/>
                <w:szCs w:val="20"/>
              </w:rPr>
              <w:t>Determine if the fees comply with fee reasonable guidelines set by</w:t>
            </w:r>
            <w:r w:rsidRPr="0062713F">
              <w:rPr>
                <w:rFonts w:ascii="Arial" w:hAnsi="Arial" w:cs="Arial"/>
                <w:spacing w:val="-30"/>
                <w:sz w:val="20"/>
                <w:szCs w:val="20"/>
              </w:rPr>
              <w:t xml:space="preserve"> </w:t>
            </w:r>
            <w:r w:rsidRPr="0062713F">
              <w:rPr>
                <w:rFonts w:ascii="Arial" w:hAnsi="Arial" w:cs="Arial"/>
                <w:spacing w:val="-5"/>
                <w:sz w:val="20"/>
                <w:szCs w:val="20"/>
              </w:rPr>
              <w:t>HUD.</w:t>
            </w:r>
          </w:p>
          <w:p w14:paraId="76624F2C" w14:textId="77777777" w:rsidR="00A3316B" w:rsidRPr="0062713F" w:rsidRDefault="00A3316B" w:rsidP="00A3316B">
            <w:pPr>
              <w:widowControl w:val="0"/>
              <w:tabs>
                <w:tab w:val="left" w:pos="2259"/>
                <w:tab w:val="left" w:pos="2260"/>
              </w:tabs>
              <w:ind w:right="5"/>
              <w:rPr>
                <w:rFonts w:ascii="Arial" w:hAnsi="Arial" w:cs="Arial"/>
                <w:sz w:val="20"/>
                <w:szCs w:val="20"/>
              </w:rPr>
            </w:pPr>
          </w:p>
          <w:p w14:paraId="2AA2CD99" w14:textId="77777777" w:rsidR="008B4BCE" w:rsidRPr="001364E4" w:rsidRDefault="00A3316B" w:rsidP="001C3146">
            <w:pPr>
              <w:pStyle w:val="ListParagraph"/>
              <w:widowControl w:val="0"/>
              <w:numPr>
                <w:ilvl w:val="0"/>
                <w:numId w:val="55"/>
              </w:numPr>
              <w:tabs>
                <w:tab w:val="left" w:pos="2259"/>
                <w:tab w:val="left" w:pos="2260"/>
              </w:tabs>
              <w:ind w:left="703" w:right="5" w:hanging="703"/>
              <w:rPr>
                <w:sz w:val="24"/>
              </w:rPr>
            </w:pPr>
            <w:r w:rsidRPr="0062713F">
              <w:rPr>
                <w:rFonts w:ascii="Arial" w:hAnsi="Arial" w:cs="Arial"/>
                <w:sz w:val="20"/>
                <w:szCs w:val="20"/>
              </w:rPr>
              <w:t>For any fees that do not meet the reasonableness guidelines, review the documentation maintained by the PHA to determine if the fees were approved by HUD or are</w:t>
            </w:r>
            <w:r w:rsidRPr="0062713F">
              <w:rPr>
                <w:rFonts w:ascii="Arial" w:hAnsi="Arial" w:cs="Arial"/>
                <w:spacing w:val="-2"/>
                <w:sz w:val="20"/>
                <w:szCs w:val="20"/>
              </w:rPr>
              <w:t xml:space="preserve"> </w:t>
            </w:r>
            <w:r w:rsidRPr="0062713F">
              <w:rPr>
                <w:rFonts w:ascii="Arial" w:hAnsi="Arial" w:cs="Arial"/>
                <w:sz w:val="20"/>
                <w:szCs w:val="20"/>
              </w:rPr>
              <w:t>reasonable.</w:t>
            </w:r>
          </w:p>
          <w:p w14:paraId="42B63E2C" w14:textId="77777777" w:rsidR="001364E4" w:rsidRPr="001364E4" w:rsidRDefault="001364E4" w:rsidP="001364E4">
            <w:pPr>
              <w:pStyle w:val="ListParagraph"/>
              <w:rPr>
                <w:sz w:val="24"/>
              </w:rPr>
            </w:pPr>
          </w:p>
          <w:p w14:paraId="4123F69F" w14:textId="328C5619" w:rsidR="001364E4" w:rsidRPr="00A3316B" w:rsidRDefault="001364E4" w:rsidP="001364E4">
            <w:pPr>
              <w:pStyle w:val="ListParagraph"/>
              <w:widowControl w:val="0"/>
              <w:tabs>
                <w:tab w:val="left" w:pos="2259"/>
                <w:tab w:val="left" w:pos="2260"/>
              </w:tabs>
              <w:ind w:left="703" w:right="5"/>
              <w:rPr>
                <w:sz w:val="24"/>
              </w:rPr>
            </w:pPr>
          </w:p>
        </w:tc>
      </w:tr>
    </w:tbl>
    <w:p w14:paraId="260A3897"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7129D29E" w14:textId="77777777" w:rsidR="008B4BCE" w:rsidRPr="000706D1" w:rsidRDefault="008B4BCE" w:rsidP="008B4BCE">
      <w:pPr>
        <w:pStyle w:val="Heading3"/>
        <w:jc w:val="both"/>
        <w:rPr>
          <w:rFonts w:cs="Arial"/>
          <w:b w:val="0"/>
          <w:sz w:val="24"/>
          <w:szCs w:val="24"/>
        </w:rPr>
      </w:pPr>
      <w:bookmarkStart w:id="101" w:name="_Toc212473158"/>
      <w:r w:rsidRPr="000706D1">
        <w:rPr>
          <w:rFonts w:cs="Arial"/>
          <w:sz w:val="24"/>
          <w:szCs w:val="24"/>
        </w:rPr>
        <w:t>Audit Implications Summary</w:t>
      </w:r>
      <w:bookmarkEnd w:id="101"/>
    </w:p>
    <w:tbl>
      <w:tblPr>
        <w:tblStyle w:val="TableGrid"/>
        <w:tblW w:w="5000" w:type="pct"/>
        <w:tblLook w:val="04A0" w:firstRow="1" w:lastRow="0" w:firstColumn="1" w:lastColumn="0" w:noHBand="0" w:noVBand="1"/>
      </w:tblPr>
      <w:tblGrid>
        <w:gridCol w:w="9350"/>
      </w:tblGrid>
      <w:tr w:rsidR="008B4BCE" w:rsidRPr="00F00D94" w14:paraId="621C79D2" w14:textId="77777777" w:rsidTr="009F1483">
        <w:tc>
          <w:tcPr>
            <w:tcW w:w="5000" w:type="pct"/>
          </w:tcPr>
          <w:p w14:paraId="6C81E876" w14:textId="77777777" w:rsidR="008B4BCE" w:rsidRDefault="008B4BCE"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EBFFAD1" w14:textId="77777777" w:rsidR="008B4BCE" w:rsidRPr="006E46AD" w:rsidRDefault="008B4BCE"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605F8D2" w14:textId="77777777" w:rsidR="008B4BCE" w:rsidRPr="006E46AD" w:rsidRDefault="008B4BCE" w:rsidP="001C3146">
            <w:pPr>
              <w:pStyle w:val="ListParagraph"/>
              <w:widowControl w:val="0"/>
              <w:numPr>
                <w:ilvl w:val="0"/>
                <w:numId w:val="5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E27626A" w14:textId="77777777" w:rsidR="008B4BCE" w:rsidRPr="006E46AD" w:rsidRDefault="008B4BCE" w:rsidP="009F1483">
            <w:pPr>
              <w:widowControl w:val="0"/>
              <w:spacing w:after="240"/>
              <w:ind w:left="720"/>
              <w:jc w:val="both"/>
              <w:rPr>
                <w:rFonts w:ascii="Arial" w:hAnsi="Arial" w:cs="Arial"/>
                <w:b/>
                <w:sz w:val="20"/>
                <w:szCs w:val="20"/>
              </w:rPr>
            </w:pPr>
          </w:p>
          <w:p w14:paraId="67F732FB" w14:textId="77777777" w:rsidR="008B4BCE" w:rsidRPr="006E46AD" w:rsidRDefault="008B4BCE" w:rsidP="001C3146">
            <w:pPr>
              <w:widowControl w:val="0"/>
              <w:numPr>
                <w:ilvl w:val="0"/>
                <w:numId w:val="5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6BA30D" w14:textId="77777777" w:rsidR="008B4BCE" w:rsidRPr="00F00D94" w:rsidRDefault="008B4BCE" w:rsidP="009F1483">
            <w:pPr>
              <w:pStyle w:val="ListParagraph"/>
              <w:spacing w:after="240"/>
              <w:jc w:val="both"/>
              <w:rPr>
                <w:rFonts w:ascii="Arial" w:hAnsi="Arial" w:cs="Arial"/>
                <w:b/>
              </w:rPr>
            </w:pPr>
          </w:p>
          <w:p w14:paraId="695AD15C" w14:textId="77777777" w:rsidR="008B4BCE" w:rsidRPr="00F00D94" w:rsidRDefault="008B4BCE" w:rsidP="001C3146">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C1E93A2" w14:textId="77777777" w:rsidR="008B4BCE" w:rsidRPr="00F00D94" w:rsidRDefault="008B4BCE" w:rsidP="009F1483">
            <w:pPr>
              <w:pStyle w:val="ListParagraph"/>
              <w:spacing w:after="240"/>
              <w:jc w:val="both"/>
              <w:rPr>
                <w:rFonts w:ascii="Arial" w:hAnsi="Arial" w:cs="Arial"/>
                <w:b/>
              </w:rPr>
            </w:pPr>
          </w:p>
          <w:p w14:paraId="1C128632" w14:textId="77777777" w:rsidR="008B4BCE" w:rsidRPr="00F00D94" w:rsidRDefault="008B4BCE" w:rsidP="001C3146">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DB2E590" w14:textId="77777777" w:rsidR="008B4BCE" w:rsidRPr="00F00D94" w:rsidRDefault="008B4BCE" w:rsidP="009F1483">
            <w:pPr>
              <w:pStyle w:val="ListParagraph"/>
              <w:spacing w:after="240"/>
              <w:jc w:val="both"/>
              <w:rPr>
                <w:rFonts w:ascii="Arial" w:hAnsi="Arial" w:cs="Arial"/>
                <w:b/>
              </w:rPr>
            </w:pPr>
          </w:p>
          <w:p w14:paraId="231D7E09" w14:textId="77777777" w:rsidR="008B4BCE" w:rsidRPr="00F00D94" w:rsidRDefault="008B4BCE" w:rsidP="001C3146">
            <w:pPr>
              <w:widowControl w:val="0"/>
              <w:numPr>
                <w:ilvl w:val="0"/>
                <w:numId w:val="5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D78E601" w14:textId="77777777" w:rsidR="008B4BCE" w:rsidRPr="00F00D94" w:rsidRDefault="008B4BCE" w:rsidP="009F1483">
            <w:pPr>
              <w:pStyle w:val="APStepItem"/>
              <w:numPr>
                <w:ilvl w:val="0"/>
                <w:numId w:val="0"/>
              </w:numPr>
              <w:spacing w:after="240"/>
              <w:rPr>
                <w:rFonts w:cs="Arial"/>
                <w:b/>
              </w:rPr>
            </w:pPr>
          </w:p>
        </w:tc>
      </w:tr>
    </w:tbl>
    <w:p w14:paraId="7643409A" w14:textId="77777777" w:rsidR="008B4BCE" w:rsidRDefault="008B4BCE" w:rsidP="008B4BCE">
      <w:pPr>
        <w:pStyle w:val="Heading2"/>
        <w:jc w:val="both"/>
        <w:rPr>
          <w:rFonts w:cs="Arial"/>
          <w:sz w:val="24"/>
        </w:rPr>
        <w:sectPr w:rsidR="008B4BCE" w:rsidSect="00885BA6">
          <w:headerReference w:type="default" r:id="rId96"/>
          <w:pgSz w:w="12240" w:h="15840" w:code="1"/>
          <w:pgMar w:top="1440" w:right="1440" w:bottom="1440" w:left="1440" w:header="720" w:footer="720" w:gutter="0"/>
          <w:cols w:space="720"/>
          <w:docGrid w:linePitch="360"/>
        </w:sectPr>
      </w:pPr>
    </w:p>
    <w:p w14:paraId="1E5C70A5" w14:textId="7C711CC1" w:rsidR="008B4BCE" w:rsidRPr="000706D1" w:rsidRDefault="008B4BCE" w:rsidP="008B4BCE">
      <w:pPr>
        <w:pStyle w:val="Heading2"/>
        <w:jc w:val="both"/>
        <w:rPr>
          <w:rFonts w:cs="Arial"/>
          <w:sz w:val="24"/>
        </w:rPr>
      </w:pPr>
      <w:bookmarkStart w:id="102" w:name="_Toc212473159"/>
      <w:r w:rsidRPr="000706D1">
        <w:rPr>
          <w:rFonts w:cs="Arial"/>
          <w:sz w:val="24"/>
        </w:rPr>
        <w:lastRenderedPageBreak/>
        <w:t>N</w:t>
      </w:r>
      <w:r w:rsidR="00A3316B">
        <w:rPr>
          <w:rFonts w:cs="Arial"/>
          <w:sz w:val="24"/>
        </w:rPr>
        <w:t>7</w:t>
      </w:r>
      <w:r w:rsidRPr="000706D1">
        <w:rPr>
          <w:rFonts w:cs="Arial"/>
          <w:sz w:val="24"/>
        </w:rPr>
        <w:t>.  SPECIAL TESTS AND PROVISIONS</w:t>
      </w:r>
      <w:r w:rsidR="00A3316B">
        <w:rPr>
          <w:rFonts w:cs="Arial"/>
          <w:sz w:val="24"/>
        </w:rPr>
        <w:t xml:space="preserve"> – PRORATING FRONT-LINE CENTRALIZED SERVICES</w:t>
      </w:r>
      <w:bookmarkEnd w:id="102"/>
    </w:p>
    <w:p w14:paraId="5B5A3CE3" w14:textId="77777777" w:rsidR="008B4BCE" w:rsidRPr="000706D1" w:rsidRDefault="008B4BCE" w:rsidP="008B4BCE">
      <w:pPr>
        <w:pStyle w:val="Heading3"/>
        <w:jc w:val="both"/>
        <w:rPr>
          <w:rFonts w:cs="Arial"/>
          <w:sz w:val="24"/>
          <w:szCs w:val="24"/>
        </w:rPr>
      </w:pPr>
      <w:bookmarkStart w:id="103" w:name="_Toc212473160"/>
      <w:r w:rsidRPr="000706D1">
        <w:rPr>
          <w:rFonts w:cs="Arial"/>
          <w:sz w:val="24"/>
          <w:szCs w:val="24"/>
        </w:rPr>
        <w:t>OMB Compliance Requirements</w:t>
      </w:r>
      <w:bookmarkEnd w:id="103"/>
    </w:p>
    <w:p w14:paraId="2FDEAD3A" w14:textId="77777777" w:rsidR="008B4BCE" w:rsidRPr="005C1EBC"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0CA85EF8"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324FFBDA" w14:textId="77777777" w:rsidR="008B4BCE" w:rsidRPr="00F00D94" w:rsidRDefault="008B4BCE" w:rsidP="008B4BCE">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17DB708" w14:textId="77777777" w:rsidR="008B4BCE" w:rsidRPr="000706D1" w:rsidRDefault="008B4BCE" w:rsidP="00A3316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7060BB2" w14:textId="70068DD7" w:rsidR="00A3316B" w:rsidRPr="00A3316B" w:rsidRDefault="00A3316B" w:rsidP="00A3316B">
      <w:pPr>
        <w:jc w:val="both"/>
        <w:rPr>
          <w:rFonts w:ascii="Arial" w:hAnsi="Arial" w:cs="Arial"/>
          <w:bCs/>
        </w:rPr>
      </w:pPr>
      <w:r w:rsidRPr="00A3316B">
        <w:rPr>
          <w:rFonts w:ascii="Arial" w:hAnsi="Arial" w:cs="Arial"/>
          <w:bCs/>
        </w:rPr>
        <w:t>When a COCC chooses to centralize certain front-line project costs (e.g., rent collection, resident services, security, waiting lists, work order processing), it may (rather than using fee-for-service) prorate these costs based on a reasonable, documented methodology. The prorating of these costs (e.g., cost allocation plan) shall reflect the PHA’s broader accounting policy.</w:t>
      </w:r>
    </w:p>
    <w:p w14:paraId="27BCD5D6" w14:textId="77777777" w:rsidR="00A3316B" w:rsidRPr="00A3316B" w:rsidRDefault="00A3316B" w:rsidP="00A3316B">
      <w:pPr>
        <w:pStyle w:val="BodyText"/>
        <w:spacing w:after="0"/>
        <w:jc w:val="both"/>
        <w:rPr>
          <w:rFonts w:ascii="Arial" w:hAnsi="Arial" w:cs="Arial"/>
          <w:bCs/>
          <w:szCs w:val="20"/>
        </w:rPr>
      </w:pPr>
    </w:p>
    <w:p w14:paraId="33C2089B" w14:textId="5DB299A2" w:rsidR="00A3316B" w:rsidRPr="00A3316B" w:rsidRDefault="00A3316B" w:rsidP="00A3316B">
      <w:pPr>
        <w:pStyle w:val="BodyText"/>
        <w:spacing w:after="0"/>
        <w:jc w:val="both"/>
        <w:rPr>
          <w:rFonts w:ascii="Arial" w:hAnsi="Arial" w:cs="Arial"/>
          <w:bCs/>
          <w:szCs w:val="20"/>
        </w:rPr>
      </w:pPr>
      <w:r w:rsidRPr="00A3316B">
        <w:rPr>
          <w:rFonts w:ascii="Arial" w:hAnsi="Arial" w:cs="Arial"/>
          <w:bCs/>
          <w:szCs w:val="20"/>
        </w:rPr>
        <w:t>Projects with on-site staff that can provide these services at a project may not also be charged these services using proration. A PHA could prorate these costs based on a percentage of units, bedroom distribution, turnover, or other reasonable methods. With the exception of a central waiting list, resident services, and security/protective services, a project may not pay for the cost of a supervisor overseeing a front-line task that is performed centrally (see Section 7.10 of the Supplement to HUD Handbook 7475.1) (24 CFR section 990.280).</w:t>
      </w:r>
    </w:p>
    <w:p w14:paraId="0EE389C6" w14:textId="35D102BE" w:rsidR="008B4BCE" w:rsidRDefault="008B4BCE" w:rsidP="00A3316B">
      <w:pPr>
        <w:jc w:val="both"/>
        <w:rPr>
          <w:rFonts w:ascii="Arial" w:hAnsi="Arial" w:cs="Arial"/>
          <w:b/>
          <w:highlight w:val="yellow"/>
        </w:rPr>
      </w:pPr>
    </w:p>
    <w:p w14:paraId="478BA8BE" w14:textId="7FD0B04E" w:rsidR="00A3316B" w:rsidRPr="0054556F" w:rsidRDefault="00A3316B" w:rsidP="00A3316B">
      <w:pPr>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Public </w:t>
      </w:r>
      <w:r w:rsidR="007D76AB">
        <w:rPr>
          <w:rFonts w:ascii="Arial" w:hAnsi="Arial" w:cs="Arial"/>
          <w:bCs/>
          <w:i/>
          <w:iCs/>
        </w:rPr>
        <w:t>Housing Operating Fund</w:t>
      </w:r>
      <w:r w:rsidRPr="006C797F">
        <w:rPr>
          <w:rFonts w:ascii="Arial" w:hAnsi="Arial" w:cs="Arial"/>
          <w:bCs/>
          <w:i/>
          <w:iCs/>
        </w:rPr>
        <w:t>)</w:t>
      </w:r>
    </w:p>
    <w:p w14:paraId="3E34BC0E" w14:textId="77777777" w:rsidR="00A3316B" w:rsidRPr="004A0AB6" w:rsidRDefault="00A3316B" w:rsidP="00A3316B">
      <w:pPr>
        <w:jc w:val="both"/>
        <w:rPr>
          <w:rFonts w:ascii="Arial" w:hAnsi="Arial" w:cs="Arial"/>
          <w:b/>
          <w:highlight w:val="yellow"/>
        </w:rPr>
      </w:pPr>
    </w:p>
    <w:p w14:paraId="25A04FE3" w14:textId="77777777" w:rsidR="008B4BCE" w:rsidRPr="000706D1" w:rsidRDefault="008B4BCE" w:rsidP="00A3316B">
      <w:pPr>
        <w:pStyle w:val="Heading3"/>
        <w:spacing w:after="0"/>
        <w:jc w:val="both"/>
        <w:rPr>
          <w:rFonts w:cs="Arial"/>
          <w:sz w:val="24"/>
          <w:szCs w:val="24"/>
        </w:rPr>
      </w:pPr>
      <w:bookmarkStart w:id="104" w:name="_Toc212473161"/>
      <w:r w:rsidRPr="000706D1">
        <w:rPr>
          <w:rFonts w:cs="Arial"/>
          <w:sz w:val="24"/>
          <w:szCs w:val="24"/>
        </w:rPr>
        <w:t>Additional Program Specific Information</w:t>
      </w:r>
      <w:bookmarkEnd w:id="104"/>
    </w:p>
    <w:p w14:paraId="12258FCF" w14:textId="77777777" w:rsidR="008B4BCE" w:rsidRPr="00AA5B05" w:rsidRDefault="008B4BCE" w:rsidP="008B4BCE">
      <w:pPr>
        <w:spacing w:after="240"/>
        <w:jc w:val="both"/>
        <w:rPr>
          <w:rFonts w:ascii="Arial" w:hAnsi="Arial" w:cs="Arial"/>
          <w:b/>
          <w:highlight w:val="yellow"/>
        </w:rPr>
      </w:pPr>
      <w:r w:rsidRPr="00AA5B05">
        <w:rPr>
          <w:rFonts w:ascii="Arial" w:hAnsi="Arial" w:cs="Arial"/>
          <w:b/>
          <w:highlight w:val="yellow"/>
        </w:rPr>
        <w:t>Add program specific requirements from:</w:t>
      </w:r>
    </w:p>
    <w:p w14:paraId="460AB198"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34BF34E" w14:textId="77777777" w:rsidR="008B4BCE" w:rsidRPr="00AA5B05" w:rsidRDefault="008B4BCE"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3C1BE12"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2AA57E00" w14:textId="77777777" w:rsidR="008B4BCE" w:rsidRPr="00AA5B05" w:rsidRDefault="008B4BCE" w:rsidP="008B4BCE">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29DF8817" w14:textId="77777777" w:rsidR="008B4BCE" w:rsidRPr="000706D1" w:rsidRDefault="008B4BCE" w:rsidP="008B4BCE">
      <w:pPr>
        <w:pStyle w:val="Heading3"/>
        <w:jc w:val="both"/>
        <w:rPr>
          <w:rFonts w:cs="Arial"/>
          <w:sz w:val="24"/>
          <w:szCs w:val="24"/>
        </w:rPr>
      </w:pPr>
      <w:bookmarkStart w:id="105" w:name="_Toc212473162"/>
      <w:r w:rsidRPr="000706D1">
        <w:rPr>
          <w:rFonts w:cs="Arial"/>
          <w:sz w:val="24"/>
          <w:szCs w:val="24"/>
        </w:rPr>
        <w:t>Audit Objectives and Control Testing</w:t>
      </w:r>
      <w:bookmarkEnd w:id="105"/>
    </w:p>
    <w:p w14:paraId="7F7495C5" w14:textId="77777777" w:rsidR="008B4BCE" w:rsidRPr="00F00D94" w:rsidRDefault="008B4BCE" w:rsidP="008B4BC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A2A858" w14:textId="77777777" w:rsidR="008B4BCE" w:rsidRPr="00F00D94" w:rsidRDefault="008B4BCE" w:rsidP="008B4BC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9210286" w14:textId="77777777" w:rsidR="008B4BCE"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26A9E41" w14:textId="434689AB" w:rsidR="008B4BCE" w:rsidRPr="00A3316B" w:rsidRDefault="00A3316B" w:rsidP="001C3146">
      <w:pPr>
        <w:pStyle w:val="ListParagraph"/>
        <w:numPr>
          <w:ilvl w:val="0"/>
          <w:numId w:val="5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A3316B">
        <w:rPr>
          <w:rFonts w:ascii="Arial" w:hAnsi="Arial" w:cs="Arial"/>
        </w:rPr>
        <w:t>Determine whether the centralized direct project costs charged to the project(s) by the COCC are reasonable, supervisory costs are properly charged, and costs are not charged to the project using proration if on-site staff can provide the services.</w:t>
      </w:r>
    </w:p>
    <w:p w14:paraId="7B5B61C1" w14:textId="4642727C" w:rsidR="00A3316B" w:rsidRPr="00A3316B" w:rsidRDefault="00A3316B" w:rsidP="00A3316B">
      <w:pPr>
        <w:spacing w:after="240"/>
        <w:jc w:val="both"/>
        <w:rPr>
          <w:rFonts w:ascii="Arial" w:hAnsi="Arial" w:cs="Arial"/>
          <w:bCs/>
          <w:i/>
          <w:iCs/>
        </w:rPr>
      </w:pPr>
      <w:r w:rsidRPr="00A3316B">
        <w:rPr>
          <w:rFonts w:ascii="Arial" w:hAnsi="Arial" w:cs="Arial"/>
          <w:bCs/>
          <w:i/>
          <w:iCs/>
        </w:rPr>
        <w:t>(Source: 202</w:t>
      </w:r>
      <w:r>
        <w:rPr>
          <w:rFonts w:ascii="Arial" w:hAnsi="Arial" w:cs="Arial"/>
          <w:bCs/>
          <w:i/>
          <w:iCs/>
        </w:rPr>
        <w:t>5</w:t>
      </w:r>
      <w:r w:rsidRPr="00A3316B">
        <w:rPr>
          <w:rFonts w:ascii="Arial" w:hAnsi="Arial" w:cs="Arial"/>
          <w:bCs/>
          <w:i/>
          <w:iCs/>
        </w:rPr>
        <w:t xml:space="preserve"> OMB Compliance Supplement, Part 4, HUD, #14.850 Public Housing Operating Fund)</w:t>
      </w:r>
    </w:p>
    <w:p w14:paraId="6F45F9B4" w14:textId="77777777" w:rsidR="008B4BCE" w:rsidRPr="00634FA3" w:rsidRDefault="008B4BCE" w:rsidP="008B4BC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B4BCE" w:rsidRPr="00F00D94" w14:paraId="0D52CCE4" w14:textId="77777777" w:rsidTr="009F1483">
        <w:tc>
          <w:tcPr>
            <w:tcW w:w="5000" w:type="pct"/>
          </w:tcPr>
          <w:p w14:paraId="6A896347" w14:textId="77777777" w:rsidR="008B4BCE" w:rsidRPr="006F5FFA" w:rsidRDefault="008B4BCE"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3B2826B"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24224BA" w14:textId="77777777" w:rsidR="008B4BCE" w:rsidRPr="00F00D94" w:rsidRDefault="008B4BCE" w:rsidP="009F1483">
            <w:pPr>
              <w:pStyle w:val="AuditProcedureHeading"/>
              <w:spacing w:after="240"/>
              <w:jc w:val="both"/>
              <w:rPr>
                <w:rFonts w:cs="Arial"/>
                <w:b/>
                <w:bCs/>
                <w:szCs w:val="20"/>
                <w:u w:val="single"/>
              </w:rPr>
            </w:pPr>
          </w:p>
          <w:p w14:paraId="1E87D5F4" w14:textId="77777777" w:rsidR="008B4BCE" w:rsidRPr="00F00D94" w:rsidRDefault="008B4BCE"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C27B812" w14:textId="77777777" w:rsidR="008B4BCE" w:rsidRPr="00F00D94" w:rsidRDefault="008B4BCE" w:rsidP="009F1483">
            <w:pPr>
              <w:pStyle w:val="AuditProcedureHeading"/>
              <w:spacing w:after="240"/>
              <w:jc w:val="both"/>
              <w:rPr>
                <w:rFonts w:cs="Arial"/>
                <w:b/>
                <w:bCs/>
                <w:szCs w:val="20"/>
                <w:u w:val="single"/>
              </w:rPr>
            </w:pPr>
          </w:p>
          <w:p w14:paraId="7ACD80D9"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8D4FDC4" w14:textId="77777777" w:rsidR="008B4BCE" w:rsidRPr="00F00D94" w:rsidRDefault="008B4BCE" w:rsidP="009F1483">
            <w:pPr>
              <w:spacing w:after="240"/>
              <w:jc w:val="both"/>
              <w:rPr>
                <w:rFonts w:ascii="Arial" w:hAnsi="Arial" w:cs="Arial"/>
                <w:b/>
                <w:sz w:val="20"/>
                <w:u w:val="single"/>
              </w:rPr>
            </w:pPr>
          </w:p>
          <w:p w14:paraId="5E1828A2" w14:textId="77777777" w:rsidR="008B4BCE" w:rsidRPr="00F00D94" w:rsidRDefault="008B4BCE"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FDBC649" w14:textId="77777777" w:rsidR="008B4BCE" w:rsidRPr="00C35E5F" w:rsidRDefault="008B4BCE" w:rsidP="009F1483">
            <w:pPr>
              <w:spacing w:after="240"/>
              <w:jc w:val="both"/>
              <w:rPr>
                <w:rFonts w:ascii="Arial" w:eastAsiaTheme="minorHAnsi" w:hAnsi="Arial" w:cs="Arial"/>
                <w:sz w:val="20"/>
                <w:szCs w:val="20"/>
              </w:rPr>
            </w:pPr>
          </w:p>
        </w:tc>
      </w:tr>
    </w:tbl>
    <w:p w14:paraId="3C8B0FA9"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DE48F26" w14:textId="77777777" w:rsidR="008B4BCE" w:rsidRPr="000706D1" w:rsidRDefault="008B4BCE" w:rsidP="008B4BCE">
      <w:pPr>
        <w:pStyle w:val="Heading3"/>
        <w:jc w:val="both"/>
        <w:rPr>
          <w:rFonts w:cs="Arial"/>
          <w:sz w:val="24"/>
          <w:szCs w:val="24"/>
        </w:rPr>
      </w:pPr>
      <w:bookmarkStart w:id="106" w:name="_Toc21247316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06"/>
    </w:p>
    <w:tbl>
      <w:tblPr>
        <w:tblStyle w:val="TableGrid"/>
        <w:tblW w:w="9558" w:type="dxa"/>
        <w:tblLayout w:type="fixed"/>
        <w:tblLook w:val="04A0" w:firstRow="1" w:lastRow="0" w:firstColumn="1" w:lastColumn="0" w:noHBand="0" w:noVBand="1"/>
      </w:tblPr>
      <w:tblGrid>
        <w:gridCol w:w="9558"/>
      </w:tblGrid>
      <w:tr w:rsidR="008B4BCE" w:rsidRPr="00F00D94" w14:paraId="02B3738E" w14:textId="77777777" w:rsidTr="009F1483">
        <w:tc>
          <w:tcPr>
            <w:tcW w:w="9558" w:type="dxa"/>
          </w:tcPr>
          <w:p w14:paraId="04548CF5" w14:textId="77777777" w:rsidR="008B4BCE" w:rsidRDefault="008B4BCE"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AB058EA" w14:textId="77777777" w:rsidR="008B4BCE" w:rsidRPr="00AC7B25" w:rsidRDefault="008B4BCE"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7605EE3B" w14:textId="4DB70DF7" w:rsidR="00A3316B" w:rsidRPr="00A3316B" w:rsidRDefault="00A3316B" w:rsidP="00A3316B">
            <w:pPr>
              <w:spacing w:after="240"/>
              <w:ind w:left="703" w:hanging="720"/>
              <w:jc w:val="both"/>
              <w:rPr>
                <w:rFonts w:ascii="Arial" w:hAnsi="Arial" w:cs="Arial"/>
                <w:sz w:val="20"/>
              </w:rPr>
            </w:pPr>
            <w:r w:rsidRPr="00A3316B">
              <w:rPr>
                <w:rFonts w:ascii="Arial" w:hAnsi="Arial" w:cs="Arial"/>
                <w:sz w:val="20"/>
              </w:rPr>
              <w:lastRenderedPageBreak/>
              <w:t>a.</w:t>
            </w:r>
            <w:r w:rsidRPr="00A3316B">
              <w:rPr>
                <w:rFonts w:ascii="Arial" w:hAnsi="Arial" w:cs="Arial"/>
                <w:sz w:val="20"/>
              </w:rPr>
              <w:tab/>
              <w:t>Ascertain if the project is pro-rating front-line centralized services and, if so—</w:t>
            </w:r>
          </w:p>
          <w:p w14:paraId="4C930104" w14:textId="61B18B53" w:rsidR="00A3316B" w:rsidRPr="00A3316B" w:rsidRDefault="00A3316B" w:rsidP="00A3316B">
            <w:pPr>
              <w:spacing w:after="240"/>
              <w:ind w:left="703" w:hanging="720"/>
              <w:jc w:val="both"/>
              <w:rPr>
                <w:rFonts w:ascii="Arial" w:hAnsi="Arial" w:cs="Arial"/>
                <w:sz w:val="20"/>
              </w:rPr>
            </w:pPr>
            <w:r w:rsidRPr="00A3316B">
              <w:rPr>
                <w:rFonts w:ascii="Arial" w:hAnsi="Arial" w:cs="Arial"/>
                <w:sz w:val="20"/>
              </w:rPr>
              <w:t>b.</w:t>
            </w:r>
            <w:r w:rsidRPr="00A3316B">
              <w:rPr>
                <w:rFonts w:ascii="Arial" w:hAnsi="Arial" w:cs="Arial"/>
                <w:sz w:val="20"/>
              </w:rPr>
              <w:tab/>
              <w:t>Select a sample of costs prorated by the COCC to a project for centralized front- line project costs.</w:t>
            </w:r>
          </w:p>
          <w:p w14:paraId="526C937B" w14:textId="0F1C6E44" w:rsidR="00A3316B" w:rsidRPr="00A3316B" w:rsidRDefault="00A3316B" w:rsidP="00A3316B">
            <w:pPr>
              <w:spacing w:after="240"/>
              <w:ind w:left="703" w:hanging="720"/>
              <w:jc w:val="both"/>
              <w:rPr>
                <w:rFonts w:ascii="Arial" w:hAnsi="Arial" w:cs="Arial"/>
                <w:sz w:val="20"/>
              </w:rPr>
            </w:pPr>
            <w:r w:rsidRPr="00A3316B">
              <w:rPr>
                <w:rFonts w:ascii="Arial" w:hAnsi="Arial" w:cs="Arial"/>
                <w:sz w:val="20"/>
              </w:rPr>
              <w:t>c.</w:t>
            </w:r>
            <w:r w:rsidRPr="00A3316B">
              <w:rPr>
                <w:rFonts w:ascii="Arial" w:hAnsi="Arial" w:cs="Arial"/>
                <w:sz w:val="20"/>
              </w:rPr>
              <w:tab/>
              <w:t>Review the method used to prorate amounts, including the method used to determine the degree of cost allocation to the respective project(s) to ensure that the documented method mirrors the method associated with costs charged to a project.</w:t>
            </w:r>
          </w:p>
          <w:p w14:paraId="275914D4" w14:textId="0ADD662A" w:rsidR="00A3316B" w:rsidRPr="00A3316B" w:rsidRDefault="00A3316B" w:rsidP="00A3316B">
            <w:pPr>
              <w:spacing w:after="240"/>
              <w:ind w:left="703" w:hanging="720"/>
              <w:jc w:val="both"/>
              <w:rPr>
                <w:rFonts w:ascii="Arial" w:hAnsi="Arial" w:cs="Arial"/>
                <w:sz w:val="20"/>
              </w:rPr>
            </w:pPr>
            <w:r w:rsidRPr="00A3316B">
              <w:rPr>
                <w:rFonts w:ascii="Arial" w:hAnsi="Arial" w:cs="Arial"/>
                <w:sz w:val="20"/>
              </w:rPr>
              <w:t>d.</w:t>
            </w:r>
            <w:r w:rsidRPr="00A3316B">
              <w:rPr>
                <w:rFonts w:ascii="Arial" w:hAnsi="Arial" w:cs="Arial"/>
                <w:sz w:val="20"/>
              </w:rPr>
              <w:tab/>
              <w:t>Verify that charges are based on the methodology established by the PHA.</w:t>
            </w:r>
          </w:p>
          <w:p w14:paraId="2A1C5051" w14:textId="68D1D38A" w:rsidR="00A3316B" w:rsidRPr="00A3316B" w:rsidRDefault="00A3316B" w:rsidP="00A3316B">
            <w:pPr>
              <w:spacing w:after="240"/>
              <w:ind w:left="703" w:hanging="720"/>
              <w:jc w:val="both"/>
              <w:rPr>
                <w:rFonts w:ascii="Arial" w:hAnsi="Arial" w:cs="Arial"/>
                <w:sz w:val="20"/>
              </w:rPr>
            </w:pPr>
            <w:r w:rsidRPr="00A3316B">
              <w:rPr>
                <w:rFonts w:ascii="Arial" w:hAnsi="Arial" w:cs="Arial"/>
                <w:sz w:val="20"/>
              </w:rPr>
              <w:t>e.</w:t>
            </w:r>
            <w:r w:rsidRPr="00A3316B">
              <w:rPr>
                <w:rFonts w:ascii="Arial" w:hAnsi="Arial" w:cs="Arial"/>
                <w:sz w:val="20"/>
              </w:rPr>
              <w:tab/>
              <w:t>Confirm, by obtaining written representations from management, that the project(s) charged lack the on-site human resources to perform the function and whether such services were provided in the past. Verification can also be ascertained by reviewing the staff's roles and responsibilities and determining if the services provided fall under these roles and responsibilities.</w:t>
            </w:r>
          </w:p>
          <w:p w14:paraId="1A4FCE8B" w14:textId="735741B2" w:rsidR="00A3316B" w:rsidRPr="0062713F" w:rsidRDefault="00A3316B" w:rsidP="0062713F">
            <w:pPr>
              <w:spacing w:after="240"/>
              <w:ind w:left="703" w:hanging="720"/>
              <w:jc w:val="both"/>
              <w:rPr>
                <w:rFonts w:ascii="Arial" w:hAnsi="Arial" w:cs="Arial"/>
                <w:sz w:val="20"/>
              </w:rPr>
            </w:pPr>
            <w:r w:rsidRPr="00A3316B">
              <w:rPr>
                <w:rFonts w:ascii="Arial" w:hAnsi="Arial" w:cs="Arial"/>
                <w:sz w:val="20"/>
              </w:rPr>
              <w:t>f.</w:t>
            </w:r>
            <w:r w:rsidRPr="00A3316B">
              <w:rPr>
                <w:rFonts w:ascii="Arial" w:hAnsi="Arial" w:cs="Arial"/>
                <w:sz w:val="20"/>
              </w:rPr>
              <w:tab/>
              <w:t>Verify that no ineligible supervisory costs are charged to the project(s).</w:t>
            </w:r>
          </w:p>
        </w:tc>
      </w:tr>
    </w:tbl>
    <w:p w14:paraId="3964C5E2"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6A084AE4" w14:textId="77777777" w:rsidR="008B4BCE" w:rsidRPr="000706D1" w:rsidRDefault="008B4BCE" w:rsidP="008B4BCE">
      <w:pPr>
        <w:pStyle w:val="Heading3"/>
        <w:jc w:val="both"/>
        <w:rPr>
          <w:rFonts w:cs="Arial"/>
          <w:b w:val="0"/>
          <w:sz w:val="24"/>
          <w:szCs w:val="24"/>
        </w:rPr>
      </w:pPr>
      <w:bookmarkStart w:id="107" w:name="_Toc212473164"/>
      <w:r w:rsidRPr="000706D1">
        <w:rPr>
          <w:rFonts w:cs="Arial"/>
          <w:sz w:val="24"/>
          <w:szCs w:val="24"/>
        </w:rPr>
        <w:t>Audit Implications Summary</w:t>
      </w:r>
      <w:bookmarkEnd w:id="107"/>
    </w:p>
    <w:tbl>
      <w:tblPr>
        <w:tblStyle w:val="TableGrid"/>
        <w:tblW w:w="5000" w:type="pct"/>
        <w:tblLook w:val="04A0" w:firstRow="1" w:lastRow="0" w:firstColumn="1" w:lastColumn="0" w:noHBand="0" w:noVBand="1"/>
      </w:tblPr>
      <w:tblGrid>
        <w:gridCol w:w="9350"/>
      </w:tblGrid>
      <w:tr w:rsidR="008B4BCE" w:rsidRPr="00F00D94" w14:paraId="00736E51" w14:textId="77777777" w:rsidTr="009F1483">
        <w:tc>
          <w:tcPr>
            <w:tcW w:w="5000" w:type="pct"/>
          </w:tcPr>
          <w:p w14:paraId="5B2DEADD" w14:textId="77777777" w:rsidR="008B4BCE" w:rsidRDefault="008B4BCE"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97F88E" w14:textId="77777777" w:rsidR="008B4BCE" w:rsidRPr="006E46AD" w:rsidRDefault="008B4BCE"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0271203" w14:textId="77777777" w:rsidR="008B4BCE" w:rsidRPr="006E46AD" w:rsidRDefault="008B4BCE" w:rsidP="001C3146">
            <w:pPr>
              <w:pStyle w:val="ListParagraph"/>
              <w:widowControl w:val="0"/>
              <w:numPr>
                <w:ilvl w:val="0"/>
                <w:numId w:val="5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5EAE04B" w14:textId="77777777" w:rsidR="008B4BCE" w:rsidRPr="006E46AD" w:rsidRDefault="008B4BCE" w:rsidP="009F1483">
            <w:pPr>
              <w:widowControl w:val="0"/>
              <w:spacing w:after="240"/>
              <w:ind w:left="720"/>
              <w:jc w:val="both"/>
              <w:rPr>
                <w:rFonts w:ascii="Arial" w:hAnsi="Arial" w:cs="Arial"/>
                <w:b/>
                <w:sz w:val="20"/>
                <w:szCs w:val="20"/>
              </w:rPr>
            </w:pPr>
          </w:p>
          <w:p w14:paraId="2EAB89F8" w14:textId="77777777" w:rsidR="008B4BCE" w:rsidRPr="006E46AD" w:rsidRDefault="008B4BCE" w:rsidP="001C3146">
            <w:pPr>
              <w:widowControl w:val="0"/>
              <w:numPr>
                <w:ilvl w:val="0"/>
                <w:numId w:val="5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5D8B814" w14:textId="77777777" w:rsidR="008B4BCE" w:rsidRPr="00F00D94" w:rsidRDefault="008B4BCE" w:rsidP="009F1483">
            <w:pPr>
              <w:pStyle w:val="ListParagraph"/>
              <w:spacing w:after="240"/>
              <w:jc w:val="both"/>
              <w:rPr>
                <w:rFonts w:ascii="Arial" w:hAnsi="Arial" w:cs="Arial"/>
                <w:b/>
              </w:rPr>
            </w:pPr>
          </w:p>
          <w:p w14:paraId="661A8798" w14:textId="77777777" w:rsidR="008B4BCE" w:rsidRPr="00F00D94" w:rsidRDefault="008B4BCE" w:rsidP="001C3146">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2D0B221" w14:textId="77777777" w:rsidR="008B4BCE" w:rsidRPr="00F00D94" w:rsidRDefault="008B4BCE" w:rsidP="009F1483">
            <w:pPr>
              <w:pStyle w:val="ListParagraph"/>
              <w:spacing w:after="240"/>
              <w:jc w:val="both"/>
              <w:rPr>
                <w:rFonts w:ascii="Arial" w:hAnsi="Arial" w:cs="Arial"/>
                <w:b/>
              </w:rPr>
            </w:pPr>
          </w:p>
          <w:p w14:paraId="3B4E62A5" w14:textId="77777777" w:rsidR="008B4BCE" w:rsidRPr="00F00D94" w:rsidRDefault="008B4BCE" w:rsidP="001C3146">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2B38CB" w14:textId="77777777" w:rsidR="008B4BCE" w:rsidRPr="00F00D94" w:rsidRDefault="008B4BCE" w:rsidP="009F1483">
            <w:pPr>
              <w:pStyle w:val="ListParagraph"/>
              <w:spacing w:after="240"/>
              <w:jc w:val="both"/>
              <w:rPr>
                <w:rFonts w:ascii="Arial" w:hAnsi="Arial" w:cs="Arial"/>
                <w:b/>
              </w:rPr>
            </w:pPr>
          </w:p>
          <w:p w14:paraId="1A2EB052" w14:textId="77777777" w:rsidR="008B4BCE" w:rsidRPr="00F00D94" w:rsidRDefault="008B4BCE" w:rsidP="001C3146">
            <w:pPr>
              <w:widowControl w:val="0"/>
              <w:numPr>
                <w:ilvl w:val="0"/>
                <w:numId w:val="5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C2EF4D6" w14:textId="77777777" w:rsidR="008B4BCE" w:rsidRPr="00F00D94" w:rsidRDefault="008B4BCE" w:rsidP="009F1483">
            <w:pPr>
              <w:pStyle w:val="APStepItem"/>
              <w:numPr>
                <w:ilvl w:val="0"/>
                <w:numId w:val="0"/>
              </w:numPr>
              <w:spacing w:after="240"/>
              <w:rPr>
                <w:rFonts w:cs="Arial"/>
                <w:b/>
              </w:rPr>
            </w:pPr>
          </w:p>
        </w:tc>
      </w:tr>
    </w:tbl>
    <w:p w14:paraId="3532634A" w14:textId="77777777" w:rsidR="008B4BCE" w:rsidRDefault="008B4BCE" w:rsidP="008B4BCE">
      <w:pPr>
        <w:pStyle w:val="Heading2"/>
        <w:jc w:val="both"/>
        <w:rPr>
          <w:rFonts w:cs="Arial"/>
          <w:sz w:val="24"/>
        </w:rPr>
        <w:sectPr w:rsidR="008B4BCE" w:rsidSect="00885BA6">
          <w:headerReference w:type="default" r:id="rId98"/>
          <w:pgSz w:w="12240" w:h="15840" w:code="1"/>
          <w:pgMar w:top="1440" w:right="1440" w:bottom="1440" w:left="1440" w:header="720" w:footer="720" w:gutter="0"/>
          <w:cols w:space="720"/>
          <w:docGrid w:linePitch="360"/>
        </w:sectPr>
      </w:pPr>
    </w:p>
    <w:p w14:paraId="2B15C762" w14:textId="1002638A" w:rsidR="008B4BCE" w:rsidRPr="000706D1" w:rsidRDefault="008B4BCE" w:rsidP="008B4BCE">
      <w:pPr>
        <w:pStyle w:val="Heading2"/>
        <w:jc w:val="both"/>
        <w:rPr>
          <w:rFonts w:cs="Arial"/>
          <w:sz w:val="24"/>
        </w:rPr>
      </w:pPr>
      <w:bookmarkStart w:id="108" w:name="_Toc212473165"/>
      <w:r w:rsidRPr="000706D1">
        <w:rPr>
          <w:rFonts w:cs="Arial"/>
          <w:sz w:val="24"/>
        </w:rPr>
        <w:lastRenderedPageBreak/>
        <w:t>N</w:t>
      </w:r>
      <w:r w:rsidR="00474638">
        <w:rPr>
          <w:rFonts w:cs="Arial"/>
          <w:sz w:val="24"/>
        </w:rPr>
        <w:t>8</w:t>
      </w:r>
      <w:r w:rsidRPr="000706D1">
        <w:rPr>
          <w:rFonts w:cs="Arial"/>
          <w:sz w:val="24"/>
        </w:rPr>
        <w:t>.  SPECIAL TESTS AND PROVISIONS</w:t>
      </w:r>
      <w:r w:rsidR="00474638">
        <w:rPr>
          <w:rFonts w:cs="Arial"/>
          <w:sz w:val="24"/>
        </w:rPr>
        <w:t xml:space="preserve"> – ASSET MANAGEMENT FEE</w:t>
      </w:r>
      <w:bookmarkEnd w:id="108"/>
    </w:p>
    <w:p w14:paraId="7D8EBF4F" w14:textId="77777777" w:rsidR="008B4BCE" w:rsidRPr="000706D1" w:rsidRDefault="008B4BCE" w:rsidP="008B4BCE">
      <w:pPr>
        <w:pStyle w:val="Heading3"/>
        <w:jc w:val="both"/>
        <w:rPr>
          <w:rFonts w:cs="Arial"/>
          <w:sz w:val="24"/>
          <w:szCs w:val="24"/>
        </w:rPr>
      </w:pPr>
      <w:bookmarkStart w:id="109" w:name="_Toc212473166"/>
      <w:r w:rsidRPr="000706D1">
        <w:rPr>
          <w:rFonts w:cs="Arial"/>
          <w:sz w:val="24"/>
          <w:szCs w:val="24"/>
        </w:rPr>
        <w:t>OMB Compliance Requirements</w:t>
      </w:r>
      <w:bookmarkEnd w:id="109"/>
    </w:p>
    <w:p w14:paraId="684E2931" w14:textId="77777777" w:rsidR="008B4BCE" w:rsidRPr="005C1EBC"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198F216F"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230250A1" w14:textId="77777777" w:rsidR="008B4BCE" w:rsidRPr="00F00D94" w:rsidRDefault="008B4BCE" w:rsidP="008B4BCE">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ADBF7E6" w14:textId="77777777" w:rsidR="008B4BCE" w:rsidRPr="000706D1" w:rsidRDefault="008B4BCE" w:rsidP="008B4BC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3C3DE3" w14:textId="7FE72188" w:rsidR="00474638" w:rsidRDefault="00474638" w:rsidP="0047463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74638">
        <w:rPr>
          <w:rFonts w:ascii="Arial" w:hAnsi="Arial" w:cs="Arial"/>
        </w:rPr>
        <w:t>The COCC may charge a reasonable asset management fee to projects to fund the operations of the central office. HUD will generally consider an asset management fee of $10 per unit month (PUM) charged to each project as reasonable. Sections</w:t>
      </w:r>
      <w:r w:rsidR="008F458B">
        <w:rPr>
          <w:rFonts w:ascii="Arial" w:hAnsi="Arial" w:cs="Arial"/>
        </w:rPr>
        <w:t xml:space="preserve"> </w:t>
      </w:r>
      <w:r w:rsidRPr="00474638">
        <w:rPr>
          <w:rFonts w:ascii="Arial" w:hAnsi="Arial" w:cs="Arial"/>
        </w:rPr>
        <w:t>7.4 and 7.6 in the Supplement to Handbook 7475.1 provide guidance on reasonable standards for asset management fees. HUD considers any fees that are within HUD guidance to be reasonable. PHAs are requested to consult with HUD regarding any fees that depart from HUD guidance and</w:t>
      </w:r>
      <w:r>
        <w:rPr>
          <w:rFonts w:ascii="Arial" w:hAnsi="Arial" w:cs="Arial"/>
        </w:rPr>
        <w:t xml:space="preserve"> </w:t>
      </w:r>
      <w:r w:rsidRPr="00474638">
        <w:rPr>
          <w:rFonts w:ascii="Arial" w:hAnsi="Arial" w:cs="Arial"/>
        </w:rPr>
        <w:t>HUD will provide its view on the reasonableness of the fees. Any fees above the HUD guidelines that have not been approved by HUD need to be reviewed in detail to determine if the additional costs are justified by local conditions or other factors (24 CFR section 990.280(b)(5)(ii)).</w:t>
      </w:r>
    </w:p>
    <w:p w14:paraId="0FE5B955" w14:textId="4A209456" w:rsidR="00474638" w:rsidRPr="00474638" w:rsidRDefault="00474638" w:rsidP="00474638">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w:t>
      </w:r>
      <w:r>
        <w:rPr>
          <w:rFonts w:ascii="Arial" w:hAnsi="Arial" w:cs="Arial"/>
          <w:bCs/>
          <w:i/>
          <w:iCs/>
        </w:rPr>
        <w:t>Public Housing Operating Fund</w:t>
      </w:r>
      <w:r w:rsidRPr="006C797F">
        <w:rPr>
          <w:rFonts w:ascii="Arial" w:hAnsi="Arial" w:cs="Arial"/>
          <w:bCs/>
          <w:i/>
          <w:iCs/>
        </w:rPr>
        <w:t>)</w:t>
      </w:r>
    </w:p>
    <w:p w14:paraId="5C71FD5C" w14:textId="77777777" w:rsidR="008B4BCE" w:rsidRPr="000706D1" w:rsidRDefault="008B4BCE" w:rsidP="008B4BCE">
      <w:pPr>
        <w:pStyle w:val="Heading3"/>
        <w:jc w:val="both"/>
        <w:rPr>
          <w:rFonts w:cs="Arial"/>
          <w:sz w:val="24"/>
          <w:szCs w:val="24"/>
        </w:rPr>
      </w:pPr>
      <w:bookmarkStart w:id="110" w:name="_Toc212473167"/>
      <w:r w:rsidRPr="000706D1">
        <w:rPr>
          <w:rFonts w:cs="Arial"/>
          <w:sz w:val="24"/>
          <w:szCs w:val="24"/>
        </w:rPr>
        <w:t>Additional Program Specific Information</w:t>
      </w:r>
      <w:bookmarkEnd w:id="110"/>
    </w:p>
    <w:p w14:paraId="1C119481" w14:textId="77777777" w:rsidR="008B4BCE" w:rsidRPr="00AA5B05" w:rsidRDefault="008B4BCE" w:rsidP="008B4BCE">
      <w:pPr>
        <w:spacing w:after="240"/>
        <w:jc w:val="both"/>
        <w:rPr>
          <w:rFonts w:ascii="Arial" w:hAnsi="Arial" w:cs="Arial"/>
          <w:b/>
          <w:highlight w:val="yellow"/>
        </w:rPr>
      </w:pPr>
      <w:r w:rsidRPr="00AA5B05">
        <w:rPr>
          <w:rFonts w:ascii="Arial" w:hAnsi="Arial" w:cs="Arial"/>
          <w:b/>
          <w:highlight w:val="yellow"/>
        </w:rPr>
        <w:t>Add program specific requirements from:</w:t>
      </w:r>
    </w:p>
    <w:p w14:paraId="697AE9C9"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B67A474" w14:textId="77777777" w:rsidR="008B4BCE" w:rsidRPr="00AA5B05" w:rsidRDefault="008B4BCE"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21CC737"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651350FC" w14:textId="77777777" w:rsidR="008B4BCE" w:rsidRPr="00AA5B05" w:rsidRDefault="008B4BCE" w:rsidP="008B4BCE">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116C2BE" w14:textId="77777777" w:rsidR="008B4BCE" w:rsidRPr="000706D1" w:rsidRDefault="008B4BCE" w:rsidP="008B4BCE">
      <w:pPr>
        <w:pStyle w:val="Heading3"/>
        <w:jc w:val="both"/>
        <w:rPr>
          <w:rFonts w:cs="Arial"/>
          <w:sz w:val="24"/>
          <w:szCs w:val="24"/>
        </w:rPr>
      </w:pPr>
      <w:bookmarkStart w:id="111" w:name="_Toc212473168"/>
      <w:r w:rsidRPr="000706D1">
        <w:rPr>
          <w:rFonts w:cs="Arial"/>
          <w:sz w:val="24"/>
          <w:szCs w:val="24"/>
        </w:rPr>
        <w:lastRenderedPageBreak/>
        <w:t>Audit Objectives and Control Testing</w:t>
      </w:r>
      <w:bookmarkEnd w:id="111"/>
    </w:p>
    <w:p w14:paraId="5139BBC7" w14:textId="77777777" w:rsidR="008B4BCE" w:rsidRPr="00F00D94" w:rsidRDefault="008B4BCE" w:rsidP="008B4BC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EE5A972" w14:textId="77777777" w:rsidR="008B4BCE" w:rsidRPr="00F00D94" w:rsidRDefault="008B4BCE" w:rsidP="008B4BC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BA24053" w14:textId="77777777" w:rsidR="008B4BCE"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A8A75AF" w14:textId="42A7C10D" w:rsidR="008B4BCE" w:rsidRDefault="00BF65AC" w:rsidP="00BF65AC">
      <w:pPr>
        <w:pStyle w:val="ListParagraph"/>
        <w:numPr>
          <w:ilvl w:val="0"/>
          <w:numId w:val="5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BF65AC">
        <w:rPr>
          <w:rFonts w:ascii="Arial" w:hAnsi="Arial" w:cs="Arial"/>
          <w:iCs/>
        </w:rPr>
        <w:t>Determine whether the asset management fees charged by the COCC to the projects are reasonable.</w:t>
      </w:r>
    </w:p>
    <w:p w14:paraId="0D3D5832" w14:textId="11C9B7FD" w:rsidR="00BF65AC" w:rsidRPr="00BF65AC" w:rsidRDefault="00BF65AC" w:rsidP="00BF65AC">
      <w:pPr>
        <w:spacing w:after="240"/>
        <w:jc w:val="both"/>
        <w:rPr>
          <w:rFonts w:ascii="Arial" w:hAnsi="Arial" w:cs="Arial"/>
          <w:bCs/>
          <w:i/>
          <w:iCs/>
        </w:rPr>
      </w:pPr>
      <w:r w:rsidRPr="00BF65AC">
        <w:rPr>
          <w:rFonts w:ascii="Arial" w:hAnsi="Arial" w:cs="Arial"/>
          <w:bCs/>
          <w:i/>
          <w:iCs/>
        </w:rPr>
        <w:t>(Source: 202</w:t>
      </w:r>
      <w:r>
        <w:rPr>
          <w:rFonts w:ascii="Arial" w:hAnsi="Arial" w:cs="Arial"/>
          <w:bCs/>
          <w:i/>
          <w:iCs/>
        </w:rPr>
        <w:t>5</w:t>
      </w:r>
      <w:r w:rsidRPr="00BF65AC">
        <w:rPr>
          <w:rFonts w:ascii="Arial" w:hAnsi="Arial" w:cs="Arial"/>
          <w:bCs/>
          <w:i/>
          <w:iCs/>
        </w:rPr>
        <w:t xml:space="preserve"> OMB Compliance Supplement, Part 4, HUD, #14.850 Public Housing Operating Fund)</w:t>
      </w:r>
    </w:p>
    <w:p w14:paraId="0CD1A9FF" w14:textId="77777777" w:rsidR="008B4BCE" w:rsidRPr="00634FA3" w:rsidRDefault="008B4BCE" w:rsidP="008B4BC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B4BCE" w:rsidRPr="00F00D94" w14:paraId="0D2DEA16" w14:textId="77777777" w:rsidTr="009F1483">
        <w:tc>
          <w:tcPr>
            <w:tcW w:w="5000" w:type="pct"/>
          </w:tcPr>
          <w:p w14:paraId="627352EF" w14:textId="77777777" w:rsidR="008B4BCE" w:rsidRPr="006F5FFA" w:rsidRDefault="008B4BCE"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D41769C"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3702C11" w14:textId="77777777" w:rsidR="008B4BCE" w:rsidRPr="00F00D94" w:rsidRDefault="008B4BCE" w:rsidP="009F1483">
            <w:pPr>
              <w:pStyle w:val="AuditProcedureHeading"/>
              <w:spacing w:after="240"/>
              <w:jc w:val="both"/>
              <w:rPr>
                <w:rFonts w:cs="Arial"/>
                <w:b/>
                <w:bCs/>
                <w:szCs w:val="20"/>
                <w:u w:val="single"/>
              </w:rPr>
            </w:pPr>
          </w:p>
          <w:p w14:paraId="11576983" w14:textId="77777777" w:rsidR="008B4BCE" w:rsidRPr="00F00D94" w:rsidRDefault="008B4BCE"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1777831" w14:textId="77777777" w:rsidR="008B4BCE" w:rsidRPr="00F00D94" w:rsidRDefault="008B4BCE" w:rsidP="009F1483">
            <w:pPr>
              <w:pStyle w:val="AuditProcedureHeading"/>
              <w:spacing w:after="240"/>
              <w:jc w:val="both"/>
              <w:rPr>
                <w:rFonts w:cs="Arial"/>
                <w:b/>
                <w:bCs/>
                <w:szCs w:val="20"/>
                <w:u w:val="single"/>
              </w:rPr>
            </w:pPr>
          </w:p>
          <w:p w14:paraId="3F4AD315"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49099F5" w14:textId="77777777" w:rsidR="008B4BCE" w:rsidRPr="00F00D94" w:rsidRDefault="008B4BCE" w:rsidP="009F1483">
            <w:pPr>
              <w:spacing w:after="240"/>
              <w:jc w:val="both"/>
              <w:rPr>
                <w:rFonts w:ascii="Arial" w:hAnsi="Arial" w:cs="Arial"/>
                <w:b/>
                <w:sz w:val="20"/>
                <w:u w:val="single"/>
              </w:rPr>
            </w:pPr>
          </w:p>
          <w:p w14:paraId="2A6F10DD" w14:textId="77777777" w:rsidR="008B4BCE" w:rsidRPr="00F00D94" w:rsidRDefault="008B4BCE"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1E6C55B" w14:textId="77777777" w:rsidR="008B4BCE" w:rsidRPr="00C35E5F" w:rsidRDefault="008B4BCE" w:rsidP="009F1483">
            <w:pPr>
              <w:spacing w:after="240"/>
              <w:jc w:val="both"/>
              <w:rPr>
                <w:rFonts w:ascii="Arial" w:eastAsiaTheme="minorHAnsi" w:hAnsi="Arial" w:cs="Arial"/>
                <w:sz w:val="20"/>
                <w:szCs w:val="20"/>
              </w:rPr>
            </w:pPr>
          </w:p>
        </w:tc>
      </w:tr>
    </w:tbl>
    <w:p w14:paraId="357A000C"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460A3B8" w14:textId="77777777" w:rsidR="008B4BCE" w:rsidRPr="000706D1" w:rsidRDefault="008B4BCE" w:rsidP="008B4BCE">
      <w:pPr>
        <w:pStyle w:val="Heading3"/>
        <w:jc w:val="both"/>
        <w:rPr>
          <w:rFonts w:cs="Arial"/>
          <w:sz w:val="24"/>
          <w:szCs w:val="24"/>
        </w:rPr>
      </w:pPr>
      <w:bookmarkStart w:id="112" w:name="_Toc21247316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2"/>
    </w:p>
    <w:tbl>
      <w:tblPr>
        <w:tblStyle w:val="TableGrid"/>
        <w:tblW w:w="9558" w:type="dxa"/>
        <w:tblLayout w:type="fixed"/>
        <w:tblLook w:val="04A0" w:firstRow="1" w:lastRow="0" w:firstColumn="1" w:lastColumn="0" w:noHBand="0" w:noVBand="1"/>
      </w:tblPr>
      <w:tblGrid>
        <w:gridCol w:w="9558"/>
      </w:tblGrid>
      <w:tr w:rsidR="008B4BCE" w:rsidRPr="00F00D94" w14:paraId="312E073D" w14:textId="77777777" w:rsidTr="009F1483">
        <w:tc>
          <w:tcPr>
            <w:tcW w:w="9558" w:type="dxa"/>
          </w:tcPr>
          <w:p w14:paraId="2A758C75" w14:textId="77777777" w:rsidR="008B4BCE" w:rsidRPr="0062713F" w:rsidRDefault="008B4BCE" w:rsidP="009F1483">
            <w:pPr>
              <w:spacing w:after="240"/>
              <w:jc w:val="both"/>
              <w:rPr>
                <w:rFonts w:ascii="Arial" w:hAnsi="Arial" w:cs="Arial"/>
                <w:i/>
                <w:sz w:val="20"/>
                <w:szCs w:val="20"/>
              </w:rPr>
            </w:pPr>
            <w:r w:rsidRPr="0062713F">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E29B16" w14:textId="3C324FE0" w:rsidR="008B4BCE" w:rsidRPr="0062713F" w:rsidRDefault="008B4BCE" w:rsidP="009F1483">
            <w:pPr>
              <w:spacing w:after="240"/>
              <w:jc w:val="both"/>
              <w:rPr>
                <w:rFonts w:ascii="Arial" w:hAnsi="Arial" w:cs="Arial"/>
                <w:i/>
                <w:sz w:val="20"/>
                <w:szCs w:val="20"/>
              </w:rPr>
            </w:pPr>
            <w:r w:rsidRPr="0062713F">
              <w:rPr>
                <w:rFonts w:ascii="Arial" w:hAnsi="Arial" w:cs="Arial"/>
                <w:i/>
                <w:sz w:val="20"/>
                <w:szCs w:val="20"/>
              </w:rPr>
              <w:t>(Source: 2025 OMB Compliance Supplement Part 3.2)</w:t>
            </w:r>
          </w:p>
          <w:p w14:paraId="08322FE8" w14:textId="6EF0CD0F" w:rsidR="00390A39" w:rsidRPr="0062713F" w:rsidRDefault="00390A39" w:rsidP="00390A39">
            <w:pPr>
              <w:spacing w:after="240"/>
              <w:jc w:val="both"/>
              <w:rPr>
                <w:rFonts w:ascii="Arial" w:hAnsi="Arial" w:cs="Arial"/>
                <w:sz w:val="20"/>
                <w:szCs w:val="20"/>
              </w:rPr>
            </w:pPr>
            <w:r w:rsidRPr="0062713F">
              <w:rPr>
                <w:rFonts w:ascii="Arial" w:hAnsi="Arial" w:cs="Arial"/>
                <w:sz w:val="20"/>
                <w:szCs w:val="20"/>
              </w:rPr>
              <w:t>a.</w:t>
            </w:r>
            <w:r w:rsidRPr="0062713F">
              <w:rPr>
                <w:rFonts w:ascii="Arial" w:hAnsi="Arial" w:cs="Arial"/>
                <w:sz w:val="20"/>
                <w:szCs w:val="20"/>
              </w:rPr>
              <w:tab/>
              <w:t>Select a sample of projects that were charged an asset management fee.</w:t>
            </w:r>
          </w:p>
          <w:p w14:paraId="16D8275F" w14:textId="68A3AAD3" w:rsidR="00390A39" w:rsidRPr="0062713F" w:rsidRDefault="00390A39" w:rsidP="00390A39">
            <w:pPr>
              <w:spacing w:after="240"/>
              <w:jc w:val="both"/>
              <w:rPr>
                <w:rFonts w:ascii="Arial" w:hAnsi="Arial" w:cs="Arial"/>
                <w:sz w:val="20"/>
                <w:szCs w:val="20"/>
              </w:rPr>
            </w:pPr>
            <w:r w:rsidRPr="0062713F">
              <w:rPr>
                <w:rFonts w:ascii="Arial" w:hAnsi="Arial" w:cs="Arial"/>
                <w:sz w:val="20"/>
                <w:szCs w:val="20"/>
              </w:rPr>
              <w:t>b.</w:t>
            </w:r>
            <w:r w:rsidRPr="0062713F">
              <w:rPr>
                <w:rFonts w:ascii="Arial" w:hAnsi="Arial" w:cs="Arial"/>
                <w:sz w:val="20"/>
                <w:szCs w:val="20"/>
              </w:rPr>
              <w:tab/>
              <w:t>Determine if the fees comply with fee reasonable guidelines set by HUD.</w:t>
            </w:r>
          </w:p>
          <w:p w14:paraId="07570A2D" w14:textId="7D6B2B2B" w:rsidR="00390A39" w:rsidRPr="0062713F" w:rsidRDefault="00390A39" w:rsidP="00390A39">
            <w:pPr>
              <w:spacing w:after="240"/>
              <w:ind w:left="703" w:hanging="703"/>
              <w:jc w:val="both"/>
              <w:rPr>
                <w:rFonts w:ascii="Arial" w:hAnsi="Arial" w:cs="Arial"/>
                <w:b/>
                <w:bCs/>
                <w:sz w:val="20"/>
                <w:szCs w:val="20"/>
              </w:rPr>
            </w:pPr>
            <w:r w:rsidRPr="0062713F">
              <w:rPr>
                <w:rFonts w:ascii="Arial" w:hAnsi="Arial" w:cs="Arial"/>
                <w:sz w:val="20"/>
                <w:szCs w:val="20"/>
              </w:rPr>
              <w:lastRenderedPageBreak/>
              <w:t>c.</w:t>
            </w:r>
            <w:r w:rsidRPr="0062713F">
              <w:rPr>
                <w:rFonts w:ascii="Arial" w:hAnsi="Arial" w:cs="Arial"/>
                <w:sz w:val="20"/>
                <w:szCs w:val="20"/>
              </w:rPr>
              <w:tab/>
              <w:t>For any fees that do not meet the reasonableness guidelines, review the documentation maintained by the PHA to determine if the fees were approved by HUD or are reasonable.</w:t>
            </w:r>
          </w:p>
        </w:tc>
      </w:tr>
    </w:tbl>
    <w:p w14:paraId="4DD86D0D"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02DC66EA" w14:textId="77777777" w:rsidR="008B4BCE" w:rsidRPr="000706D1" w:rsidRDefault="008B4BCE" w:rsidP="008B4BCE">
      <w:pPr>
        <w:pStyle w:val="Heading3"/>
        <w:jc w:val="both"/>
        <w:rPr>
          <w:rFonts w:cs="Arial"/>
          <w:b w:val="0"/>
          <w:sz w:val="24"/>
          <w:szCs w:val="24"/>
        </w:rPr>
      </w:pPr>
      <w:bookmarkStart w:id="113" w:name="_Toc212473170"/>
      <w:r w:rsidRPr="000706D1">
        <w:rPr>
          <w:rFonts w:cs="Arial"/>
          <w:sz w:val="24"/>
          <w:szCs w:val="24"/>
        </w:rPr>
        <w:t>Audit Implications Summary</w:t>
      </w:r>
      <w:bookmarkEnd w:id="113"/>
    </w:p>
    <w:tbl>
      <w:tblPr>
        <w:tblStyle w:val="TableGrid"/>
        <w:tblW w:w="5000" w:type="pct"/>
        <w:tblLook w:val="04A0" w:firstRow="1" w:lastRow="0" w:firstColumn="1" w:lastColumn="0" w:noHBand="0" w:noVBand="1"/>
      </w:tblPr>
      <w:tblGrid>
        <w:gridCol w:w="9350"/>
      </w:tblGrid>
      <w:tr w:rsidR="008B4BCE" w:rsidRPr="00F00D94" w14:paraId="6BE1F48D" w14:textId="77777777" w:rsidTr="009F1483">
        <w:tc>
          <w:tcPr>
            <w:tcW w:w="5000" w:type="pct"/>
          </w:tcPr>
          <w:p w14:paraId="5C64D4A8" w14:textId="77777777" w:rsidR="008B4BCE" w:rsidRDefault="008B4BCE"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33F0CF9" w14:textId="77777777" w:rsidR="008B4BCE" w:rsidRPr="006E46AD" w:rsidRDefault="008B4BCE"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9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4E17211" w14:textId="77777777" w:rsidR="008B4BCE" w:rsidRPr="006E46AD" w:rsidRDefault="008B4BCE" w:rsidP="00390A39">
            <w:pPr>
              <w:pStyle w:val="ListParagraph"/>
              <w:widowControl w:val="0"/>
              <w:numPr>
                <w:ilvl w:val="0"/>
                <w:numId w:val="6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7E1C634" w14:textId="77777777" w:rsidR="008B4BCE" w:rsidRPr="006E46AD" w:rsidRDefault="008B4BCE" w:rsidP="009F1483">
            <w:pPr>
              <w:widowControl w:val="0"/>
              <w:spacing w:after="240"/>
              <w:ind w:left="720"/>
              <w:jc w:val="both"/>
              <w:rPr>
                <w:rFonts w:ascii="Arial" w:hAnsi="Arial" w:cs="Arial"/>
                <w:b/>
                <w:sz w:val="20"/>
                <w:szCs w:val="20"/>
              </w:rPr>
            </w:pPr>
          </w:p>
          <w:p w14:paraId="4B7D6C11" w14:textId="77777777" w:rsidR="008B4BCE" w:rsidRPr="006E46AD" w:rsidRDefault="008B4BCE" w:rsidP="00390A39">
            <w:pPr>
              <w:widowControl w:val="0"/>
              <w:numPr>
                <w:ilvl w:val="0"/>
                <w:numId w:val="6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5A7A457" w14:textId="77777777" w:rsidR="008B4BCE" w:rsidRPr="00F00D94" w:rsidRDefault="008B4BCE" w:rsidP="009F1483">
            <w:pPr>
              <w:pStyle w:val="ListParagraph"/>
              <w:spacing w:after="240"/>
              <w:jc w:val="both"/>
              <w:rPr>
                <w:rFonts w:ascii="Arial" w:hAnsi="Arial" w:cs="Arial"/>
                <w:b/>
              </w:rPr>
            </w:pPr>
          </w:p>
          <w:p w14:paraId="2B58611E" w14:textId="77777777" w:rsidR="008B4BCE" w:rsidRPr="00F00D94" w:rsidRDefault="008B4BCE" w:rsidP="00390A39">
            <w:pPr>
              <w:widowControl w:val="0"/>
              <w:numPr>
                <w:ilvl w:val="0"/>
                <w:numId w:val="6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892889F" w14:textId="77777777" w:rsidR="008B4BCE" w:rsidRPr="00F00D94" w:rsidRDefault="008B4BCE" w:rsidP="009F1483">
            <w:pPr>
              <w:pStyle w:val="ListParagraph"/>
              <w:spacing w:after="240"/>
              <w:jc w:val="both"/>
              <w:rPr>
                <w:rFonts w:ascii="Arial" w:hAnsi="Arial" w:cs="Arial"/>
                <w:b/>
              </w:rPr>
            </w:pPr>
          </w:p>
          <w:p w14:paraId="28903BF7" w14:textId="77777777" w:rsidR="008B4BCE" w:rsidRPr="00F00D94" w:rsidRDefault="008B4BCE" w:rsidP="00390A39">
            <w:pPr>
              <w:widowControl w:val="0"/>
              <w:numPr>
                <w:ilvl w:val="0"/>
                <w:numId w:val="6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059447A" w14:textId="77777777" w:rsidR="008B4BCE" w:rsidRPr="00F00D94" w:rsidRDefault="008B4BCE" w:rsidP="009F1483">
            <w:pPr>
              <w:pStyle w:val="ListParagraph"/>
              <w:spacing w:after="240"/>
              <w:jc w:val="both"/>
              <w:rPr>
                <w:rFonts w:ascii="Arial" w:hAnsi="Arial" w:cs="Arial"/>
                <w:b/>
              </w:rPr>
            </w:pPr>
          </w:p>
          <w:p w14:paraId="3BA4DCAE" w14:textId="77777777" w:rsidR="008B4BCE" w:rsidRPr="00F00D94" w:rsidRDefault="008B4BCE" w:rsidP="00390A39">
            <w:pPr>
              <w:widowControl w:val="0"/>
              <w:numPr>
                <w:ilvl w:val="0"/>
                <w:numId w:val="6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EB2C951" w14:textId="77777777" w:rsidR="008B4BCE" w:rsidRPr="00F00D94" w:rsidRDefault="008B4BCE" w:rsidP="009F1483">
            <w:pPr>
              <w:pStyle w:val="APStepItem"/>
              <w:numPr>
                <w:ilvl w:val="0"/>
                <w:numId w:val="0"/>
              </w:numPr>
              <w:spacing w:after="240"/>
              <w:rPr>
                <w:rFonts w:cs="Arial"/>
                <w:b/>
              </w:rPr>
            </w:pPr>
          </w:p>
        </w:tc>
      </w:tr>
    </w:tbl>
    <w:p w14:paraId="3B72CB1D" w14:textId="77777777" w:rsidR="008B4BCE" w:rsidRDefault="008B4BCE" w:rsidP="008B4BCE">
      <w:pPr>
        <w:pStyle w:val="Heading2"/>
        <w:jc w:val="both"/>
        <w:rPr>
          <w:rFonts w:cs="Arial"/>
          <w:sz w:val="24"/>
        </w:rPr>
        <w:sectPr w:rsidR="008B4BCE" w:rsidSect="00885BA6">
          <w:headerReference w:type="default" r:id="rId100"/>
          <w:pgSz w:w="12240" w:h="15840" w:code="1"/>
          <w:pgMar w:top="1440" w:right="1440" w:bottom="1440" w:left="1440" w:header="720" w:footer="720" w:gutter="0"/>
          <w:cols w:space="720"/>
          <w:docGrid w:linePitch="360"/>
        </w:sectPr>
      </w:pPr>
    </w:p>
    <w:p w14:paraId="1EF2DD5C" w14:textId="01FD7819" w:rsidR="008B4BCE" w:rsidRPr="000706D1" w:rsidRDefault="008B4BCE" w:rsidP="008B4BCE">
      <w:pPr>
        <w:pStyle w:val="Heading2"/>
        <w:jc w:val="both"/>
        <w:rPr>
          <w:rFonts w:cs="Arial"/>
          <w:sz w:val="24"/>
        </w:rPr>
      </w:pPr>
      <w:bookmarkStart w:id="114" w:name="_Toc212473171"/>
      <w:r w:rsidRPr="000706D1">
        <w:rPr>
          <w:rFonts w:cs="Arial"/>
          <w:sz w:val="24"/>
        </w:rPr>
        <w:lastRenderedPageBreak/>
        <w:t>N</w:t>
      </w:r>
      <w:r w:rsidR="00616E36">
        <w:rPr>
          <w:rFonts w:cs="Arial"/>
          <w:sz w:val="24"/>
        </w:rPr>
        <w:t>9</w:t>
      </w:r>
      <w:r w:rsidRPr="000706D1">
        <w:rPr>
          <w:rFonts w:cs="Arial"/>
          <w:sz w:val="24"/>
        </w:rPr>
        <w:t>.  SPECIAL TESTS AND PROVISIONS</w:t>
      </w:r>
      <w:r w:rsidR="00616E36">
        <w:rPr>
          <w:rFonts w:cs="Arial"/>
          <w:sz w:val="24"/>
        </w:rPr>
        <w:t xml:space="preserve"> – MANAGEMENT FEES</w:t>
      </w:r>
      <w:bookmarkEnd w:id="114"/>
    </w:p>
    <w:p w14:paraId="6622E78A" w14:textId="77777777" w:rsidR="008B4BCE" w:rsidRPr="000706D1" w:rsidRDefault="008B4BCE" w:rsidP="008B4BCE">
      <w:pPr>
        <w:pStyle w:val="Heading3"/>
        <w:jc w:val="both"/>
        <w:rPr>
          <w:rFonts w:cs="Arial"/>
          <w:sz w:val="24"/>
          <w:szCs w:val="24"/>
        </w:rPr>
      </w:pPr>
      <w:bookmarkStart w:id="115" w:name="_Toc212473172"/>
      <w:r w:rsidRPr="000706D1">
        <w:rPr>
          <w:rFonts w:cs="Arial"/>
          <w:sz w:val="24"/>
          <w:szCs w:val="24"/>
        </w:rPr>
        <w:t>OMB Compliance Requirements</w:t>
      </w:r>
      <w:bookmarkEnd w:id="115"/>
    </w:p>
    <w:p w14:paraId="64198028" w14:textId="77777777" w:rsidR="008B4BCE" w:rsidRPr="005C1EBC"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4156755E"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2CE17423" w14:textId="77777777" w:rsidR="008B4BCE" w:rsidRPr="00F00D94" w:rsidRDefault="008B4BCE" w:rsidP="008B4BCE">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0312626" w14:textId="77777777" w:rsidR="008B4BCE" w:rsidRPr="000706D1" w:rsidRDefault="008B4BCE" w:rsidP="008B4BCE">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4251BF0" w14:textId="41B7EC61" w:rsidR="00616E36" w:rsidRDefault="00616E36" w:rsidP="008B4BCE">
      <w:pPr>
        <w:spacing w:after="240"/>
        <w:jc w:val="both"/>
        <w:rPr>
          <w:rFonts w:ascii="Arial" w:hAnsi="Arial" w:cs="Arial"/>
          <w:bCs/>
        </w:rPr>
      </w:pPr>
      <w:r w:rsidRPr="00616E36">
        <w:rPr>
          <w:rFonts w:ascii="Arial" w:hAnsi="Arial" w:cs="Arial"/>
          <w:bCs/>
        </w:rPr>
        <w:t xml:space="preserve">The COCC may charge reasonable management fees. Management fees may include property management fees and bookkeeping fees. Fee reasonableness standards for the property management fee and bookkeeping fee are provided in sections 7.4 and 7.5 in the in the </w:t>
      </w:r>
      <w:hyperlink r:id="rId101" w:history="1">
        <w:r w:rsidRPr="0062713F">
          <w:rPr>
            <w:rStyle w:val="Hyperlink"/>
            <w:rFonts w:cs="Arial"/>
            <w:bCs/>
          </w:rPr>
          <w:t>Supplement to Handbook 7475.1</w:t>
        </w:r>
      </w:hyperlink>
      <w:r w:rsidRPr="00616E36">
        <w:rPr>
          <w:rFonts w:ascii="Arial" w:hAnsi="Arial" w:cs="Arial"/>
          <w:bCs/>
        </w:rPr>
        <w:t>. HUD considers any fees that are within HUD guidance to be reasonable. PHAs are requested to consult with HUD regarding any fees that depart from HUD guidance and HUD will provide its view on the reasonableness of the fees. Any fees above the HUD guidelines that have not been approved by HUD need to be reviewed in detail to determine if the additional costs are justified by local conditions or other factors (24 CFR section 990.280(b)(4)), including cost reasonableness guidance under 2 CFR Part 200.</w:t>
      </w:r>
    </w:p>
    <w:p w14:paraId="24C4A669" w14:textId="2189F730" w:rsidR="00616E36" w:rsidRPr="00616E36" w:rsidRDefault="00616E36" w:rsidP="008B4BCE">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w:t>
      </w:r>
      <w:r>
        <w:rPr>
          <w:rFonts w:ascii="Arial" w:hAnsi="Arial" w:cs="Arial"/>
          <w:bCs/>
          <w:i/>
          <w:iCs/>
        </w:rPr>
        <w:t>Public Housing Operating Fund</w:t>
      </w:r>
      <w:r w:rsidRPr="006C797F">
        <w:rPr>
          <w:rFonts w:ascii="Arial" w:hAnsi="Arial" w:cs="Arial"/>
          <w:bCs/>
          <w:i/>
          <w:iCs/>
        </w:rPr>
        <w:t>)</w:t>
      </w:r>
    </w:p>
    <w:p w14:paraId="655AADBF" w14:textId="77777777" w:rsidR="008B4BCE" w:rsidRPr="000706D1" w:rsidRDefault="008B4BCE" w:rsidP="008B4BCE">
      <w:pPr>
        <w:pStyle w:val="Heading3"/>
        <w:jc w:val="both"/>
        <w:rPr>
          <w:rFonts w:cs="Arial"/>
          <w:sz w:val="24"/>
          <w:szCs w:val="24"/>
        </w:rPr>
      </w:pPr>
      <w:bookmarkStart w:id="116" w:name="_Toc212473173"/>
      <w:r w:rsidRPr="000706D1">
        <w:rPr>
          <w:rFonts w:cs="Arial"/>
          <w:sz w:val="24"/>
          <w:szCs w:val="24"/>
        </w:rPr>
        <w:t>Additional Program Specific Information</w:t>
      </w:r>
      <w:bookmarkEnd w:id="116"/>
    </w:p>
    <w:p w14:paraId="62C8554C" w14:textId="77777777" w:rsidR="008B4BCE" w:rsidRPr="00AA5B05" w:rsidRDefault="008B4BCE" w:rsidP="008B4BCE">
      <w:pPr>
        <w:spacing w:after="240"/>
        <w:jc w:val="both"/>
        <w:rPr>
          <w:rFonts w:ascii="Arial" w:hAnsi="Arial" w:cs="Arial"/>
          <w:b/>
          <w:highlight w:val="yellow"/>
        </w:rPr>
      </w:pPr>
      <w:r w:rsidRPr="00AA5B05">
        <w:rPr>
          <w:rFonts w:ascii="Arial" w:hAnsi="Arial" w:cs="Arial"/>
          <w:b/>
          <w:highlight w:val="yellow"/>
        </w:rPr>
        <w:t>Add program specific requirements from:</w:t>
      </w:r>
    </w:p>
    <w:p w14:paraId="3A7D2771"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5EE3ED" w14:textId="77777777" w:rsidR="008B4BCE" w:rsidRPr="00AA5B05" w:rsidRDefault="008B4BCE" w:rsidP="008B4BCE">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95AFF0C" w14:textId="77777777" w:rsidR="008B4BCE" w:rsidRPr="00AA5B05" w:rsidRDefault="008B4BCE" w:rsidP="008B4BCE">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2F74441" w14:textId="77777777" w:rsidR="008B4BCE" w:rsidRPr="00AA5B05" w:rsidRDefault="008B4BCE" w:rsidP="008B4BCE">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30243BD" w14:textId="77777777" w:rsidR="008B4BCE" w:rsidRPr="000706D1" w:rsidRDefault="008B4BCE" w:rsidP="008B4BCE">
      <w:pPr>
        <w:pStyle w:val="Heading3"/>
        <w:jc w:val="both"/>
        <w:rPr>
          <w:rFonts w:cs="Arial"/>
          <w:sz w:val="24"/>
          <w:szCs w:val="24"/>
        </w:rPr>
      </w:pPr>
      <w:bookmarkStart w:id="117" w:name="_Toc212473174"/>
      <w:r w:rsidRPr="000706D1">
        <w:rPr>
          <w:rFonts w:cs="Arial"/>
          <w:sz w:val="24"/>
          <w:szCs w:val="24"/>
        </w:rPr>
        <w:lastRenderedPageBreak/>
        <w:t>Audit Objectives and Control Testing</w:t>
      </w:r>
      <w:bookmarkEnd w:id="117"/>
    </w:p>
    <w:p w14:paraId="28ED6022" w14:textId="77777777" w:rsidR="008B4BCE" w:rsidRPr="00F00D94" w:rsidRDefault="008B4BCE" w:rsidP="008B4BCE">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58DD437" w14:textId="77777777" w:rsidR="008B4BCE" w:rsidRPr="00F00D94" w:rsidRDefault="008B4BCE" w:rsidP="008B4BCE">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D130FFC" w14:textId="77777777" w:rsidR="008B4BCE"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F58ED64" w14:textId="0D06CBC6" w:rsidR="008B4BCE" w:rsidRPr="00340086" w:rsidRDefault="00340086" w:rsidP="00340086">
      <w:pPr>
        <w:pStyle w:val="ListParagraph"/>
        <w:numPr>
          <w:ilvl w:val="0"/>
          <w:numId w:val="6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340086">
        <w:rPr>
          <w:rFonts w:ascii="Arial" w:hAnsi="Arial" w:cs="Arial"/>
        </w:rPr>
        <w:t>Determine whether the fees charged by the COCC for management services are reasonable.</w:t>
      </w:r>
    </w:p>
    <w:p w14:paraId="1EAB3B15" w14:textId="1414659A" w:rsidR="00340086" w:rsidRPr="00340086" w:rsidRDefault="00340086" w:rsidP="00340086">
      <w:pPr>
        <w:spacing w:after="240"/>
        <w:jc w:val="both"/>
        <w:rPr>
          <w:rFonts w:ascii="Arial" w:hAnsi="Arial" w:cs="Arial"/>
          <w:iCs/>
        </w:rPr>
      </w:pPr>
      <w:r w:rsidRPr="00340086">
        <w:rPr>
          <w:rFonts w:ascii="Arial" w:hAnsi="Arial" w:cs="Arial"/>
          <w:bCs/>
          <w:i/>
          <w:iCs/>
        </w:rPr>
        <w:t>(Source: 202</w:t>
      </w:r>
      <w:r>
        <w:rPr>
          <w:rFonts w:ascii="Arial" w:hAnsi="Arial" w:cs="Arial"/>
          <w:bCs/>
          <w:i/>
          <w:iCs/>
        </w:rPr>
        <w:t>5</w:t>
      </w:r>
      <w:r w:rsidRPr="00340086">
        <w:rPr>
          <w:rFonts w:ascii="Arial" w:hAnsi="Arial" w:cs="Arial"/>
          <w:bCs/>
          <w:i/>
          <w:iCs/>
        </w:rPr>
        <w:t xml:space="preserve"> OMB Compliance Supplement, Part 4, HUD, #14.850 Public Housing Operating Fund)</w:t>
      </w:r>
    </w:p>
    <w:p w14:paraId="11981409" w14:textId="77777777" w:rsidR="008B4BCE" w:rsidRPr="00634FA3" w:rsidRDefault="008B4BCE" w:rsidP="008B4BCE">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8B4BCE" w:rsidRPr="00F00D94" w14:paraId="050D0FF9" w14:textId="77777777" w:rsidTr="009F1483">
        <w:tc>
          <w:tcPr>
            <w:tcW w:w="5000" w:type="pct"/>
          </w:tcPr>
          <w:p w14:paraId="124556BE" w14:textId="77777777" w:rsidR="008B4BCE" w:rsidRPr="006F5FFA" w:rsidRDefault="008B4BCE"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91D76B7"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A600D17" w14:textId="77777777" w:rsidR="008B4BCE" w:rsidRPr="00F00D94" w:rsidRDefault="008B4BCE" w:rsidP="009F1483">
            <w:pPr>
              <w:pStyle w:val="AuditProcedureHeading"/>
              <w:spacing w:after="240"/>
              <w:jc w:val="both"/>
              <w:rPr>
                <w:rFonts w:cs="Arial"/>
                <w:b/>
                <w:bCs/>
                <w:szCs w:val="20"/>
                <w:u w:val="single"/>
              </w:rPr>
            </w:pPr>
          </w:p>
          <w:p w14:paraId="61E3178D" w14:textId="77777777" w:rsidR="008B4BCE" w:rsidRPr="00F00D94" w:rsidRDefault="008B4BCE"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00B6126" w14:textId="77777777" w:rsidR="008B4BCE" w:rsidRPr="00F00D94" w:rsidRDefault="008B4BCE" w:rsidP="009F1483">
            <w:pPr>
              <w:pStyle w:val="AuditProcedureHeading"/>
              <w:spacing w:after="240"/>
              <w:jc w:val="both"/>
              <w:rPr>
                <w:rFonts w:cs="Arial"/>
                <w:b/>
                <w:bCs/>
                <w:szCs w:val="20"/>
                <w:u w:val="single"/>
              </w:rPr>
            </w:pPr>
          </w:p>
          <w:p w14:paraId="2F9AE258" w14:textId="77777777" w:rsidR="008B4BCE" w:rsidRPr="00F00D94" w:rsidRDefault="008B4BCE"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3EA2741" w14:textId="77777777" w:rsidR="008B4BCE" w:rsidRPr="00F00D94" w:rsidRDefault="008B4BCE" w:rsidP="009F1483">
            <w:pPr>
              <w:spacing w:after="240"/>
              <w:jc w:val="both"/>
              <w:rPr>
                <w:rFonts w:ascii="Arial" w:hAnsi="Arial" w:cs="Arial"/>
                <w:b/>
                <w:sz w:val="20"/>
                <w:u w:val="single"/>
              </w:rPr>
            </w:pPr>
          </w:p>
          <w:p w14:paraId="28F0C7EC" w14:textId="77777777" w:rsidR="008B4BCE" w:rsidRPr="00F00D94" w:rsidRDefault="008B4BCE"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832845F" w14:textId="77777777" w:rsidR="008B4BCE" w:rsidRPr="00C35E5F" w:rsidRDefault="008B4BCE" w:rsidP="009F1483">
            <w:pPr>
              <w:spacing w:after="240"/>
              <w:jc w:val="both"/>
              <w:rPr>
                <w:rFonts w:ascii="Arial" w:eastAsiaTheme="minorHAnsi" w:hAnsi="Arial" w:cs="Arial"/>
                <w:sz w:val="20"/>
                <w:szCs w:val="20"/>
              </w:rPr>
            </w:pPr>
          </w:p>
        </w:tc>
      </w:tr>
    </w:tbl>
    <w:p w14:paraId="612A86AA"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7D2557" w14:textId="77777777" w:rsidR="008B4BCE" w:rsidRPr="000706D1" w:rsidRDefault="008B4BCE" w:rsidP="008B4BCE">
      <w:pPr>
        <w:pStyle w:val="Heading3"/>
        <w:jc w:val="both"/>
        <w:rPr>
          <w:rFonts w:cs="Arial"/>
          <w:sz w:val="24"/>
          <w:szCs w:val="24"/>
        </w:rPr>
      </w:pPr>
      <w:bookmarkStart w:id="118" w:name="_Toc21247317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18"/>
    </w:p>
    <w:tbl>
      <w:tblPr>
        <w:tblStyle w:val="TableGrid"/>
        <w:tblW w:w="9558" w:type="dxa"/>
        <w:tblLayout w:type="fixed"/>
        <w:tblLook w:val="04A0" w:firstRow="1" w:lastRow="0" w:firstColumn="1" w:lastColumn="0" w:noHBand="0" w:noVBand="1"/>
      </w:tblPr>
      <w:tblGrid>
        <w:gridCol w:w="9558"/>
      </w:tblGrid>
      <w:tr w:rsidR="008B4BCE" w:rsidRPr="00F00D94" w14:paraId="6A58769E" w14:textId="77777777" w:rsidTr="009F1483">
        <w:tc>
          <w:tcPr>
            <w:tcW w:w="9558" w:type="dxa"/>
          </w:tcPr>
          <w:p w14:paraId="570E3E90" w14:textId="77777777" w:rsidR="008B4BCE" w:rsidRDefault="008B4BCE"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88310D9" w14:textId="77777777" w:rsidR="008B4BCE" w:rsidRPr="00AC7B25" w:rsidRDefault="008B4BCE"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24B18DE9" w14:textId="62A66107" w:rsidR="00340086" w:rsidRPr="00340086" w:rsidRDefault="00340086" w:rsidP="00340086">
            <w:pPr>
              <w:spacing w:after="240"/>
              <w:ind w:left="703" w:hanging="720"/>
              <w:jc w:val="both"/>
              <w:rPr>
                <w:rFonts w:ascii="Arial" w:hAnsi="Arial" w:cs="Arial"/>
                <w:sz w:val="20"/>
              </w:rPr>
            </w:pPr>
            <w:r w:rsidRPr="00340086">
              <w:rPr>
                <w:rFonts w:ascii="Arial" w:hAnsi="Arial" w:cs="Arial"/>
                <w:sz w:val="20"/>
              </w:rPr>
              <w:t>a.</w:t>
            </w:r>
            <w:r w:rsidRPr="00340086">
              <w:rPr>
                <w:rFonts w:ascii="Arial" w:hAnsi="Arial" w:cs="Arial"/>
                <w:sz w:val="20"/>
              </w:rPr>
              <w:tab/>
              <w:t>Select a sample of property management fees and bookkeeping fees charged by the COCC and determine if the fees comply with fee reasonable guidelines set by HUD.</w:t>
            </w:r>
          </w:p>
          <w:p w14:paraId="372A3C4F" w14:textId="4A9DD6AC" w:rsidR="00340086" w:rsidRPr="00340086" w:rsidRDefault="00340086" w:rsidP="00340086">
            <w:pPr>
              <w:spacing w:after="240"/>
              <w:ind w:left="703" w:hanging="720"/>
              <w:jc w:val="both"/>
              <w:rPr>
                <w:rFonts w:ascii="Arial" w:hAnsi="Arial" w:cs="Arial"/>
                <w:sz w:val="20"/>
              </w:rPr>
            </w:pPr>
            <w:r w:rsidRPr="00340086">
              <w:rPr>
                <w:rFonts w:ascii="Arial" w:hAnsi="Arial" w:cs="Arial"/>
                <w:sz w:val="20"/>
              </w:rPr>
              <w:t>b.</w:t>
            </w:r>
            <w:r w:rsidRPr="00340086">
              <w:rPr>
                <w:rFonts w:ascii="Arial" w:hAnsi="Arial" w:cs="Arial"/>
                <w:sz w:val="20"/>
              </w:rPr>
              <w:tab/>
              <w:t>For any fees that do not meet the reasonableness guidelines, review the documentation maintained by the PHA to determine if the fees were approved by HUD or are reasonable.</w:t>
            </w:r>
          </w:p>
        </w:tc>
      </w:tr>
    </w:tbl>
    <w:p w14:paraId="5ECB7605" w14:textId="77777777" w:rsidR="008B4BCE" w:rsidRPr="00F00D94" w:rsidRDefault="008B4BCE" w:rsidP="008B4BCE">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E7B89DD" w14:textId="77777777" w:rsidR="008B4BCE" w:rsidRPr="000706D1" w:rsidRDefault="008B4BCE" w:rsidP="008B4BCE">
      <w:pPr>
        <w:pStyle w:val="Heading3"/>
        <w:jc w:val="both"/>
        <w:rPr>
          <w:rFonts w:cs="Arial"/>
          <w:b w:val="0"/>
          <w:sz w:val="24"/>
          <w:szCs w:val="24"/>
        </w:rPr>
      </w:pPr>
      <w:bookmarkStart w:id="119" w:name="_Toc212473176"/>
      <w:r w:rsidRPr="000706D1">
        <w:rPr>
          <w:rFonts w:cs="Arial"/>
          <w:sz w:val="24"/>
          <w:szCs w:val="24"/>
        </w:rPr>
        <w:lastRenderedPageBreak/>
        <w:t>Audit Implications Summary</w:t>
      </w:r>
      <w:bookmarkEnd w:id="119"/>
    </w:p>
    <w:tbl>
      <w:tblPr>
        <w:tblStyle w:val="TableGrid"/>
        <w:tblW w:w="5000" w:type="pct"/>
        <w:tblLook w:val="04A0" w:firstRow="1" w:lastRow="0" w:firstColumn="1" w:lastColumn="0" w:noHBand="0" w:noVBand="1"/>
      </w:tblPr>
      <w:tblGrid>
        <w:gridCol w:w="9350"/>
      </w:tblGrid>
      <w:tr w:rsidR="008B4BCE" w:rsidRPr="00F00D94" w14:paraId="011B211A" w14:textId="77777777" w:rsidTr="009F1483">
        <w:tc>
          <w:tcPr>
            <w:tcW w:w="5000" w:type="pct"/>
          </w:tcPr>
          <w:p w14:paraId="2464BA47" w14:textId="77777777" w:rsidR="008B4BCE" w:rsidRDefault="008B4BCE"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74B0B36" w14:textId="77777777" w:rsidR="008B4BCE" w:rsidRPr="006E46AD" w:rsidRDefault="008B4BCE"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4F9F328" w14:textId="77777777" w:rsidR="008B4BCE" w:rsidRPr="006E46AD" w:rsidRDefault="008B4BCE" w:rsidP="00C04E8C">
            <w:pPr>
              <w:pStyle w:val="ListParagraph"/>
              <w:widowControl w:val="0"/>
              <w:numPr>
                <w:ilvl w:val="0"/>
                <w:numId w:val="6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3F20586" w14:textId="77777777" w:rsidR="008B4BCE" w:rsidRPr="006E46AD" w:rsidRDefault="008B4BCE" w:rsidP="009F1483">
            <w:pPr>
              <w:widowControl w:val="0"/>
              <w:spacing w:after="240"/>
              <w:ind w:left="720"/>
              <w:jc w:val="both"/>
              <w:rPr>
                <w:rFonts w:ascii="Arial" w:hAnsi="Arial" w:cs="Arial"/>
                <w:b/>
                <w:sz w:val="20"/>
                <w:szCs w:val="20"/>
              </w:rPr>
            </w:pPr>
          </w:p>
          <w:p w14:paraId="16CA9DCE" w14:textId="77777777" w:rsidR="008B4BCE" w:rsidRPr="006E46AD" w:rsidRDefault="008B4BCE" w:rsidP="00C04E8C">
            <w:pPr>
              <w:widowControl w:val="0"/>
              <w:numPr>
                <w:ilvl w:val="0"/>
                <w:numId w:val="6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6149D2F" w14:textId="77777777" w:rsidR="008B4BCE" w:rsidRPr="00F00D94" w:rsidRDefault="008B4BCE" w:rsidP="009F1483">
            <w:pPr>
              <w:pStyle w:val="ListParagraph"/>
              <w:spacing w:after="240"/>
              <w:jc w:val="both"/>
              <w:rPr>
                <w:rFonts w:ascii="Arial" w:hAnsi="Arial" w:cs="Arial"/>
                <w:b/>
              </w:rPr>
            </w:pPr>
          </w:p>
          <w:p w14:paraId="0FDEFA81" w14:textId="77777777" w:rsidR="008B4BCE" w:rsidRPr="00F00D94" w:rsidRDefault="008B4BCE" w:rsidP="00C04E8C">
            <w:pPr>
              <w:widowControl w:val="0"/>
              <w:numPr>
                <w:ilvl w:val="0"/>
                <w:numId w:val="6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783CE606" w14:textId="77777777" w:rsidR="008B4BCE" w:rsidRPr="00F00D94" w:rsidRDefault="008B4BCE" w:rsidP="009F1483">
            <w:pPr>
              <w:pStyle w:val="ListParagraph"/>
              <w:spacing w:after="240"/>
              <w:jc w:val="both"/>
              <w:rPr>
                <w:rFonts w:ascii="Arial" w:hAnsi="Arial" w:cs="Arial"/>
                <w:b/>
              </w:rPr>
            </w:pPr>
          </w:p>
          <w:p w14:paraId="5351791A" w14:textId="77777777" w:rsidR="008B4BCE" w:rsidRPr="00F00D94" w:rsidRDefault="008B4BCE" w:rsidP="00C04E8C">
            <w:pPr>
              <w:widowControl w:val="0"/>
              <w:numPr>
                <w:ilvl w:val="0"/>
                <w:numId w:val="6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9FBD46" w14:textId="77777777" w:rsidR="008B4BCE" w:rsidRPr="00F00D94" w:rsidRDefault="008B4BCE" w:rsidP="009F1483">
            <w:pPr>
              <w:pStyle w:val="ListParagraph"/>
              <w:spacing w:after="240"/>
              <w:jc w:val="both"/>
              <w:rPr>
                <w:rFonts w:ascii="Arial" w:hAnsi="Arial" w:cs="Arial"/>
                <w:b/>
              </w:rPr>
            </w:pPr>
          </w:p>
          <w:p w14:paraId="462D16AC" w14:textId="77777777" w:rsidR="008B4BCE" w:rsidRPr="00F00D94" w:rsidRDefault="008B4BCE" w:rsidP="00C04E8C">
            <w:pPr>
              <w:widowControl w:val="0"/>
              <w:numPr>
                <w:ilvl w:val="0"/>
                <w:numId w:val="6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ACBA238" w14:textId="77777777" w:rsidR="008B4BCE" w:rsidRPr="00F00D94" w:rsidRDefault="008B4BCE" w:rsidP="009F1483">
            <w:pPr>
              <w:pStyle w:val="APStepItem"/>
              <w:numPr>
                <w:ilvl w:val="0"/>
                <w:numId w:val="0"/>
              </w:numPr>
              <w:spacing w:after="240"/>
              <w:rPr>
                <w:rFonts w:cs="Arial"/>
                <w:b/>
              </w:rPr>
            </w:pPr>
          </w:p>
        </w:tc>
      </w:tr>
    </w:tbl>
    <w:p w14:paraId="7BA4A5BC" w14:textId="77777777" w:rsidR="001C3146" w:rsidRDefault="001C3146" w:rsidP="00A3316B">
      <w:pPr>
        <w:pStyle w:val="Heading2"/>
        <w:jc w:val="both"/>
        <w:rPr>
          <w:rFonts w:cs="Arial"/>
          <w:sz w:val="24"/>
        </w:rPr>
        <w:sectPr w:rsidR="001C3146" w:rsidSect="00885BA6">
          <w:headerReference w:type="default" r:id="rId103"/>
          <w:pgSz w:w="12240" w:h="15840" w:code="1"/>
          <w:pgMar w:top="1440" w:right="1440" w:bottom="1440" w:left="1440" w:header="720" w:footer="720" w:gutter="0"/>
          <w:cols w:space="720"/>
          <w:docGrid w:linePitch="360"/>
        </w:sectPr>
      </w:pPr>
    </w:p>
    <w:p w14:paraId="16D070BD" w14:textId="5880501C" w:rsidR="00A3316B" w:rsidRPr="000706D1" w:rsidRDefault="00A3316B" w:rsidP="00A3316B">
      <w:pPr>
        <w:pStyle w:val="Heading2"/>
        <w:jc w:val="both"/>
        <w:rPr>
          <w:rFonts w:cs="Arial"/>
          <w:sz w:val="24"/>
        </w:rPr>
      </w:pPr>
      <w:bookmarkStart w:id="120" w:name="_Toc212473177"/>
      <w:r w:rsidRPr="000706D1">
        <w:rPr>
          <w:rFonts w:cs="Arial"/>
          <w:sz w:val="24"/>
        </w:rPr>
        <w:lastRenderedPageBreak/>
        <w:t>N</w:t>
      </w:r>
      <w:r w:rsidR="00C04E8C">
        <w:rPr>
          <w:rFonts w:cs="Arial"/>
          <w:sz w:val="24"/>
        </w:rPr>
        <w:t>10</w:t>
      </w:r>
      <w:r w:rsidRPr="000706D1">
        <w:rPr>
          <w:rFonts w:cs="Arial"/>
          <w:sz w:val="24"/>
        </w:rPr>
        <w:t>.  SPECIAL TESTS AND PROVISIONS</w:t>
      </w:r>
      <w:r w:rsidR="00C04E8C">
        <w:rPr>
          <w:rFonts w:cs="Arial"/>
          <w:sz w:val="24"/>
        </w:rPr>
        <w:t xml:space="preserve"> – </w:t>
      </w:r>
      <w:r w:rsidR="008F458B">
        <w:rPr>
          <w:rFonts w:cs="Arial"/>
          <w:sz w:val="24"/>
        </w:rPr>
        <w:t>ALLOCATED OVERHEAD</w:t>
      </w:r>
      <w:bookmarkEnd w:id="120"/>
    </w:p>
    <w:p w14:paraId="5581C844" w14:textId="77777777" w:rsidR="00A3316B" w:rsidRPr="000706D1" w:rsidRDefault="00A3316B" w:rsidP="00A3316B">
      <w:pPr>
        <w:pStyle w:val="Heading3"/>
        <w:jc w:val="both"/>
        <w:rPr>
          <w:rFonts w:cs="Arial"/>
          <w:sz w:val="24"/>
          <w:szCs w:val="24"/>
        </w:rPr>
      </w:pPr>
      <w:bookmarkStart w:id="121" w:name="_Toc212473178"/>
      <w:r w:rsidRPr="000706D1">
        <w:rPr>
          <w:rFonts w:cs="Arial"/>
          <w:sz w:val="24"/>
          <w:szCs w:val="24"/>
        </w:rPr>
        <w:t>OMB Compliance Requirements</w:t>
      </w:r>
      <w:bookmarkEnd w:id="121"/>
    </w:p>
    <w:p w14:paraId="6EECCF16" w14:textId="77777777" w:rsidR="00A3316B" w:rsidRPr="005C1EBC" w:rsidRDefault="00A3316B" w:rsidP="00A331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0DD17EE6" w14:textId="77777777" w:rsidR="00A3316B" w:rsidRPr="00F00D94" w:rsidRDefault="00A3316B" w:rsidP="00A3316B">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38FDF36E" w14:textId="77777777" w:rsidR="00A3316B" w:rsidRPr="00F00D94" w:rsidRDefault="00A3316B" w:rsidP="00A3316B">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01708D72" w14:textId="77777777" w:rsidR="00A3316B" w:rsidRPr="000706D1" w:rsidRDefault="00A3316B" w:rsidP="00A3316B">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FA62F51" w14:textId="77777777" w:rsidR="008F458B" w:rsidRDefault="00C04E8C" w:rsidP="00C04E8C">
      <w:pPr>
        <w:spacing w:after="240"/>
        <w:jc w:val="both"/>
        <w:rPr>
          <w:rFonts w:ascii="Arial" w:hAnsi="Arial" w:cs="Arial"/>
          <w:bCs/>
        </w:rPr>
      </w:pPr>
      <w:r w:rsidRPr="00C04E8C">
        <w:rPr>
          <w:rFonts w:ascii="Arial" w:hAnsi="Arial" w:cs="Arial"/>
          <w:bCs/>
        </w:rPr>
        <w:t>Under current appropriation language, all PHAs with over</w:t>
      </w:r>
      <w:r>
        <w:rPr>
          <w:rFonts w:ascii="Arial" w:hAnsi="Arial" w:cs="Arial"/>
          <w:bCs/>
        </w:rPr>
        <w:t xml:space="preserve"> </w:t>
      </w:r>
      <w:r w:rsidRPr="00C04E8C">
        <w:rPr>
          <w:rFonts w:ascii="Arial" w:hAnsi="Arial" w:cs="Arial"/>
          <w:bCs/>
        </w:rPr>
        <w:t>400 public housing units must convert to asset management (Section 225 of Title II of the HUD portion of the Consolidated Appropriations Act, 2008 (Pub. L. No. 110-161) and if carried forward in all subsequent Acts).</w:t>
      </w:r>
      <w:r>
        <w:rPr>
          <w:rFonts w:ascii="Arial" w:hAnsi="Arial" w:cs="Arial"/>
          <w:bCs/>
        </w:rPr>
        <w:t xml:space="preserve"> </w:t>
      </w:r>
    </w:p>
    <w:p w14:paraId="4A93373F" w14:textId="747D8D64" w:rsidR="00A3316B" w:rsidRDefault="00C04E8C" w:rsidP="00C04E8C">
      <w:pPr>
        <w:spacing w:after="240"/>
        <w:jc w:val="both"/>
        <w:rPr>
          <w:rFonts w:ascii="Arial" w:hAnsi="Arial" w:cs="Arial"/>
          <w:bCs/>
        </w:rPr>
      </w:pPr>
      <w:r w:rsidRPr="00C04E8C">
        <w:rPr>
          <w:rFonts w:ascii="Arial" w:hAnsi="Arial" w:cs="Arial"/>
          <w:bCs/>
        </w:rPr>
        <w:t>PHAs with over 400 public housing units are allowed two reporting models as part of the conversion to asset management—the establishment of a COCC or the allocated overhead method (FDS line 91810). For those PHAs that established a COCC, the reasonableness of the fees charged is tested in the previous Special Tests (six through nine). For those PHAs that converted to asset management, but are reporting using the allocated overheard method, reasonableness is tested in this section by reviewing the allocated overhead expense account and comparing fees in that account to the fee standards set by HUD in sections 7.4, 7.5, and 7.6 in the Supplement to HUD Handbook 7475.1 (24 CFR section 990.280(b)(4)).</w:t>
      </w:r>
    </w:p>
    <w:p w14:paraId="226547D0" w14:textId="3F4B20A3" w:rsidR="00C04E8C" w:rsidRPr="00C04E8C" w:rsidRDefault="00C04E8C" w:rsidP="00C04E8C">
      <w:pPr>
        <w:spacing w:after="240"/>
        <w:jc w:val="both"/>
        <w:rPr>
          <w:rFonts w:ascii="Arial" w:hAnsi="Arial" w:cs="Arial"/>
          <w:bCs/>
          <w:i/>
          <w:iCs/>
        </w:rPr>
      </w:pPr>
      <w:r w:rsidRPr="006C797F">
        <w:rPr>
          <w:rFonts w:ascii="Arial" w:hAnsi="Arial" w:cs="Arial"/>
          <w:bCs/>
          <w:i/>
          <w:iCs/>
        </w:rPr>
        <w:t>(Source: 202</w:t>
      </w:r>
      <w:r>
        <w:rPr>
          <w:rFonts w:ascii="Arial" w:hAnsi="Arial" w:cs="Arial"/>
          <w:bCs/>
          <w:i/>
          <w:iCs/>
        </w:rPr>
        <w:t>5</w:t>
      </w:r>
      <w:r w:rsidRPr="006C797F">
        <w:rPr>
          <w:rFonts w:ascii="Arial" w:hAnsi="Arial" w:cs="Arial"/>
          <w:bCs/>
          <w:i/>
          <w:iCs/>
        </w:rPr>
        <w:t xml:space="preserve"> OMB Compliance Supplement, Part 4, HUD, #14.850 </w:t>
      </w:r>
      <w:r>
        <w:rPr>
          <w:rFonts w:ascii="Arial" w:hAnsi="Arial" w:cs="Arial"/>
          <w:bCs/>
          <w:i/>
          <w:iCs/>
        </w:rPr>
        <w:t>Public Housing Operating Fund</w:t>
      </w:r>
      <w:r w:rsidRPr="006C797F">
        <w:rPr>
          <w:rFonts w:ascii="Arial" w:hAnsi="Arial" w:cs="Arial"/>
          <w:bCs/>
          <w:i/>
          <w:iCs/>
        </w:rPr>
        <w:t>)</w:t>
      </w:r>
    </w:p>
    <w:p w14:paraId="0CBB4581" w14:textId="77777777" w:rsidR="00A3316B" w:rsidRPr="000706D1" w:rsidRDefault="00A3316B" w:rsidP="00A3316B">
      <w:pPr>
        <w:pStyle w:val="Heading3"/>
        <w:jc w:val="both"/>
        <w:rPr>
          <w:rFonts w:cs="Arial"/>
          <w:sz w:val="24"/>
          <w:szCs w:val="24"/>
        </w:rPr>
      </w:pPr>
      <w:bookmarkStart w:id="122" w:name="_Toc212473179"/>
      <w:r w:rsidRPr="000706D1">
        <w:rPr>
          <w:rFonts w:cs="Arial"/>
          <w:sz w:val="24"/>
          <w:szCs w:val="24"/>
        </w:rPr>
        <w:t>Additional Program Specific Information</w:t>
      </w:r>
      <w:bookmarkEnd w:id="122"/>
    </w:p>
    <w:p w14:paraId="076622A2" w14:textId="77777777" w:rsidR="00A3316B" w:rsidRPr="00AA5B05" w:rsidRDefault="00A3316B" w:rsidP="00A3316B">
      <w:pPr>
        <w:spacing w:after="240"/>
        <w:jc w:val="both"/>
        <w:rPr>
          <w:rFonts w:ascii="Arial" w:hAnsi="Arial" w:cs="Arial"/>
          <w:b/>
          <w:highlight w:val="yellow"/>
        </w:rPr>
      </w:pPr>
      <w:r w:rsidRPr="00AA5B05">
        <w:rPr>
          <w:rFonts w:ascii="Arial" w:hAnsi="Arial" w:cs="Arial"/>
          <w:b/>
          <w:highlight w:val="yellow"/>
        </w:rPr>
        <w:t>Add program specific requirements from:</w:t>
      </w:r>
    </w:p>
    <w:p w14:paraId="744B603D" w14:textId="77777777"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AB7F7A1" w14:textId="77777777" w:rsidR="00A3316B" w:rsidRPr="00AA5B05" w:rsidRDefault="00A3316B" w:rsidP="00A3316B">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EA38B84" w14:textId="77777777" w:rsidR="00A3316B" w:rsidRPr="00AA5B05" w:rsidRDefault="00A3316B" w:rsidP="00A3316B">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32C3159" w14:textId="77777777" w:rsidR="00A3316B" w:rsidRPr="00AA5B05" w:rsidRDefault="00A3316B" w:rsidP="00A3316B">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016E20D7" w14:textId="77777777" w:rsidR="00A3316B" w:rsidRPr="000706D1" w:rsidRDefault="00A3316B" w:rsidP="00A3316B">
      <w:pPr>
        <w:pStyle w:val="Heading3"/>
        <w:jc w:val="both"/>
        <w:rPr>
          <w:rFonts w:cs="Arial"/>
          <w:sz w:val="24"/>
          <w:szCs w:val="24"/>
        </w:rPr>
      </w:pPr>
      <w:bookmarkStart w:id="123" w:name="_Toc212473180"/>
      <w:r w:rsidRPr="000706D1">
        <w:rPr>
          <w:rFonts w:cs="Arial"/>
          <w:sz w:val="24"/>
          <w:szCs w:val="24"/>
        </w:rPr>
        <w:t>Audit Objectives and Control Testing</w:t>
      </w:r>
      <w:bookmarkEnd w:id="123"/>
    </w:p>
    <w:p w14:paraId="78EE952B" w14:textId="77777777" w:rsidR="00A3316B" w:rsidRPr="00F00D94" w:rsidRDefault="00A3316B" w:rsidP="00A3316B">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73DD943F" w14:textId="77777777" w:rsidR="00A3316B" w:rsidRPr="00F00D94" w:rsidRDefault="00A3316B" w:rsidP="00A3316B">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68D2369" w14:textId="77777777" w:rsidR="00A3316B" w:rsidRDefault="00A3316B" w:rsidP="00A3316B">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F9423A0" w14:textId="425351FE" w:rsidR="00A3316B" w:rsidRDefault="00C04E8C" w:rsidP="00C04E8C">
      <w:pPr>
        <w:pStyle w:val="ListParagraph"/>
        <w:numPr>
          <w:ilvl w:val="0"/>
          <w:numId w:val="6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C04E8C">
        <w:rPr>
          <w:rFonts w:ascii="Arial" w:hAnsi="Arial" w:cs="Arial"/>
          <w:iCs/>
        </w:rPr>
        <w:t>Determine whether the amount of allocated overhead charged to projects is reasonable.</w:t>
      </w:r>
    </w:p>
    <w:p w14:paraId="58FB1F97" w14:textId="4E121990" w:rsidR="00C04E8C" w:rsidRPr="00C04E8C" w:rsidRDefault="00C04E8C" w:rsidP="00C04E8C">
      <w:pPr>
        <w:spacing w:after="240"/>
        <w:jc w:val="both"/>
        <w:rPr>
          <w:rFonts w:ascii="Arial" w:hAnsi="Arial" w:cs="Arial"/>
          <w:bCs/>
          <w:i/>
          <w:iCs/>
        </w:rPr>
      </w:pPr>
      <w:r w:rsidRPr="00C04E8C">
        <w:rPr>
          <w:rFonts w:ascii="Arial" w:hAnsi="Arial" w:cs="Arial"/>
          <w:bCs/>
          <w:i/>
          <w:iCs/>
        </w:rPr>
        <w:t>(Source: 202</w:t>
      </w:r>
      <w:r>
        <w:rPr>
          <w:rFonts w:ascii="Arial" w:hAnsi="Arial" w:cs="Arial"/>
          <w:bCs/>
          <w:i/>
          <w:iCs/>
        </w:rPr>
        <w:t>5</w:t>
      </w:r>
      <w:r w:rsidRPr="00C04E8C">
        <w:rPr>
          <w:rFonts w:ascii="Arial" w:hAnsi="Arial" w:cs="Arial"/>
          <w:bCs/>
          <w:i/>
          <w:iCs/>
        </w:rPr>
        <w:t xml:space="preserve"> OMB Compliance Supplement, Part 4, HUD, #14.850 Public Housing Operating Fund)</w:t>
      </w:r>
    </w:p>
    <w:p w14:paraId="3127789C" w14:textId="77777777" w:rsidR="00A3316B" w:rsidRPr="00634FA3" w:rsidRDefault="00A3316B" w:rsidP="00A3316B">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A3316B" w:rsidRPr="00F00D94" w14:paraId="1E4790A5" w14:textId="77777777" w:rsidTr="009F1483">
        <w:tc>
          <w:tcPr>
            <w:tcW w:w="5000" w:type="pct"/>
          </w:tcPr>
          <w:p w14:paraId="524AB716" w14:textId="77777777" w:rsidR="00A3316B" w:rsidRPr="006F5FFA" w:rsidRDefault="00A3316B"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75EAC99" w14:textId="77777777" w:rsidR="00A3316B" w:rsidRPr="00F00D94" w:rsidRDefault="00A3316B"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61028C0" w14:textId="77777777" w:rsidR="00A3316B" w:rsidRPr="00F00D94" w:rsidRDefault="00A3316B" w:rsidP="009F1483">
            <w:pPr>
              <w:pStyle w:val="AuditProcedureHeading"/>
              <w:spacing w:after="240"/>
              <w:jc w:val="both"/>
              <w:rPr>
                <w:rFonts w:cs="Arial"/>
                <w:b/>
                <w:bCs/>
                <w:szCs w:val="20"/>
                <w:u w:val="single"/>
              </w:rPr>
            </w:pPr>
          </w:p>
          <w:p w14:paraId="54F805F2" w14:textId="77777777" w:rsidR="00A3316B" w:rsidRPr="00F00D94" w:rsidRDefault="00A3316B"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A08F798" w14:textId="77777777" w:rsidR="00A3316B" w:rsidRPr="00F00D94" w:rsidRDefault="00A3316B" w:rsidP="009F1483">
            <w:pPr>
              <w:pStyle w:val="AuditProcedureHeading"/>
              <w:spacing w:after="240"/>
              <w:jc w:val="both"/>
              <w:rPr>
                <w:rFonts w:cs="Arial"/>
                <w:b/>
                <w:bCs/>
                <w:szCs w:val="20"/>
                <w:u w:val="single"/>
              </w:rPr>
            </w:pPr>
          </w:p>
          <w:p w14:paraId="550F6486" w14:textId="77777777" w:rsidR="00A3316B" w:rsidRPr="00F00D94" w:rsidRDefault="00A3316B"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A904E82" w14:textId="77777777" w:rsidR="00A3316B" w:rsidRPr="00F00D94" w:rsidRDefault="00A3316B" w:rsidP="009F1483">
            <w:pPr>
              <w:spacing w:after="240"/>
              <w:jc w:val="both"/>
              <w:rPr>
                <w:rFonts w:ascii="Arial" w:hAnsi="Arial" w:cs="Arial"/>
                <w:b/>
                <w:sz w:val="20"/>
                <w:u w:val="single"/>
              </w:rPr>
            </w:pPr>
          </w:p>
          <w:p w14:paraId="1D20A54C" w14:textId="77777777" w:rsidR="00A3316B" w:rsidRPr="00F00D94" w:rsidRDefault="00A3316B"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87226CF" w14:textId="77777777" w:rsidR="00A3316B" w:rsidRPr="00C35E5F" w:rsidRDefault="00A3316B" w:rsidP="009F1483">
            <w:pPr>
              <w:spacing w:after="240"/>
              <w:jc w:val="both"/>
              <w:rPr>
                <w:rFonts w:ascii="Arial" w:eastAsiaTheme="minorHAnsi" w:hAnsi="Arial" w:cs="Arial"/>
                <w:sz w:val="20"/>
                <w:szCs w:val="20"/>
              </w:rPr>
            </w:pPr>
          </w:p>
        </w:tc>
      </w:tr>
    </w:tbl>
    <w:p w14:paraId="3A84BB52" w14:textId="77777777" w:rsidR="00A3316B" w:rsidRPr="00F00D94" w:rsidRDefault="00A3316B" w:rsidP="00A3316B">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113072B" w14:textId="77777777" w:rsidR="00A3316B" w:rsidRPr="000706D1" w:rsidRDefault="00A3316B" w:rsidP="00A3316B">
      <w:pPr>
        <w:pStyle w:val="Heading3"/>
        <w:jc w:val="both"/>
        <w:rPr>
          <w:rFonts w:cs="Arial"/>
          <w:sz w:val="24"/>
          <w:szCs w:val="24"/>
        </w:rPr>
      </w:pPr>
      <w:bookmarkStart w:id="124" w:name="_Toc21247318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24"/>
    </w:p>
    <w:tbl>
      <w:tblPr>
        <w:tblStyle w:val="TableGrid"/>
        <w:tblW w:w="9558" w:type="dxa"/>
        <w:tblLayout w:type="fixed"/>
        <w:tblLook w:val="04A0" w:firstRow="1" w:lastRow="0" w:firstColumn="1" w:lastColumn="0" w:noHBand="0" w:noVBand="1"/>
      </w:tblPr>
      <w:tblGrid>
        <w:gridCol w:w="9558"/>
      </w:tblGrid>
      <w:tr w:rsidR="00A3316B" w:rsidRPr="00F00D94" w14:paraId="03E493C3" w14:textId="77777777" w:rsidTr="009F1483">
        <w:tc>
          <w:tcPr>
            <w:tcW w:w="9558" w:type="dxa"/>
          </w:tcPr>
          <w:p w14:paraId="2206AFF3" w14:textId="77777777" w:rsidR="00A3316B" w:rsidRDefault="00A3316B"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598C102" w14:textId="77777777" w:rsidR="00A3316B" w:rsidRPr="00AC7B25" w:rsidRDefault="00A3316B"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7FC9B4C3" w14:textId="3E43A08F" w:rsidR="00C04E8C" w:rsidRPr="00C04E8C" w:rsidRDefault="00C04E8C" w:rsidP="00C04E8C">
            <w:pPr>
              <w:spacing w:after="240"/>
              <w:ind w:left="703" w:hanging="703"/>
              <w:jc w:val="both"/>
              <w:rPr>
                <w:rFonts w:ascii="Arial" w:hAnsi="Arial" w:cs="Arial"/>
                <w:sz w:val="20"/>
              </w:rPr>
            </w:pPr>
            <w:r w:rsidRPr="00C04E8C">
              <w:rPr>
                <w:rFonts w:ascii="Arial" w:hAnsi="Arial" w:cs="Arial"/>
                <w:sz w:val="20"/>
              </w:rPr>
              <w:t>a.</w:t>
            </w:r>
            <w:r w:rsidRPr="00C04E8C">
              <w:rPr>
                <w:rFonts w:ascii="Arial" w:hAnsi="Arial" w:cs="Arial"/>
                <w:sz w:val="20"/>
              </w:rPr>
              <w:tab/>
              <w:t>For PHAs using the allocated overhead method, select a sample of projects and review the amount of overhead costs charged through the allocated overhead expense line.</w:t>
            </w:r>
          </w:p>
          <w:p w14:paraId="003171BA" w14:textId="78288942" w:rsidR="00C04E8C" w:rsidRPr="00C04E8C" w:rsidRDefault="00C04E8C" w:rsidP="00C04E8C">
            <w:pPr>
              <w:spacing w:after="240"/>
              <w:ind w:left="703" w:hanging="703"/>
              <w:jc w:val="both"/>
              <w:rPr>
                <w:rFonts w:ascii="Arial" w:hAnsi="Arial" w:cs="Arial"/>
                <w:sz w:val="20"/>
              </w:rPr>
            </w:pPr>
            <w:r w:rsidRPr="00C04E8C">
              <w:rPr>
                <w:rFonts w:ascii="Arial" w:hAnsi="Arial" w:cs="Arial"/>
                <w:sz w:val="20"/>
              </w:rPr>
              <w:lastRenderedPageBreak/>
              <w:t>b.</w:t>
            </w:r>
            <w:r w:rsidRPr="00C04E8C">
              <w:rPr>
                <w:rFonts w:ascii="Arial" w:hAnsi="Arial" w:cs="Arial"/>
                <w:sz w:val="20"/>
              </w:rPr>
              <w:tab/>
              <w:t>Determine if the allocated overhead expense line is reasonable compared to the fee standards allowed by HUD.</w:t>
            </w:r>
          </w:p>
        </w:tc>
      </w:tr>
    </w:tbl>
    <w:p w14:paraId="7305533D" w14:textId="77777777" w:rsidR="00A3316B" w:rsidRPr="00F00D94" w:rsidRDefault="00A3316B" w:rsidP="00A3316B">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2E574A9A" w14:textId="77777777" w:rsidR="00A3316B" w:rsidRPr="000706D1" w:rsidRDefault="00A3316B" w:rsidP="00A3316B">
      <w:pPr>
        <w:pStyle w:val="Heading3"/>
        <w:jc w:val="both"/>
        <w:rPr>
          <w:rFonts w:cs="Arial"/>
          <w:b w:val="0"/>
          <w:sz w:val="24"/>
          <w:szCs w:val="24"/>
        </w:rPr>
      </w:pPr>
      <w:bookmarkStart w:id="125" w:name="_Toc212473182"/>
      <w:r w:rsidRPr="000706D1">
        <w:rPr>
          <w:rFonts w:cs="Arial"/>
          <w:sz w:val="24"/>
          <w:szCs w:val="24"/>
        </w:rPr>
        <w:t>Audit Implications Summary</w:t>
      </w:r>
      <w:bookmarkEnd w:id="125"/>
    </w:p>
    <w:tbl>
      <w:tblPr>
        <w:tblStyle w:val="TableGrid"/>
        <w:tblW w:w="5000" w:type="pct"/>
        <w:tblLook w:val="04A0" w:firstRow="1" w:lastRow="0" w:firstColumn="1" w:lastColumn="0" w:noHBand="0" w:noVBand="1"/>
      </w:tblPr>
      <w:tblGrid>
        <w:gridCol w:w="9350"/>
      </w:tblGrid>
      <w:tr w:rsidR="00A3316B" w:rsidRPr="00F00D94" w14:paraId="1AA7F3B9" w14:textId="77777777" w:rsidTr="009F1483">
        <w:tc>
          <w:tcPr>
            <w:tcW w:w="5000" w:type="pct"/>
          </w:tcPr>
          <w:p w14:paraId="65D5B7CE" w14:textId="77777777" w:rsidR="00A3316B" w:rsidRDefault="00A3316B"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2F94D13" w14:textId="77777777" w:rsidR="00A3316B" w:rsidRPr="006E46AD" w:rsidRDefault="00A3316B"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4"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0EB9AE" w14:textId="77777777" w:rsidR="00A3316B" w:rsidRPr="006E46AD" w:rsidRDefault="00A3316B" w:rsidP="00C04E8C">
            <w:pPr>
              <w:pStyle w:val="ListParagraph"/>
              <w:widowControl w:val="0"/>
              <w:numPr>
                <w:ilvl w:val="0"/>
                <w:numId w:val="6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6CF611A3" w14:textId="77777777" w:rsidR="00A3316B" w:rsidRPr="006E46AD" w:rsidRDefault="00A3316B" w:rsidP="009F1483">
            <w:pPr>
              <w:widowControl w:val="0"/>
              <w:spacing w:after="240"/>
              <w:ind w:left="720"/>
              <w:jc w:val="both"/>
              <w:rPr>
                <w:rFonts w:ascii="Arial" w:hAnsi="Arial" w:cs="Arial"/>
                <w:b/>
                <w:sz w:val="20"/>
                <w:szCs w:val="20"/>
              </w:rPr>
            </w:pPr>
          </w:p>
          <w:p w14:paraId="370F9AB8" w14:textId="77777777" w:rsidR="00A3316B" w:rsidRPr="006E46AD" w:rsidRDefault="00A3316B" w:rsidP="00C04E8C">
            <w:pPr>
              <w:widowControl w:val="0"/>
              <w:numPr>
                <w:ilvl w:val="0"/>
                <w:numId w:val="6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CAF4C19" w14:textId="77777777" w:rsidR="00A3316B" w:rsidRPr="00F00D94" w:rsidRDefault="00A3316B" w:rsidP="009F1483">
            <w:pPr>
              <w:pStyle w:val="ListParagraph"/>
              <w:spacing w:after="240"/>
              <w:jc w:val="both"/>
              <w:rPr>
                <w:rFonts w:ascii="Arial" w:hAnsi="Arial" w:cs="Arial"/>
                <w:b/>
              </w:rPr>
            </w:pPr>
          </w:p>
          <w:p w14:paraId="1C075152" w14:textId="77777777" w:rsidR="00A3316B" w:rsidRPr="00F00D94" w:rsidRDefault="00A3316B" w:rsidP="00C04E8C">
            <w:pPr>
              <w:widowControl w:val="0"/>
              <w:numPr>
                <w:ilvl w:val="0"/>
                <w:numId w:val="6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FC7828A" w14:textId="77777777" w:rsidR="00A3316B" w:rsidRPr="00F00D94" w:rsidRDefault="00A3316B" w:rsidP="009F1483">
            <w:pPr>
              <w:pStyle w:val="ListParagraph"/>
              <w:spacing w:after="240"/>
              <w:jc w:val="both"/>
              <w:rPr>
                <w:rFonts w:ascii="Arial" w:hAnsi="Arial" w:cs="Arial"/>
                <w:b/>
              </w:rPr>
            </w:pPr>
          </w:p>
          <w:p w14:paraId="03E7DA7A" w14:textId="77777777" w:rsidR="00A3316B" w:rsidRPr="00F00D94" w:rsidRDefault="00A3316B" w:rsidP="00C04E8C">
            <w:pPr>
              <w:widowControl w:val="0"/>
              <w:numPr>
                <w:ilvl w:val="0"/>
                <w:numId w:val="6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0B534D6" w14:textId="77777777" w:rsidR="00A3316B" w:rsidRPr="00F00D94" w:rsidRDefault="00A3316B" w:rsidP="009F1483">
            <w:pPr>
              <w:pStyle w:val="ListParagraph"/>
              <w:spacing w:after="240"/>
              <w:jc w:val="both"/>
              <w:rPr>
                <w:rFonts w:ascii="Arial" w:hAnsi="Arial" w:cs="Arial"/>
                <w:b/>
              </w:rPr>
            </w:pPr>
          </w:p>
          <w:p w14:paraId="72B8F09F" w14:textId="77777777" w:rsidR="00A3316B" w:rsidRPr="00F00D94" w:rsidRDefault="00A3316B" w:rsidP="00C04E8C">
            <w:pPr>
              <w:widowControl w:val="0"/>
              <w:numPr>
                <w:ilvl w:val="0"/>
                <w:numId w:val="6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BF3FFC5" w14:textId="77777777" w:rsidR="00A3316B" w:rsidRPr="00F00D94" w:rsidRDefault="00A3316B" w:rsidP="009F1483">
            <w:pPr>
              <w:pStyle w:val="APStepItem"/>
              <w:numPr>
                <w:ilvl w:val="0"/>
                <w:numId w:val="0"/>
              </w:numPr>
              <w:spacing w:after="240"/>
              <w:rPr>
                <w:rFonts w:cs="Arial"/>
                <w:b/>
              </w:rPr>
            </w:pPr>
          </w:p>
        </w:tc>
      </w:tr>
    </w:tbl>
    <w:p w14:paraId="1C127A21" w14:textId="77777777" w:rsidR="001C3146" w:rsidRDefault="001C3146" w:rsidP="001C3146">
      <w:pPr>
        <w:pStyle w:val="Heading2"/>
        <w:jc w:val="both"/>
        <w:rPr>
          <w:rFonts w:cs="Arial"/>
          <w:sz w:val="24"/>
        </w:rPr>
        <w:sectPr w:rsidR="001C3146" w:rsidSect="00885BA6">
          <w:headerReference w:type="default" r:id="rId105"/>
          <w:pgSz w:w="12240" w:h="15840" w:code="1"/>
          <w:pgMar w:top="1440" w:right="1440" w:bottom="1440" w:left="1440" w:header="720" w:footer="720" w:gutter="0"/>
          <w:cols w:space="720"/>
          <w:docGrid w:linePitch="360"/>
        </w:sectPr>
      </w:pPr>
    </w:p>
    <w:p w14:paraId="3C267990" w14:textId="06ECB868" w:rsidR="001C3146" w:rsidRPr="000706D1" w:rsidRDefault="001C3146" w:rsidP="001C3146">
      <w:pPr>
        <w:pStyle w:val="Heading2"/>
        <w:jc w:val="both"/>
        <w:rPr>
          <w:rFonts w:cs="Arial"/>
          <w:sz w:val="24"/>
        </w:rPr>
      </w:pPr>
      <w:bookmarkStart w:id="126" w:name="_Toc212473183"/>
      <w:r w:rsidRPr="000706D1">
        <w:rPr>
          <w:rFonts w:cs="Arial"/>
          <w:sz w:val="24"/>
        </w:rPr>
        <w:lastRenderedPageBreak/>
        <w:t>N</w:t>
      </w:r>
      <w:r w:rsidR="00786806">
        <w:rPr>
          <w:rFonts w:cs="Arial"/>
          <w:sz w:val="24"/>
        </w:rPr>
        <w:t>11</w:t>
      </w:r>
      <w:r w:rsidRPr="000706D1">
        <w:rPr>
          <w:rFonts w:cs="Arial"/>
          <w:sz w:val="24"/>
        </w:rPr>
        <w:t>.  SPECIAL TESTS AND PROVISIONS</w:t>
      </w:r>
      <w:r w:rsidR="00786806">
        <w:rPr>
          <w:rFonts w:cs="Arial"/>
          <w:sz w:val="24"/>
        </w:rPr>
        <w:t xml:space="preserve"> – FUNDING CENTRAL OFFICE WITH CAPITAL FUND PROGRAM FUNDS</w:t>
      </w:r>
      <w:bookmarkEnd w:id="126"/>
    </w:p>
    <w:p w14:paraId="2B1261BB" w14:textId="77777777" w:rsidR="001C3146" w:rsidRPr="000706D1" w:rsidRDefault="001C3146" w:rsidP="001C3146">
      <w:pPr>
        <w:pStyle w:val="Heading3"/>
        <w:jc w:val="both"/>
        <w:rPr>
          <w:rFonts w:cs="Arial"/>
          <w:sz w:val="24"/>
          <w:szCs w:val="24"/>
        </w:rPr>
      </w:pPr>
      <w:bookmarkStart w:id="127" w:name="_Toc212473184"/>
      <w:r w:rsidRPr="000706D1">
        <w:rPr>
          <w:rFonts w:cs="Arial"/>
          <w:sz w:val="24"/>
          <w:szCs w:val="24"/>
        </w:rPr>
        <w:t>OMB Compliance Requirements</w:t>
      </w:r>
      <w:bookmarkEnd w:id="127"/>
    </w:p>
    <w:p w14:paraId="7B3C034B" w14:textId="77777777" w:rsidR="001C3146" w:rsidRPr="005C1EBC" w:rsidRDefault="001C3146" w:rsidP="001C314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48575592" w14:textId="77777777" w:rsidR="001C3146" w:rsidRPr="00F00D94" w:rsidRDefault="001C3146" w:rsidP="001C3146">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597AAFA8" w14:textId="77777777" w:rsidR="001C3146" w:rsidRPr="00F00D94" w:rsidRDefault="001C3146" w:rsidP="001C3146">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2B1B644" w14:textId="77777777" w:rsidR="001C3146" w:rsidRPr="000706D1" w:rsidRDefault="001C3146" w:rsidP="001C3146">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72EE816" w14:textId="2235A511" w:rsidR="00786806" w:rsidRPr="00786806" w:rsidRDefault="00786806" w:rsidP="0078680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86806">
        <w:rPr>
          <w:rFonts w:ascii="Arial" w:hAnsi="Arial" w:cs="Arial"/>
          <w:bCs/>
        </w:rPr>
        <w:t>The Capital Fund was established for the purpose of making assistance available to PHAs to carry out capital and management activities</w:t>
      </w:r>
      <w:r>
        <w:rPr>
          <w:rFonts w:ascii="Arial" w:hAnsi="Arial" w:cs="Arial"/>
          <w:bCs/>
        </w:rPr>
        <w:t xml:space="preserve"> </w:t>
      </w:r>
      <w:r w:rsidRPr="00786806">
        <w:rPr>
          <w:rFonts w:ascii="Arial" w:hAnsi="Arial" w:cs="Arial"/>
          <w:bCs/>
        </w:rPr>
        <w:t>(42 USC 1437g(d)). Project-based budgeting and accounting will be applied to all programs and revenue sources that support projects under an ACC (e.g., the Operating Fund, the Capital Fund) (24 CFR section 990.280(a)).</w:t>
      </w:r>
    </w:p>
    <w:p w14:paraId="7253D9AB" w14:textId="7E682DC5" w:rsidR="00786806" w:rsidRPr="00786806" w:rsidRDefault="00786806" w:rsidP="0078680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86806">
        <w:rPr>
          <w:rFonts w:ascii="Arial" w:hAnsi="Arial" w:cs="Arial"/>
          <w:bCs/>
        </w:rPr>
        <w:t>In addition to project-specific records, PHAs may establish COCCs to account for non- project-specific costs (e.g., human resources, executive director’s office). These costs shall be funded from the management fees received from each property and asset management fees to the extent these are available (24 CFR section 990.280(c)).</w:t>
      </w:r>
    </w:p>
    <w:p w14:paraId="45EBC2E6" w14:textId="5B31A3C6" w:rsidR="00786806" w:rsidRPr="00786806" w:rsidRDefault="00786806" w:rsidP="0078680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86806">
        <w:rPr>
          <w:rFonts w:ascii="Arial" w:hAnsi="Arial" w:cs="Arial"/>
          <w:bCs/>
        </w:rPr>
        <w:t>If a PHA uses CFP funds to directly support its central office other than through management fees, the PHA may not record fee revenue, such as management fees, asset management fees, bookkeeping fees, and front-line service fees, under its COCC. The PHA should report indirect costs as Allocated Overhead (FDS line 91810) under its projects and programs.</w:t>
      </w:r>
    </w:p>
    <w:p w14:paraId="2EF26C72" w14:textId="58A5F3BB" w:rsidR="00786806" w:rsidRPr="00786806" w:rsidRDefault="00786806" w:rsidP="0078680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786806">
        <w:rPr>
          <w:rFonts w:ascii="Arial" w:hAnsi="Arial" w:cs="Arial"/>
          <w:bCs/>
        </w:rPr>
        <w:t>However, a PHA could report fee revenue under its COCC under the following</w:t>
      </w:r>
      <w:r>
        <w:rPr>
          <w:rFonts w:ascii="Arial" w:hAnsi="Arial" w:cs="Arial"/>
          <w:bCs/>
        </w:rPr>
        <w:t xml:space="preserve"> </w:t>
      </w:r>
      <w:r w:rsidRPr="00786806">
        <w:rPr>
          <w:rFonts w:ascii="Arial" w:hAnsi="Arial" w:cs="Arial"/>
          <w:bCs/>
        </w:rPr>
        <w:t>circumstances. (HUD considers these activities as management or capital activities and, therefore, can be directly supported by the use of the Capital Fund in accordance with (42 USC 1437g (d)).)</w:t>
      </w:r>
    </w:p>
    <w:p w14:paraId="4DBA4E5C" w14:textId="796C6704" w:rsidR="00786806" w:rsidRPr="00786806" w:rsidRDefault="00786806" w:rsidP="00786806">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786806">
        <w:rPr>
          <w:rFonts w:ascii="Arial" w:hAnsi="Arial" w:cs="Arial"/>
          <w:bCs/>
        </w:rPr>
        <w:t>a.</w:t>
      </w:r>
      <w:r w:rsidRPr="00786806">
        <w:rPr>
          <w:rFonts w:ascii="Arial" w:hAnsi="Arial" w:cs="Arial"/>
          <w:bCs/>
        </w:rPr>
        <w:tab/>
        <w:t>PHAs with assets financed under the Capital Fund Finance Program (CFFP) and allocated to the COCC will record the associated debt at the COCC. (Unlike the CFP, the CFFP is not a federal financial assistance program. The CFFP was created to leverage external financing of capital investments using CFP money for debt service. For instance, a PHA must repair its building at an estimated cost of</w:t>
      </w:r>
      <w:r>
        <w:rPr>
          <w:rFonts w:ascii="Arial" w:hAnsi="Arial" w:cs="Arial"/>
          <w:bCs/>
        </w:rPr>
        <w:t xml:space="preserve"> </w:t>
      </w:r>
      <w:r w:rsidRPr="00786806">
        <w:rPr>
          <w:rFonts w:ascii="Arial" w:hAnsi="Arial" w:cs="Arial"/>
          <w:bCs/>
        </w:rPr>
        <w:t xml:space="preserve">$500,000. CFP can provide annual funding of $100,000 to the PHA. Without outside financing, the PHA would not have enough cash to do the work until five years later. The </w:t>
      </w:r>
      <w:r w:rsidRPr="00786806">
        <w:rPr>
          <w:rFonts w:ascii="Arial" w:hAnsi="Arial" w:cs="Arial"/>
          <w:bCs/>
        </w:rPr>
        <w:lastRenderedPageBreak/>
        <w:t>PHA can borrow money from a local bank to make the investment now and promise to repay the bank with future CFP funds. By doing so, the PHA is taking part in the CFFP.) CFP grants are allowed to service the debt service payments for this COCC debt based on a percentage of the annual CFP appropriation.</w:t>
      </w:r>
    </w:p>
    <w:p w14:paraId="694FDA04" w14:textId="2AB12996" w:rsidR="00786806" w:rsidRDefault="00786806" w:rsidP="00786806">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Cs/>
        </w:rPr>
      </w:pPr>
      <w:r w:rsidRPr="00786806">
        <w:rPr>
          <w:rFonts w:ascii="Arial" w:hAnsi="Arial" w:cs="Arial"/>
          <w:bCs/>
        </w:rPr>
        <w:t>b.</w:t>
      </w:r>
      <w:r w:rsidRPr="00786806">
        <w:rPr>
          <w:rFonts w:ascii="Arial" w:hAnsi="Arial" w:cs="Arial"/>
          <w:bCs/>
        </w:rPr>
        <w:tab/>
        <w:t>The costs of developing or modernizing an existing ACC non-dwelling structure under a Capital Fund Declaration of Trust (DOT) (both COCC and Project Structure) are an eligible Capital Fund expenditure (guidance on this is provided in Section 5.7 in the Supplement to HUD Handbook 7475.1). If development of a structure, then a 40-year DOT applies; if modernization of a structure, then a 20- year DOT applies. DOT may vary based on the nature of the work; consult HUD Handbook 7475.1.</w:t>
      </w:r>
    </w:p>
    <w:p w14:paraId="68A86D79" w14:textId="1DCEB3B6" w:rsidR="00786806" w:rsidRPr="00786806" w:rsidRDefault="00786806" w:rsidP="00786806">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5CA331CD" w14:textId="77777777" w:rsidR="001C3146" w:rsidRPr="000706D1" w:rsidRDefault="001C3146" w:rsidP="001C3146">
      <w:pPr>
        <w:pStyle w:val="Heading3"/>
        <w:jc w:val="both"/>
        <w:rPr>
          <w:rFonts w:cs="Arial"/>
          <w:sz w:val="24"/>
          <w:szCs w:val="24"/>
        </w:rPr>
      </w:pPr>
      <w:bookmarkStart w:id="128" w:name="_Toc212473185"/>
      <w:r w:rsidRPr="000706D1">
        <w:rPr>
          <w:rFonts w:cs="Arial"/>
          <w:sz w:val="24"/>
          <w:szCs w:val="24"/>
        </w:rPr>
        <w:t>Additional Program Specific Information</w:t>
      </w:r>
      <w:bookmarkEnd w:id="128"/>
    </w:p>
    <w:p w14:paraId="7BBA7F9A" w14:textId="77777777" w:rsidR="001C3146" w:rsidRPr="00AA5B05" w:rsidRDefault="001C3146" w:rsidP="001C3146">
      <w:pPr>
        <w:spacing w:after="240"/>
        <w:jc w:val="both"/>
        <w:rPr>
          <w:rFonts w:ascii="Arial" w:hAnsi="Arial" w:cs="Arial"/>
          <w:b/>
          <w:highlight w:val="yellow"/>
        </w:rPr>
      </w:pPr>
      <w:r w:rsidRPr="00AA5B05">
        <w:rPr>
          <w:rFonts w:ascii="Arial" w:hAnsi="Arial" w:cs="Arial"/>
          <w:b/>
          <w:highlight w:val="yellow"/>
        </w:rPr>
        <w:t>Add program specific requirements from:</w:t>
      </w:r>
    </w:p>
    <w:p w14:paraId="3CBE39FF" w14:textId="77777777" w:rsidR="001C3146" w:rsidRPr="00AA5B05" w:rsidRDefault="001C3146" w:rsidP="001C3146">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8C3B9A3" w14:textId="77777777" w:rsidR="001C3146" w:rsidRPr="00AA5B05" w:rsidRDefault="001C3146" w:rsidP="001C3146">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7B57F6D" w14:textId="77777777" w:rsidR="001C3146" w:rsidRPr="00AA5B05" w:rsidRDefault="001C3146" w:rsidP="001C3146">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48E650F0" w14:textId="77777777" w:rsidR="001C3146" w:rsidRPr="00AA5B05" w:rsidRDefault="001C3146" w:rsidP="001C3146">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6BBE6F2" w14:textId="77777777" w:rsidR="001C3146" w:rsidRPr="000706D1" w:rsidRDefault="001C3146" w:rsidP="001C3146">
      <w:pPr>
        <w:pStyle w:val="Heading3"/>
        <w:jc w:val="both"/>
        <w:rPr>
          <w:rFonts w:cs="Arial"/>
          <w:sz w:val="24"/>
          <w:szCs w:val="24"/>
        </w:rPr>
      </w:pPr>
      <w:bookmarkStart w:id="129" w:name="_Toc212473186"/>
      <w:r w:rsidRPr="000706D1">
        <w:rPr>
          <w:rFonts w:cs="Arial"/>
          <w:sz w:val="24"/>
          <w:szCs w:val="24"/>
        </w:rPr>
        <w:t>Audit Objectives and Control Testing</w:t>
      </w:r>
      <w:bookmarkEnd w:id="129"/>
    </w:p>
    <w:p w14:paraId="3197B100" w14:textId="77777777" w:rsidR="001C3146" w:rsidRPr="00F00D94" w:rsidRDefault="001C3146" w:rsidP="001C314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36E13BC" w14:textId="77777777" w:rsidR="001C3146" w:rsidRPr="00F00D94" w:rsidRDefault="001C3146" w:rsidP="001C314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0F7D8C1" w14:textId="77777777" w:rsidR="001C3146" w:rsidRDefault="001C3146" w:rsidP="001C3146">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F434C90" w14:textId="6746F61C" w:rsidR="001C3146" w:rsidRPr="00786806" w:rsidRDefault="00786806" w:rsidP="00786806">
      <w:pPr>
        <w:pStyle w:val="ListParagraph"/>
        <w:numPr>
          <w:ilvl w:val="0"/>
          <w:numId w:val="6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786806">
        <w:rPr>
          <w:rFonts w:ascii="Arial" w:hAnsi="Arial" w:cs="Arial"/>
        </w:rPr>
        <w:t>When a PHA uses the Capital Fund to directly support its central office other than through management fees, determine whether the PHA (a) uses the Capital Fund to pay back CFFP debt or to develop or modernize an existing ACC structure or (b) reports its indirect cost as Allocated Overhead (FDS line 91810).</w:t>
      </w:r>
    </w:p>
    <w:p w14:paraId="26324CA3" w14:textId="0F01451E" w:rsidR="00786806" w:rsidRPr="00786806" w:rsidRDefault="00786806" w:rsidP="00786806">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63DD1218" w14:textId="77777777" w:rsidR="001C3146" w:rsidRPr="00634FA3" w:rsidRDefault="001C3146" w:rsidP="001C3146">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1C3146" w:rsidRPr="00F00D94" w14:paraId="3FD024FF" w14:textId="77777777" w:rsidTr="009F1483">
        <w:tc>
          <w:tcPr>
            <w:tcW w:w="5000" w:type="pct"/>
          </w:tcPr>
          <w:p w14:paraId="330BFE22" w14:textId="77777777" w:rsidR="001C3146" w:rsidRPr="006F5FFA" w:rsidRDefault="001C3146"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E2128E7" w14:textId="77777777" w:rsidR="001C3146" w:rsidRPr="00F00D94" w:rsidRDefault="001C3146"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92B1BDC" w14:textId="77777777" w:rsidR="001C3146" w:rsidRPr="00F00D94" w:rsidRDefault="001C3146" w:rsidP="009F1483">
            <w:pPr>
              <w:pStyle w:val="AuditProcedureHeading"/>
              <w:spacing w:after="240"/>
              <w:jc w:val="both"/>
              <w:rPr>
                <w:rFonts w:cs="Arial"/>
                <w:b/>
                <w:bCs/>
                <w:szCs w:val="20"/>
                <w:u w:val="single"/>
              </w:rPr>
            </w:pPr>
          </w:p>
          <w:p w14:paraId="55D876CD" w14:textId="77777777" w:rsidR="001C3146" w:rsidRPr="00F00D94" w:rsidRDefault="001C3146"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C5272EF" w14:textId="77777777" w:rsidR="001C3146" w:rsidRPr="00F00D94" w:rsidRDefault="001C3146" w:rsidP="009F1483">
            <w:pPr>
              <w:pStyle w:val="AuditProcedureHeading"/>
              <w:spacing w:after="240"/>
              <w:jc w:val="both"/>
              <w:rPr>
                <w:rFonts w:cs="Arial"/>
                <w:b/>
                <w:bCs/>
                <w:szCs w:val="20"/>
                <w:u w:val="single"/>
              </w:rPr>
            </w:pPr>
          </w:p>
          <w:p w14:paraId="32101A36" w14:textId="77777777" w:rsidR="001C3146" w:rsidRPr="00F00D94" w:rsidRDefault="001C3146"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ECA45F0" w14:textId="77777777" w:rsidR="001C3146" w:rsidRPr="00F00D94" w:rsidRDefault="001C3146" w:rsidP="009F1483">
            <w:pPr>
              <w:spacing w:after="240"/>
              <w:jc w:val="both"/>
              <w:rPr>
                <w:rFonts w:ascii="Arial" w:hAnsi="Arial" w:cs="Arial"/>
                <w:b/>
                <w:sz w:val="20"/>
                <w:u w:val="single"/>
              </w:rPr>
            </w:pPr>
          </w:p>
          <w:p w14:paraId="20E9C422" w14:textId="77777777" w:rsidR="001C3146" w:rsidRPr="00F00D94" w:rsidRDefault="001C3146"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60BD1" w14:textId="77777777" w:rsidR="001C3146" w:rsidRPr="00C35E5F" w:rsidRDefault="001C3146" w:rsidP="009F1483">
            <w:pPr>
              <w:spacing w:after="240"/>
              <w:jc w:val="both"/>
              <w:rPr>
                <w:rFonts w:ascii="Arial" w:eastAsiaTheme="minorHAnsi" w:hAnsi="Arial" w:cs="Arial"/>
                <w:sz w:val="20"/>
                <w:szCs w:val="20"/>
              </w:rPr>
            </w:pPr>
          </w:p>
        </w:tc>
      </w:tr>
    </w:tbl>
    <w:p w14:paraId="2F281CD6" w14:textId="77777777" w:rsidR="001C3146" w:rsidRPr="00F00D94" w:rsidRDefault="001C3146" w:rsidP="001C3146">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0E6FB2F" w14:textId="77777777" w:rsidR="001C3146" w:rsidRPr="000706D1" w:rsidRDefault="001C3146" w:rsidP="001C3146">
      <w:pPr>
        <w:pStyle w:val="Heading3"/>
        <w:jc w:val="both"/>
        <w:rPr>
          <w:rFonts w:cs="Arial"/>
          <w:sz w:val="24"/>
          <w:szCs w:val="24"/>
        </w:rPr>
      </w:pPr>
      <w:bookmarkStart w:id="130" w:name="_Toc212473187"/>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30"/>
    </w:p>
    <w:tbl>
      <w:tblPr>
        <w:tblStyle w:val="TableGrid"/>
        <w:tblW w:w="9558" w:type="dxa"/>
        <w:tblLayout w:type="fixed"/>
        <w:tblLook w:val="04A0" w:firstRow="1" w:lastRow="0" w:firstColumn="1" w:lastColumn="0" w:noHBand="0" w:noVBand="1"/>
      </w:tblPr>
      <w:tblGrid>
        <w:gridCol w:w="9558"/>
      </w:tblGrid>
      <w:tr w:rsidR="001C3146" w:rsidRPr="00F00D94" w14:paraId="6C7CA97E" w14:textId="77777777" w:rsidTr="009F1483">
        <w:tc>
          <w:tcPr>
            <w:tcW w:w="9558" w:type="dxa"/>
          </w:tcPr>
          <w:p w14:paraId="283F11D1" w14:textId="77777777" w:rsidR="001C3146" w:rsidRDefault="001C3146"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69B4D4E" w14:textId="77777777" w:rsidR="001C3146" w:rsidRPr="00AC7B25" w:rsidRDefault="001C3146"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4F97A7BC" w14:textId="77777777" w:rsidR="00786806" w:rsidRPr="00786806" w:rsidRDefault="00786806" w:rsidP="00786806">
            <w:pPr>
              <w:spacing w:after="240"/>
              <w:ind w:left="703" w:hanging="720"/>
              <w:jc w:val="both"/>
              <w:rPr>
                <w:rFonts w:ascii="Arial" w:hAnsi="Arial" w:cs="Arial"/>
                <w:sz w:val="20"/>
              </w:rPr>
            </w:pPr>
            <w:r w:rsidRPr="00786806">
              <w:rPr>
                <w:rFonts w:ascii="Arial" w:hAnsi="Arial" w:cs="Arial"/>
                <w:sz w:val="20"/>
              </w:rPr>
              <w:t>a.</w:t>
            </w:r>
            <w:r w:rsidRPr="00786806">
              <w:rPr>
                <w:rFonts w:ascii="Arial" w:hAnsi="Arial" w:cs="Arial"/>
                <w:sz w:val="20"/>
              </w:rPr>
              <w:tab/>
              <w:t>Ascertain if the Capital Fund is used to directly fund the central office other than through management fees. If not, no further action is needed.</w:t>
            </w:r>
          </w:p>
          <w:p w14:paraId="080AB603" w14:textId="77777777" w:rsidR="00786806" w:rsidRPr="00786806" w:rsidRDefault="00786806" w:rsidP="00786806">
            <w:pPr>
              <w:spacing w:after="240"/>
              <w:ind w:left="703" w:hanging="720"/>
              <w:jc w:val="both"/>
              <w:rPr>
                <w:rFonts w:ascii="Arial" w:hAnsi="Arial" w:cs="Arial"/>
                <w:sz w:val="20"/>
              </w:rPr>
            </w:pPr>
          </w:p>
          <w:p w14:paraId="1DF534FC" w14:textId="77777777" w:rsidR="00786806" w:rsidRPr="00786806" w:rsidRDefault="00786806" w:rsidP="00786806">
            <w:pPr>
              <w:spacing w:after="240"/>
              <w:ind w:left="703" w:hanging="720"/>
              <w:jc w:val="both"/>
              <w:rPr>
                <w:rFonts w:ascii="Arial" w:hAnsi="Arial" w:cs="Arial"/>
                <w:sz w:val="20"/>
              </w:rPr>
            </w:pPr>
            <w:r w:rsidRPr="00786806">
              <w:rPr>
                <w:rFonts w:ascii="Arial" w:hAnsi="Arial" w:cs="Arial"/>
                <w:sz w:val="20"/>
              </w:rPr>
              <w:t>b.</w:t>
            </w:r>
            <w:r w:rsidRPr="00786806">
              <w:rPr>
                <w:rFonts w:ascii="Arial" w:hAnsi="Arial" w:cs="Arial"/>
                <w:sz w:val="20"/>
              </w:rPr>
              <w:tab/>
              <w:t>If so, and if all the funds were used to pay CFFP debt or to develop or modernize an existing ACC structure, no further action is needed.</w:t>
            </w:r>
          </w:p>
          <w:p w14:paraId="62FE5B3F" w14:textId="77777777" w:rsidR="00786806" w:rsidRPr="00786806" w:rsidRDefault="00786806" w:rsidP="00786806">
            <w:pPr>
              <w:spacing w:after="240"/>
              <w:ind w:left="703" w:hanging="720"/>
              <w:jc w:val="both"/>
              <w:rPr>
                <w:rFonts w:ascii="Arial" w:hAnsi="Arial" w:cs="Arial"/>
                <w:sz w:val="20"/>
              </w:rPr>
            </w:pPr>
          </w:p>
          <w:p w14:paraId="5EF15CA9" w14:textId="52FF6676" w:rsidR="00786806" w:rsidRPr="00786806" w:rsidRDefault="00786806" w:rsidP="00786806">
            <w:pPr>
              <w:spacing w:after="240"/>
              <w:ind w:left="703" w:hanging="720"/>
              <w:jc w:val="both"/>
              <w:rPr>
                <w:rFonts w:ascii="Arial" w:hAnsi="Arial" w:cs="Arial"/>
                <w:sz w:val="20"/>
              </w:rPr>
            </w:pPr>
            <w:r w:rsidRPr="00786806">
              <w:rPr>
                <w:rFonts w:ascii="Arial" w:hAnsi="Arial" w:cs="Arial"/>
                <w:sz w:val="20"/>
              </w:rPr>
              <w:t>c.</w:t>
            </w:r>
            <w:r w:rsidRPr="00786806">
              <w:rPr>
                <w:rFonts w:ascii="Arial" w:hAnsi="Arial" w:cs="Arial"/>
                <w:sz w:val="20"/>
              </w:rPr>
              <w:tab/>
              <w:t>If so, and the money is not used to pay back CFFP debt or develop or modernize an existing ACC structure, verify that no fee revenue was reported under the COCC, and all indirect costs were reported as Allocated Overhead in FDS line 91810.</w:t>
            </w:r>
          </w:p>
        </w:tc>
      </w:tr>
    </w:tbl>
    <w:p w14:paraId="057F2869" w14:textId="77777777" w:rsidR="001C3146" w:rsidRPr="00F00D94" w:rsidRDefault="001C3146" w:rsidP="001C314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7A3DEB54" w14:textId="77777777" w:rsidR="001C3146" w:rsidRPr="000706D1" w:rsidRDefault="001C3146" w:rsidP="001C3146">
      <w:pPr>
        <w:pStyle w:val="Heading3"/>
        <w:jc w:val="both"/>
        <w:rPr>
          <w:rFonts w:cs="Arial"/>
          <w:b w:val="0"/>
          <w:sz w:val="24"/>
          <w:szCs w:val="24"/>
        </w:rPr>
      </w:pPr>
      <w:bookmarkStart w:id="131" w:name="_Toc212473188"/>
      <w:r w:rsidRPr="000706D1">
        <w:rPr>
          <w:rFonts w:cs="Arial"/>
          <w:sz w:val="24"/>
          <w:szCs w:val="24"/>
        </w:rPr>
        <w:t>Audit Implications Summary</w:t>
      </w:r>
      <w:bookmarkEnd w:id="131"/>
    </w:p>
    <w:tbl>
      <w:tblPr>
        <w:tblStyle w:val="TableGrid"/>
        <w:tblW w:w="5000" w:type="pct"/>
        <w:tblLook w:val="04A0" w:firstRow="1" w:lastRow="0" w:firstColumn="1" w:lastColumn="0" w:noHBand="0" w:noVBand="1"/>
      </w:tblPr>
      <w:tblGrid>
        <w:gridCol w:w="9350"/>
      </w:tblGrid>
      <w:tr w:rsidR="001C3146" w:rsidRPr="00F00D94" w14:paraId="145C6B17" w14:textId="77777777" w:rsidTr="009F1483">
        <w:tc>
          <w:tcPr>
            <w:tcW w:w="5000" w:type="pct"/>
          </w:tcPr>
          <w:p w14:paraId="3479F5A5" w14:textId="77777777" w:rsidR="001C3146" w:rsidRDefault="001C3146"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D185CB" w14:textId="77777777" w:rsidR="001C3146" w:rsidRPr="006E46AD" w:rsidRDefault="001C3146"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0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206A832" w14:textId="77777777" w:rsidR="001C3146" w:rsidRPr="006E46AD" w:rsidRDefault="001C3146" w:rsidP="00786806">
            <w:pPr>
              <w:pStyle w:val="ListParagraph"/>
              <w:widowControl w:val="0"/>
              <w:numPr>
                <w:ilvl w:val="0"/>
                <w:numId w:val="6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46F4BC6" w14:textId="77777777" w:rsidR="001C3146" w:rsidRPr="006E46AD" w:rsidRDefault="001C3146" w:rsidP="009F1483">
            <w:pPr>
              <w:widowControl w:val="0"/>
              <w:spacing w:after="240"/>
              <w:ind w:left="720"/>
              <w:jc w:val="both"/>
              <w:rPr>
                <w:rFonts w:ascii="Arial" w:hAnsi="Arial" w:cs="Arial"/>
                <w:b/>
                <w:sz w:val="20"/>
                <w:szCs w:val="20"/>
              </w:rPr>
            </w:pPr>
          </w:p>
          <w:p w14:paraId="5CBABAF4" w14:textId="77777777" w:rsidR="001C3146" w:rsidRPr="006E46AD" w:rsidRDefault="001C3146" w:rsidP="00786806">
            <w:pPr>
              <w:widowControl w:val="0"/>
              <w:numPr>
                <w:ilvl w:val="0"/>
                <w:numId w:val="6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2A2FC2F" w14:textId="77777777" w:rsidR="001C3146" w:rsidRPr="00F00D94" w:rsidRDefault="001C3146" w:rsidP="009F1483">
            <w:pPr>
              <w:pStyle w:val="ListParagraph"/>
              <w:spacing w:after="240"/>
              <w:jc w:val="both"/>
              <w:rPr>
                <w:rFonts w:ascii="Arial" w:hAnsi="Arial" w:cs="Arial"/>
                <w:b/>
              </w:rPr>
            </w:pPr>
          </w:p>
          <w:p w14:paraId="41B14CDF" w14:textId="77777777" w:rsidR="001C3146" w:rsidRPr="00F00D94" w:rsidRDefault="001C3146" w:rsidP="00786806">
            <w:pPr>
              <w:widowControl w:val="0"/>
              <w:numPr>
                <w:ilvl w:val="0"/>
                <w:numId w:val="6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49DEF0E3" w14:textId="77777777" w:rsidR="001C3146" w:rsidRPr="00F00D94" w:rsidRDefault="001C3146" w:rsidP="009F1483">
            <w:pPr>
              <w:pStyle w:val="ListParagraph"/>
              <w:spacing w:after="240"/>
              <w:jc w:val="both"/>
              <w:rPr>
                <w:rFonts w:ascii="Arial" w:hAnsi="Arial" w:cs="Arial"/>
                <w:b/>
              </w:rPr>
            </w:pPr>
          </w:p>
          <w:p w14:paraId="08CC1833" w14:textId="77777777" w:rsidR="001C3146" w:rsidRPr="00F00D94" w:rsidRDefault="001C3146" w:rsidP="00786806">
            <w:pPr>
              <w:widowControl w:val="0"/>
              <w:numPr>
                <w:ilvl w:val="0"/>
                <w:numId w:val="6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8C906F1" w14:textId="77777777" w:rsidR="001C3146" w:rsidRPr="00F00D94" w:rsidRDefault="001C3146" w:rsidP="009F1483">
            <w:pPr>
              <w:pStyle w:val="ListParagraph"/>
              <w:spacing w:after="240"/>
              <w:jc w:val="both"/>
              <w:rPr>
                <w:rFonts w:ascii="Arial" w:hAnsi="Arial" w:cs="Arial"/>
                <w:b/>
              </w:rPr>
            </w:pPr>
          </w:p>
          <w:p w14:paraId="731BF7AE" w14:textId="77777777" w:rsidR="001C3146" w:rsidRPr="00F00D94" w:rsidRDefault="001C3146" w:rsidP="00786806">
            <w:pPr>
              <w:widowControl w:val="0"/>
              <w:numPr>
                <w:ilvl w:val="0"/>
                <w:numId w:val="6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2F9CDE4" w14:textId="77777777" w:rsidR="001C3146" w:rsidRPr="00F00D94" w:rsidRDefault="001C3146" w:rsidP="009F1483">
            <w:pPr>
              <w:pStyle w:val="APStepItem"/>
              <w:numPr>
                <w:ilvl w:val="0"/>
                <w:numId w:val="0"/>
              </w:numPr>
              <w:spacing w:after="240"/>
              <w:rPr>
                <w:rFonts w:cs="Arial"/>
                <w:b/>
              </w:rPr>
            </w:pPr>
          </w:p>
        </w:tc>
      </w:tr>
    </w:tbl>
    <w:p w14:paraId="440A1864" w14:textId="77777777" w:rsidR="00C04E8C" w:rsidRDefault="00C04E8C" w:rsidP="00C04E8C">
      <w:pPr>
        <w:pStyle w:val="Heading2"/>
        <w:jc w:val="both"/>
        <w:rPr>
          <w:rFonts w:cs="Arial"/>
          <w:sz w:val="24"/>
        </w:rPr>
        <w:sectPr w:rsidR="00C04E8C" w:rsidSect="00C04E8C">
          <w:headerReference w:type="default" r:id="rId107"/>
          <w:pgSz w:w="12240" w:h="15840" w:code="1"/>
          <w:pgMar w:top="1440" w:right="1440" w:bottom="1440" w:left="1440" w:header="720" w:footer="720" w:gutter="0"/>
          <w:cols w:space="720"/>
          <w:docGrid w:linePitch="360"/>
        </w:sectPr>
      </w:pPr>
    </w:p>
    <w:p w14:paraId="479BACC2" w14:textId="631417E3" w:rsidR="00C04E8C" w:rsidRPr="000706D1" w:rsidRDefault="00C04E8C" w:rsidP="00C04E8C">
      <w:pPr>
        <w:pStyle w:val="Heading2"/>
        <w:jc w:val="both"/>
        <w:rPr>
          <w:rFonts w:cs="Arial"/>
          <w:sz w:val="24"/>
        </w:rPr>
      </w:pPr>
      <w:bookmarkStart w:id="132" w:name="_Toc212473189"/>
      <w:r w:rsidRPr="000706D1">
        <w:rPr>
          <w:rFonts w:cs="Arial"/>
          <w:sz w:val="24"/>
        </w:rPr>
        <w:lastRenderedPageBreak/>
        <w:t>N</w:t>
      </w:r>
      <w:r w:rsidR="001F1600">
        <w:rPr>
          <w:rFonts w:cs="Arial"/>
          <w:sz w:val="24"/>
        </w:rPr>
        <w:t>12</w:t>
      </w:r>
      <w:r w:rsidRPr="000706D1">
        <w:rPr>
          <w:rFonts w:cs="Arial"/>
          <w:sz w:val="24"/>
        </w:rPr>
        <w:t>.  SPECIAL TESTS AND PROVISIONS</w:t>
      </w:r>
      <w:r w:rsidR="001F1600">
        <w:rPr>
          <w:rFonts w:cs="Arial"/>
          <w:sz w:val="24"/>
        </w:rPr>
        <w:t xml:space="preserve"> – PHA UTILITIES OPERATING FUNDING REQUESTS</w:t>
      </w:r>
      <w:bookmarkEnd w:id="132"/>
    </w:p>
    <w:p w14:paraId="3A3F7AD3" w14:textId="77777777" w:rsidR="00C04E8C" w:rsidRPr="000706D1" w:rsidRDefault="00C04E8C" w:rsidP="00C04E8C">
      <w:pPr>
        <w:pStyle w:val="Heading3"/>
        <w:jc w:val="both"/>
        <w:rPr>
          <w:rFonts w:cs="Arial"/>
          <w:sz w:val="24"/>
          <w:szCs w:val="24"/>
        </w:rPr>
      </w:pPr>
      <w:bookmarkStart w:id="133" w:name="_Toc212473190"/>
      <w:r w:rsidRPr="000706D1">
        <w:rPr>
          <w:rFonts w:cs="Arial"/>
          <w:sz w:val="24"/>
          <w:szCs w:val="24"/>
        </w:rPr>
        <w:t>OMB Compliance Requirements</w:t>
      </w:r>
      <w:bookmarkEnd w:id="133"/>
    </w:p>
    <w:p w14:paraId="3057BD28" w14:textId="77777777" w:rsidR="00C04E8C" w:rsidRPr="005C1EBC"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1006C77" w14:textId="77777777" w:rsidR="00C04E8C" w:rsidRPr="00F00D94"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84DEF43" w14:textId="77777777" w:rsidR="00C04E8C" w:rsidRPr="00F00D94" w:rsidRDefault="00C04E8C" w:rsidP="00C04E8C">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0E0DBF8" w14:textId="77777777" w:rsidR="00C04E8C" w:rsidRPr="000706D1" w:rsidRDefault="00C04E8C" w:rsidP="00C04E8C">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AE8BA87" w14:textId="5BED6FCA" w:rsidR="001F1600" w:rsidRPr="001F1600" w:rsidRDefault="001F1600" w:rsidP="001F160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1F1600">
        <w:rPr>
          <w:rFonts w:ascii="Arial" w:hAnsi="Arial" w:cs="Arial"/>
          <w:bCs/>
          <w:i/>
          <w:iCs/>
        </w:rPr>
        <w:t>Special Utilities Incentives.</w:t>
      </w:r>
      <w:r w:rsidRPr="001F1600">
        <w:rPr>
          <w:rFonts w:ascii="Arial" w:hAnsi="Arial" w:cs="Arial"/>
          <w:bCs/>
        </w:rPr>
        <w:t xml:space="preserve"> If a PHA undertakes energy conservation measures financed</w:t>
      </w:r>
      <w:r>
        <w:rPr>
          <w:rFonts w:ascii="Arial" w:hAnsi="Arial" w:cs="Arial"/>
          <w:bCs/>
        </w:rPr>
        <w:t xml:space="preserve"> </w:t>
      </w:r>
      <w:r w:rsidRPr="001F1600">
        <w:rPr>
          <w:rFonts w:ascii="Arial" w:hAnsi="Arial" w:cs="Arial"/>
          <w:bCs/>
        </w:rPr>
        <w:t xml:space="preserve">by an entity other than HUD, the PHA may qualify for the incentives available under 24 CFR sections 990.185(a) and 990.190(b). In some cases, the rolling base consumption level (HUD Form </w:t>
      </w:r>
      <w:hyperlink r:id="rId108" w:history="1">
        <w:r w:rsidRPr="00011C0F">
          <w:rPr>
            <w:rStyle w:val="Hyperlink"/>
            <w:rFonts w:cs="Arial"/>
            <w:bCs/>
          </w:rPr>
          <w:t>52722</w:t>
        </w:r>
      </w:hyperlink>
      <w:r w:rsidRPr="001F1600">
        <w:rPr>
          <w:rFonts w:ascii="Arial" w:hAnsi="Arial" w:cs="Arial"/>
          <w:bCs/>
        </w:rPr>
        <w:t xml:space="preserve"> Section 3, Line 8) for the utilities involved may be frozen during the contract period. For a PHA to qualify for these incentives, the PHA must obtain HUD approval. Approval is based on a determination that payments under the contract can be funded from the reasonably anticipated energy cost savings. The contract period may not exceed 20 years (24 CFR section 990.185(a)) and is specified in the HUD approval letter.</w:t>
      </w:r>
    </w:p>
    <w:p w14:paraId="7A72D899" w14:textId="23964BBB" w:rsidR="001F1600" w:rsidRPr="001F1600" w:rsidRDefault="001F1600" w:rsidP="001F160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1F1600">
        <w:rPr>
          <w:rFonts w:ascii="Arial" w:hAnsi="Arial" w:cs="Arial"/>
          <w:bCs/>
          <w:i/>
          <w:iCs/>
        </w:rPr>
        <w:t>Rate Reduction.</w:t>
      </w:r>
      <w:r w:rsidRPr="001F1600">
        <w:rPr>
          <w:rFonts w:ascii="Arial" w:hAnsi="Arial" w:cs="Arial"/>
          <w:bCs/>
        </w:rPr>
        <w:t xml:space="preserve"> If a PHA </w:t>
      </w:r>
      <w:proofErr w:type="gramStart"/>
      <w:r w:rsidRPr="001F1600">
        <w:rPr>
          <w:rFonts w:ascii="Arial" w:hAnsi="Arial" w:cs="Arial"/>
          <w:bCs/>
        </w:rPr>
        <w:t>takes action</w:t>
      </w:r>
      <w:proofErr w:type="gramEnd"/>
      <w:r w:rsidRPr="001F1600">
        <w:rPr>
          <w:rFonts w:ascii="Arial" w:hAnsi="Arial" w:cs="Arial"/>
          <w:bCs/>
        </w:rPr>
        <w:t xml:space="preserve"> beyond normal public participation in rate-making proceedings, such as well-head purchase of natural gas, administrative appeals, or legal action to reduce the rate it pays for utilities, then the PHA will be permitted to retain one- half the annual savings realized from these actions (24 CFR section 990.185(b)).</w:t>
      </w:r>
    </w:p>
    <w:p w14:paraId="639C49FC" w14:textId="22EC6EB4" w:rsidR="001F1600" w:rsidRPr="008F458B" w:rsidRDefault="001F1600" w:rsidP="001F1600">
      <w:p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8F458B">
        <w:rPr>
          <w:rFonts w:ascii="Arial" w:hAnsi="Arial" w:cs="Arial"/>
          <w:bCs/>
          <w:i/>
          <w:iCs/>
        </w:rPr>
        <w:t>(Source: 2025 OMB Compliance Supplement, Part 4, HUD, #14.850 Public Housing Operating Fund)</w:t>
      </w:r>
    </w:p>
    <w:p w14:paraId="1C8166D7" w14:textId="77777777" w:rsidR="00C04E8C" w:rsidRPr="000706D1" w:rsidRDefault="00C04E8C" w:rsidP="00C04E8C">
      <w:pPr>
        <w:pStyle w:val="Heading3"/>
        <w:jc w:val="both"/>
        <w:rPr>
          <w:rFonts w:cs="Arial"/>
          <w:sz w:val="24"/>
          <w:szCs w:val="24"/>
        </w:rPr>
      </w:pPr>
      <w:bookmarkStart w:id="134" w:name="_Toc212473191"/>
      <w:r w:rsidRPr="000706D1">
        <w:rPr>
          <w:rFonts w:cs="Arial"/>
          <w:sz w:val="24"/>
          <w:szCs w:val="24"/>
        </w:rPr>
        <w:t>Additional Program Specific Information</w:t>
      </w:r>
      <w:bookmarkEnd w:id="134"/>
    </w:p>
    <w:p w14:paraId="2B530FD6" w14:textId="77777777" w:rsidR="00C04E8C" w:rsidRPr="00AA5B05" w:rsidRDefault="00C04E8C" w:rsidP="00C04E8C">
      <w:pPr>
        <w:spacing w:after="240"/>
        <w:jc w:val="both"/>
        <w:rPr>
          <w:rFonts w:ascii="Arial" w:hAnsi="Arial" w:cs="Arial"/>
          <w:b/>
          <w:highlight w:val="yellow"/>
        </w:rPr>
      </w:pPr>
      <w:r w:rsidRPr="00AA5B05">
        <w:rPr>
          <w:rFonts w:ascii="Arial" w:hAnsi="Arial" w:cs="Arial"/>
          <w:b/>
          <w:highlight w:val="yellow"/>
        </w:rPr>
        <w:t>Add program specific requirements from:</w:t>
      </w:r>
    </w:p>
    <w:p w14:paraId="2C935464" w14:textId="77777777" w:rsidR="00C04E8C" w:rsidRPr="00AA5B05" w:rsidRDefault="00C04E8C" w:rsidP="00C04E8C">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B195D64" w14:textId="77777777" w:rsidR="00C04E8C" w:rsidRPr="00AA5B05" w:rsidRDefault="00C04E8C" w:rsidP="00C04E8C">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7208FBC" w14:textId="77777777" w:rsidR="00C04E8C" w:rsidRPr="00AA5B05" w:rsidRDefault="00C04E8C" w:rsidP="00C04E8C">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736E0F0" w14:textId="77777777" w:rsidR="00C04E8C" w:rsidRPr="00AA5B05" w:rsidRDefault="00C04E8C" w:rsidP="00C04E8C">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5F600F28" w14:textId="77777777" w:rsidR="00C04E8C" w:rsidRPr="000706D1" w:rsidRDefault="00C04E8C" w:rsidP="00C04E8C">
      <w:pPr>
        <w:pStyle w:val="Heading3"/>
        <w:jc w:val="both"/>
        <w:rPr>
          <w:rFonts w:cs="Arial"/>
          <w:sz w:val="24"/>
          <w:szCs w:val="24"/>
        </w:rPr>
      </w:pPr>
      <w:bookmarkStart w:id="135" w:name="_Toc212473192"/>
      <w:r w:rsidRPr="000706D1">
        <w:rPr>
          <w:rFonts w:cs="Arial"/>
          <w:sz w:val="24"/>
          <w:szCs w:val="24"/>
        </w:rPr>
        <w:t>Audit Objectives and Control Testing</w:t>
      </w:r>
      <w:bookmarkEnd w:id="135"/>
    </w:p>
    <w:p w14:paraId="033265AD" w14:textId="77777777" w:rsidR="00C04E8C" w:rsidRPr="00F00D94" w:rsidRDefault="00C04E8C" w:rsidP="00C04E8C">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F733FCA" w14:textId="77777777" w:rsidR="00C04E8C" w:rsidRPr="00F00D94" w:rsidRDefault="00C04E8C" w:rsidP="00C04E8C">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3630D17" w14:textId="77777777" w:rsidR="00C04E8C"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9F9FAA1" w14:textId="4E6108DD" w:rsidR="00C04E8C" w:rsidRDefault="001F1600" w:rsidP="001F1600">
      <w:pPr>
        <w:pStyle w:val="ListParagraph"/>
        <w:numPr>
          <w:ilvl w:val="0"/>
          <w:numId w:val="6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F1600">
        <w:rPr>
          <w:rFonts w:ascii="Arial" w:hAnsi="Arial" w:cs="Arial"/>
          <w:iCs/>
        </w:rPr>
        <w:t>Determine whether the cost saving from energy conservation incentives contracts generally comply with the terms of the energy contract and have been approved by HUD, if required.</w:t>
      </w:r>
    </w:p>
    <w:p w14:paraId="541A3B81" w14:textId="138125AF" w:rsidR="001F1600" w:rsidRPr="001F1600" w:rsidRDefault="001F1600" w:rsidP="001F1600">
      <w:pPr>
        <w:spacing w:after="240"/>
        <w:jc w:val="both"/>
        <w:rPr>
          <w:rFonts w:ascii="Arial" w:hAnsi="Arial" w:cs="Arial"/>
          <w:bCs/>
          <w:i/>
          <w:iCs/>
        </w:rPr>
      </w:pPr>
      <w:r w:rsidRPr="001F1600">
        <w:rPr>
          <w:rFonts w:ascii="Arial" w:hAnsi="Arial" w:cs="Arial"/>
          <w:bCs/>
          <w:i/>
          <w:iCs/>
        </w:rPr>
        <w:t>(Source: 202</w:t>
      </w:r>
      <w:r>
        <w:rPr>
          <w:rFonts w:ascii="Arial" w:hAnsi="Arial" w:cs="Arial"/>
          <w:bCs/>
          <w:i/>
          <w:iCs/>
        </w:rPr>
        <w:t>5</w:t>
      </w:r>
      <w:r w:rsidRPr="001F1600">
        <w:rPr>
          <w:rFonts w:ascii="Arial" w:hAnsi="Arial" w:cs="Arial"/>
          <w:bCs/>
          <w:i/>
          <w:iCs/>
        </w:rPr>
        <w:t xml:space="preserve"> OMB Compliance Supplement, Part 4, HUD, #14.850 Public Housing Operating Fund)</w:t>
      </w:r>
    </w:p>
    <w:p w14:paraId="1610D313" w14:textId="77777777" w:rsidR="00C04E8C" w:rsidRPr="00634FA3" w:rsidRDefault="00C04E8C" w:rsidP="00C04E8C">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04E8C" w:rsidRPr="00F00D94" w14:paraId="7791A026" w14:textId="77777777" w:rsidTr="009F1483">
        <w:tc>
          <w:tcPr>
            <w:tcW w:w="5000" w:type="pct"/>
          </w:tcPr>
          <w:p w14:paraId="1E7E388D" w14:textId="77777777" w:rsidR="00C04E8C" w:rsidRPr="006F5FFA" w:rsidRDefault="00C04E8C"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B4C38FC" w14:textId="77777777" w:rsidR="00C04E8C" w:rsidRPr="00F00D94" w:rsidRDefault="00C04E8C"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6330B7D" w14:textId="77777777" w:rsidR="00C04E8C" w:rsidRPr="00F00D94" w:rsidRDefault="00C04E8C" w:rsidP="009F1483">
            <w:pPr>
              <w:pStyle w:val="AuditProcedureHeading"/>
              <w:spacing w:after="240"/>
              <w:jc w:val="both"/>
              <w:rPr>
                <w:rFonts w:cs="Arial"/>
                <w:b/>
                <w:bCs/>
                <w:szCs w:val="20"/>
                <w:u w:val="single"/>
              </w:rPr>
            </w:pPr>
          </w:p>
          <w:p w14:paraId="4F4CA2A3" w14:textId="77777777" w:rsidR="00C04E8C" w:rsidRPr="00F00D94" w:rsidRDefault="00C04E8C"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A081417" w14:textId="77777777" w:rsidR="00C04E8C" w:rsidRPr="00F00D94" w:rsidRDefault="00C04E8C" w:rsidP="009F1483">
            <w:pPr>
              <w:pStyle w:val="AuditProcedureHeading"/>
              <w:spacing w:after="240"/>
              <w:jc w:val="both"/>
              <w:rPr>
                <w:rFonts w:cs="Arial"/>
                <w:b/>
                <w:bCs/>
                <w:szCs w:val="20"/>
                <w:u w:val="single"/>
              </w:rPr>
            </w:pPr>
          </w:p>
          <w:p w14:paraId="32F79E22" w14:textId="77777777" w:rsidR="00C04E8C" w:rsidRPr="00F00D94" w:rsidRDefault="00C04E8C"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07A47C8" w14:textId="77777777" w:rsidR="00C04E8C" w:rsidRPr="00F00D94" w:rsidRDefault="00C04E8C" w:rsidP="009F1483">
            <w:pPr>
              <w:spacing w:after="240"/>
              <w:jc w:val="both"/>
              <w:rPr>
                <w:rFonts w:ascii="Arial" w:hAnsi="Arial" w:cs="Arial"/>
                <w:b/>
                <w:sz w:val="20"/>
                <w:u w:val="single"/>
              </w:rPr>
            </w:pPr>
          </w:p>
          <w:p w14:paraId="4E209DCB" w14:textId="77777777" w:rsidR="00C04E8C" w:rsidRPr="00F00D94" w:rsidRDefault="00C04E8C"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452624A" w14:textId="77777777" w:rsidR="00C04E8C" w:rsidRPr="00C35E5F" w:rsidRDefault="00C04E8C" w:rsidP="009F1483">
            <w:pPr>
              <w:spacing w:after="240"/>
              <w:jc w:val="both"/>
              <w:rPr>
                <w:rFonts w:ascii="Arial" w:eastAsiaTheme="minorHAnsi" w:hAnsi="Arial" w:cs="Arial"/>
                <w:sz w:val="20"/>
                <w:szCs w:val="20"/>
              </w:rPr>
            </w:pPr>
          </w:p>
        </w:tc>
      </w:tr>
    </w:tbl>
    <w:p w14:paraId="28B9C7E5" w14:textId="77777777" w:rsidR="00C04E8C" w:rsidRPr="00F00D94"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7A3659DB" w14:textId="77777777" w:rsidR="00C04E8C" w:rsidRPr="000706D1" w:rsidRDefault="00C04E8C" w:rsidP="00C04E8C">
      <w:pPr>
        <w:pStyle w:val="Heading3"/>
        <w:jc w:val="both"/>
        <w:rPr>
          <w:rFonts w:cs="Arial"/>
          <w:sz w:val="24"/>
          <w:szCs w:val="24"/>
        </w:rPr>
      </w:pPr>
      <w:bookmarkStart w:id="136" w:name="_Toc21247319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36"/>
    </w:p>
    <w:tbl>
      <w:tblPr>
        <w:tblStyle w:val="TableGrid"/>
        <w:tblW w:w="9558" w:type="dxa"/>
        <w:tblLayout w:type="fixed"/>
        <w:tblLook w:val="04A0" w:firstRow="1" w:lastRow="0" w:firstColumn="1" w:lastColumn="0" w:noHBand="0" w:noVBand="1"/>
      </w:tblPr>
      <w:tblGrid>
        <w:gridCol w:w="9558"/>
      </w:tblGrid>
      <w:tr w:rsidR="00C04E8C" w:rsidRPr="00F00D94" w14:paraId="75986444" w14:textId="77777777" w:rsidTr="009F1483">
        <w:tc>
          <w:tcPr>
            <w:tcW w:w="9558" w:type="dxa"/>
          </w:tcPr>
          <w:p w14:paraId="12221335" w14:textId="77777777" w:rsidR="00C04E8C" w:rsidRDefault="00C04E8C"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0479A6A" w14:textId="77777777" w:rsidR="00C04E8C" w:rsidRPr="00AC7B25" w:rsidRDefault="00C04E8C"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4703E098" w14:textId="68DEC08A" w:rsidR="001F1600" w:rsidRPr="001F1600" w:rsidRDefault="001F1600" w:rsidP="001F1600">
            <w:pPr>
              <w:spacing w:after="240"/>
              <w:ind w:left="703" w:hanging="720"/>
              <w:jc w:val="both"/>
              <w:rPr>
                <w:rFonts w:ascii="Arial" w:hAnsi="Arial" w:cs="Arial"/>
                <w:sz w:val="20"/>
              </w:rPr>
            </w:pPr>
            <w:r w:rsidRPr="001F1600">
              <w:rPr>
                <w:rFonts w:ascii="Arial" w:hAnsi="Arial" w:cs="Arial"/>
                <w:sz w:val="20"/>
              </w:rPr>
              <w:t>a.</w:t>
            </w:r>
            <w:r w:rsidRPr="001F1600">
              <w:rPr>
                <w:rFonts w:ascii="Arial" w:hAnsi="Arial" w:cs="Arial"/>
                <w:sz w:val="20"/>
              </w:rPr>
              <w:tab/>
              <w:t>When entries are in HUD-</w:t>
            </w:r>
            <w:hyperlink r:id="rId109" w:history="1">
              <w:r w:rsidRPr="00011C0F">
                <w:rPr>
                  <w:rStyle w:val="Hyperlink"/>
                  <w:rFonts w:cs="Arial"/>
                  <w:sz w:val="20"/>
                </w:rPr>
                <w:t>52723</w:t>
              </w:r>
            </w:hyperlink>
            <w:r w:rsidRPr="001F1600">
              <w:rPr>
                <w:rFonts w:ascii="Arial" w:hAnsi="Arial" w:cs="Arial"/>
                <w:sz w:val="20"/>
              </w:rPr>
              <w:t xml:space="preserve"> Section 3, Part A, Add-Ons, Line 8, Add-On- Subsidy (AOS) incentive Energy Performance Contract (EPC), verify that the project has a HUD approved energy </w:t>
            </w:r>
            <w:r w:rsidRPr="001F1600">
              <w:rPr>
                <w:rFonts w:ascii="Arial" w:hAnsi="Arial" w:cs="Arial"/>
                <w:sz w:val="20"/>
              </w:rPr>
              <w:lastRenderedPageBreak/>
              <w:t>loan amortization add-on pursuant to CFR sections 990.185(a)(3) and 990.190(b). The contract and add-on must be approved by the HUD field office. Verify that the requested amount and term agree with the energy loan amortization schedule in the approved contract.</w:t>
            </w:r>
          </w:p>
          <w:p w14:paraId="7CB0CC61" w14:textId="70709EB8" w:rsidR="001F1600" w:rsidRPr="001F1600" w:rsidRDefault="001F1600" w:rsidP="001F1600">
            <w:pPr>
              <w:spacing w:after="240"/>
              <w:ind w:left="703" w:hanging="720"/>
              <w:jc w:val="both"/>
              <w:rPr>
                <w:rFonts w:ascii="Arial" w:hAnsi="Arial" w:cs="Arial"/>
                <w:sz w:val="20"/>
              </w:rPr>
            </w:pPr>
            <w:r w:rsidRPr="001F1600">
              <w:rPr>
                <w:rFonts w:ascii="Arial" w:hAnsi="Arial" w:cs="Arial"/>
                <w:sz w:val="20"/>
              </w:rPr>
              <w:t>b.</w:t>
            </w:r>
            <w:r w:rsidRPr="001F1600">
              <w:rPr>
                <w:rFonts w:ascii="Arial" w:hAnsi="Arial" w:cs="Arial"/>
                <w:sz w:val="20"/>
              </w:rPr>
              <w:tab/>
              <w:t xml:space="preserve">For projects with “frozen rolling base” checked in the form header box of HUD- </w:t>
            </w:r>
            <w:hyperlink r:id="rId110" w:history="1">
              <w:r w:rsidRPr="00011C0F">
                <w:rPr>
                  <w:rStyle w:val="Hyperlink"/>
                  <w:rFonts w:cs="Arial"/>
                  <w:sz w:val="20"/>
                </w:rPr>
                <w:t>52722</w:t>
              </w:r>
            </w:hyperlink>
            <w:r w:rsidRPr="001F1600">
              <w:rPr>
                <w:rFonts w:ascii="Arial" w:hAnsi="Arial" w:cs="Arial"/>
                <w:sz w:val="20"/>
              </w:rPr>
              <w:t>, verify that the project has the HUD field office approval that applies to the period in question.</w:t>
            </w:r>
          </w:p>
          <w:p w14:paraId="15FBBD43" w14:textId="259DAA3D" w:rsidR="001F1600" w:rsidRPr="001F1600" w:rsidRDefault="001F1600" w:rsidP="001F1600">
            <w:pPr>
              <w:spacing w:after="240"/>
              <w:ind w:left="703" w:hanging="720"/>
              <w:jc w:val="both"/>
              <w:rPr>
                <w:rFonts w:ascii="Arial" w:hAnsi="Arial" w:cs="Arial"/>
                <w:sz w:val="20"/>
              </w:rPr>
            </w:pPr>
            <w:r w:rsidRPr="001F1600">
              <w:rPr>
                <w:rFonts w:ascii="Arial" w:hAnsi="Arial" w:cs="Arial"/>
                <w:sz w:val="20"/>
              </w:rPr>
              <w:t>c.</w:t>
            </w:r>
            <w:r w:rsidRPr="001F1600">
              <w:rPr>
                <w:rFonts w:ascii="Arial" w:hAnsi="Arial" w:cs="Arial"/>
                <w:sz w:val="20"/>
              </w:rPr>
              <w:tab/>
              <w:t>For projects with a “rate reduction incentive” checked in the form header box of HUD-52722, verify that the project meets the criteria in 24 CFR section 990.185(b).</w:t>
            </w:r>
          </w:p>
        </w:tc>
      </w:tr>
    </w:tbl>
    <w:p w14:paraId="724B75FE" w14:textId="77777777" w:rsidR="00C04E8C" w:rsidRPr="00F00D94" w:rsidRDefault="00C04E8C" w:rsidP="00C04E8C">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3FA83B0" w14:textId="77777777" w:rsidR="00C04E8C" w:rsidRPr="000706D1" w:rsidRDefault="00C04E8C" w:rsidP="00C04E8C">
      <w:pPr>
        <w:pStyle w:val="Heading3"/>
        <w:jc w:val="both"/>
        <w:rPr>
          <w:rFonts w:cs="Arial"/>
          <w:b w:val="0"/>
          <w:sz w:val="24"/>
          <w:szCs w:val="24"/>
        </w:rPr>
      </w:pPr>
      <w:bookmarkStart w:id="137" w:name="_Toc212473194"/>
      <w:r w:rsidRPr="000706D1">
        <w:rPr>
          <w:rFonts w:cs="Arial"/>
          <w:sz w:val="24"/>
          <w:szCs w:val="24"/>
        </w:rPr>
        <w:t>Audit Implications Summary</w:t>
      </w:r>
      <w:bookmarkEnd w:id="137"/>
    </w:p>
    <w:tbl>
      <w:tblPr>
        <w:tblStyle w:val="TableGrid"/>
        <w:tblW w:w="5000" w:type="pct"/>
        <w:tblLook w:val="04A0" w:firstRow="1" w:lastRow="0" w:firstColumn="1" w:lastColumn="0" w:noHBand="0" w:noVBand="1"/>
      </w:tblPr>
      <w:tblGrid>
        <w:gridCol w:w="9350"/>
      </w:tblGrid>
      <w:tr w:rsidR="00C04E8C" w:rsidRPr="00F00D94" w14:paraId="26A196AB" w14:textId="77777777" w:rsidTr="009F1483">
        <w:tc>
          <w:tcPr>
            <w:tcW w:w="5000" w:type="pct"/>
          </w:tcPr>
          <w:p w14:paraId="4C9ADEDD" w14:textId="77777777" w:rsidR="00C04E8C" w:rsidRDefault="00C04E8C"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C649BA6" w14:textId="77777777" w:rsidR="00C04E8C" w:rsidRPr="006E46AD" w:rsidRDefault="00C04E8C"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AB42790" w14:textId="77777777" w:rsidR="00C04E8C" w:rsidRPr="006E46AD" w:rsidRDefault="00C04E8C" w:rsidP="001F1600">
            <w:pPr>
              <w:pStyle w:val="ListParagraph"/>
              <w:widowControl w:val="0"/>
              <w:numPr>
                <w:ilvl w:val="0"/>
                <w:numId w:val="68"/>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C5EADAF" w14:textId="77777777" w:rsidR="00C04E8C" w:rsidRPr="006E46AD" w:rsidRDefault="00C04E8C" w:rsidP="009F1483">
            <w:pPr>
              <w:widowControl w:val="0"/>
              <w:spacing w:after="240"/>
              <w:ind w:left="720"/>
              <w:jc w:val="both"/>
              <w:rPr>
                <w:rFonts w:ascii="Arial" w:hAnsi="Arial" w:cs="Arial"/>
                <w:b/>
                <w:sz w:val="20"/>
                <w:szCs w:val="20"/>
              </w:rPr>
            </w:pPr>
          </w:p>
          <w:p w14:paraId="7739DB67" w14:textId="77777777" w:rsidR="00C04E8C" w:rsidRPr="006E46AD" w:rsidRDefault="00C04E8C" w:rsidP="001F1600">
            <w:pPr>
              <w:widowControl w:val="0"/>
              <w:numPr>
                <w:ilvl w:val="0"/>
                <w:numId w:val="6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1A2ED8A" w14:textId="77777777" w:rsidR="00C04E8C" w:rsidRPr="00F00D94" w:rsidRDefault="00C04E8C" w:rsidP="009F1483">
            <w:pPr>
              <w:pStyle w:val="ListParagraph"/>
              <w:spacing w:after="240"/>
              <w:jc w:val="both"/>
              <w:rPr>
                <w:rFonts w:ascii="Arial" w:hAnsi="Arial" w:cs="Arial"/>
                <w:b/>
              </w:rPr>
            </w:pPr>
          </w:p>
          <w:p w14:paraId="627F88FE" w14:textId="77777777" w:rsidR="00C04E8C" w:rsidRPr="00F00D94" w:rsidRDefault="00C04E8C" w:rsidP="001F1600">
            <w:pPr>
              <w:widowControl w:val="0"/>
              <w:numPr>
                <w:ilvl w:val="0"/>
                <w:numId w:val="6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51B76B83" w14:textId="77777777" w:rsidR="00C04E8C" w:rsidRPr="00F00D94" w:rsidRDefault="00C04E8C" w:rsidP="009F1483">
            <w:pPr>
              <w:pStyle w:val="ListParagraph"/>
              <w:spacing w:after="240"/>
              <w:jc w:val="both"/>
              <w:rPr>
                <w:rFonts w:ascii="Arial" w:hAnsi="Arial" w:cs="Arial"/>
                <w:b/>
              </w:rPr>
            </w:pPr>
          </w:p>
          <w:p w14:paraId="04A473D5" w14:textId="77777777" w:rsidR="00C04E8C" w:rsidRPr="00F00D94" w:rsidRDefault="00C04E8C" w:rsidP="001F1600">
            <w:pPr>
              <w:widowControl w:val="0"/>
              <w:numPr>
                <w:ilvl w:val="0"/>
                <w:numId w:val="6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33FC73CB" w14:textId="77777777" w:rsidR="00C04E8C" w:rsidRPr="00F00D94" w:rsidRDefault="00C04E8C" w:rsidP="009F1483">
            <w:pPr>
              <w:pStyle w:val="ListParagraph"/>
              <w:spacing w:after="240"/>
              <w:jc w:val="both"/>
              <w:rPr>
                <w:rFonts w:ascii="Arial" w:hAnsi="Arial" w:cs="Arial"/>
                <w:b/>
              </w:rPr>
            </w:pPr>
          </w:p>
          <w:p w14:paraId="76F2FC2C" w14:textId="77777777" w:rsidR="00C04E8C" w:rsidRPr="00F00D94" w:rsidRDefault="00C04E8C" w:rsidP="001F1600">
            <w:pPr>
              <w:widowControl w:val="0"/>
              <w:numPr>
                <w:ilvl w:val="0"/>
                <w:numId w:val="6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2C1247C" w14:textId="77777777" w:rsidR="00C04E8C" w:rsidRPr="00F00D94" w:rsidRDefault="00C04E8C" w:rsidP="009F1483">
            <w:pPr>
              <w:pStyle w:val="APStepItem"/>
              <w:numPr>
                <w:ilvl w:val="0"/>
                <w:numId w:val="0"/>
              </w:numPr>
              <w:spacing w:after="240"/>
              <w:rPr>
                <w:rFonts w:cs="Arial"/>
                <w:b/>
              </w:rPr>
            </w:pPr>
          </w:p>
        </w:tc>
      </w:tr>
    </w:tbl>
    <w:p w14:paraId="4E4CDC16" w14:textId="77777777" w:rsidR="003A6024" w:rsidRDefault="003A6024" w:rsidP="003A6024">
      <w:pPr>
        <w:pStyle w:val="Heading2"/>
        <w:jc w:val="both"/>
        <w:rPr>
          <w:rFonts w:cs="Arial"/>
          <w:sz w:val="24"/>
        </w:rPr>
        <w:sectPr w:rsidR="003A6024" w:rsidSect="003A6024">
          <w:headerReference w:type="default" r:id="rId112"/>
          <w:pgSz w:w="12240" w:h="15840" w:code="1"/>
          <w:pgMar w:top="1440" w:right="1440" w:bottom="1440" w:left="1440" w:header="720" w:footer="720" w:gutter="0"/>
          <w:cols w:space="720"/>
          <w:docGrid w:linePitch="360"/>
        </w:sectPr>
      </w:pPr>
    </w:p>
    <w:p w14:paraId="2591A747" w14:textId="14289B22" w:rsidR="003A6024" w:rsidRPr="000706D1" w:rsidRDefault="003A6024" w:rsidP="003A6024">
      <w:pPr>
        <w:pStyle w:val="Heading2"/>
        <w:jc w:val="both"/>
        <w:rPr>
          <w:rFonts w:cs="Arial"/>
          <w:sz w:val="24"/>
        </w:rPr>
      </w:pPr>
      <w:bookmarkStart w:id="138" w:name="_Toc212473195"/>
      <w:r w:rsidRPr="000706D1">
        <w:rPr>
          <w:rFonts w:cs="Arial"/>
          <w:sz w:val="24"/>
        </w:rPr>
        <w:lastRenderedPageBreak/>
        <w:t>N</w:t>
      </w:r>
      <w:r w:rsidR="002156C2">
        <w:rPr>
          <w:rFonts w:cs="Arial"/>
          <w:sz w:val="24"/>
        </w:rPr>
        <w:t>13</w:t>
      </w:r>
      <w:r w:rsidRPr="000706D1">
        <w:rPr>
          <w:rFonts w:cs="Arial"/>
          <w:sz w:val="24"/>
        </w:rPr>
        <w:t>.  SPECIAL TESTS AND PROVISIONS</w:t>
      </w:r>
      <w:r w:rsidR="00F973D0">
        <w:rPr>
          <w:rFonts w:cs="Arial"/>
          <w:sz w:val="24"/>
        </w:rPr>
        <w:t xml:space="preserve"> – RECORDING OF DECLARATIONS OF TRUST/DECLARATION OF RESTRICTIVE COVENANTS AGAINST PUBLIC HOUSING PROPERTY</w:t>
      </w:r>
      <w:bookmarkEnd w:id="138"/>
    </w:p>
    <w:p w14:paraId="5FCB129A" w14:textId="3A392F99" w:rsidR="003A6024" w:rsidRPr="000706D1" w:rsidRDefault="003A6024" w:rsidP="00F973D0">
      <w:pPr>
        <w:pStyle w:val="Heading3"/>
        <w:tabs>
          <w:tab w:val="left" w:pos="6080"/>
        </w:tabs>
        <w:jc w:val="both"/>
        <w:rPr>
          <w:rFonts w:cs="Arial"/>
          <w:sz w:val="24"/>
          <w:szCs w:val="24"/>
        </w:rPr>
      </w:pPr>
      <w:bookmarkStart w:id="139" w:name="_Toc212473196"/>
      <w:r w:rsidRPr="000706D1">
        <w:rPr>
          <w:rFonts w:cs="Arial"/>
          <w:sz w:val="24"/>
          <w:szCs w:val="24"/>
        </w:rPr>
        <w:t>OMB Compliance Requirements</w:t>
      </w:r>
      <w:bookmarkEnd w:id="139"/>
      <w:r w:rsidR="00F973D0">
        <w:rPr>
          <w:rFonts w:cs="Arial"/>
          <w:sz w:val="24"/>
          <w:szCs w:val="24"/>
        </w:rPr>
        <w:tab/>
      </w:r>
    </w:p>
    <w:p w14:paraId="0C95868C" w14:textId="77777777" w:rsidR="003A6024" w:rsidRPr="005C1EBC"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5F577236"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38C57B27" w14:textId="77777777" w:rsidR="003A6024" w:rsidRPr="00F00D94" w:rsidRDefault="003A6024" w:rsidP="003A6024">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0B125279" w14:textId="77777777" w:rsidR="003A6024" w:rsidRPr="000706D1" w:rsidRDefault="003A6024" w:rsidP="003A6024">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12ADD57" w14:textId="7DA6AB01" w:rsidR="00F973D0" w:rsidRPr="00F973D0" w:rsidRDefault="00F973D0" w:rsidP="00F973D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F973D0">
        <w:rPr>
          <w:rFonts w:ascii="Arial" w:hAnsi="Arial" w:cs="Arial"/>
          <w:bCs/>
        </w:rPr>
        <w:t>A current DOT/Declaration of Restrictive Covenants (DORC), in a form acceptable to HUD, must be recorded against all public housing property owned by PHAs (or private entities for public housing developed under 24 CFR Part 905, Subpart F) that has been acquired, developed, maintained, or assisted with funds from the US Housing Act of 1937. A DOT/DORC is a legal instrument that grants HUD an interest in public housing property. It provides public notice that the property must be operated in accordance with all federal public housing requirements, including the requirement not to convey or otherwise encumber the property unless expressly</w:t>
      </w:r>
      <w:r>
        <w:rPr>
          <w:rFonts w:ascii="Arial" w:hAnsi="Arial" w:cs="Arial"/>
          <w:bCs/>
        </w:rPr>
        <w:t xml:space="preserve"> </w:t>
      </w:r>
      <w:r w:rsidRPr="00F973D0">
        <w:rPr>
          <w:rFonts w:ascii="Arial" w:hAnsi="Arial" w:cs="Arial"/>
          <w:bCs/>
        </w:rPr>
        <w:t>authorized by federal law and/or HUD. In PIH Notice 2019-14 (HA), PHAs were asked to ensure that current (unexpired) DOT/DORCs are recorded against all their public housing property.</w:t>
      </w:r>
    </w:p>
    <w:p w14:paraId="747A35E2" w14:textId="77777777" w:rsidR="00F973D0" w:rsidRPr="00F973D0" w:rsidRDefault="00F973D0" w:rsidP="00F973D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F973D0">
        <w:rPr>
          <w:rFonts w:ascii="Arial" w:hAnsi="Arial" w:cs="Arial"/>
          <w:bCs/>
        </w:rPr>
        <w:t>Every property must have a DOT/DORC in place. Up to 2018, the form of DOT/DORC that a PHA recorded depended on the funding from HUD. In most instances, the PHA recorded the HUD-52190-A for Development Grant Projects or the HUD-52190-B for Public Housing Modernization Grant Projects (OMB No. 2577-0075). For mixed-finance development pursuant to 24 CFR Part 905, Subpart F, the form of DOT, known as the Declaration of Restrictive Covenants, was in the form of a model document drafted for this purpose. In 2018, HUD published a new DOT/DORC form, HUD-52190 (4/2018), which applies to public housing, including both conventional and mixed-finance public housing. A PHA does not need to record a new DOT/DORC unless no validly recorded DOT/DORC encumbers the project. See PIH Notice 2019-14 (HA).</w:t>
      </w:r>
    </w:p>
    <w:p w14:paraId="1A5E7644" w14:textId="7658AC4B" w:rsidR="00F973D0" w:rsidRPr="00F973D0" w:rsidRDefault="00F973D0" w:rsidP="00F973D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F973D0">
        <w:rPr>
          <w:rFonts w:ascii="Arial" w:hAnsi="Arial" w:cs="Arial"/>
          <w:bCs/>
        </w:rPr>
        <w:t xml:space="preserve">A current DOT/DORC would include all improvement and modernization efforts on the project. A DOT/DORC naming HUD as an interested party must remain in place for (1) 40 years for acquired and developed property, beginning on the date on which the project becomes available for occupancy as </w:t>
      </w:r>
      <w:r w:rsidRPr="00F973D0">
        <w:rPr>
          <w:rFonts w:ascii="Arial" w:hAnsi="Arial" w:cs="Arial"/>
          <w:bCs/>
        </w:rPr>
        <w:lastRenderedPageBreak/>
        <w:t>determined by HUD; (2) 20 years for property modernized or receiving assistance of capital funds beginning on the latest date on which modernization is complete or assistance is provided with capital funds; and (3) 10 years for property receiving Operating Funds, beginning upon the conclusion of the fiscal year of the PHA for which such amounts were provided. After the expiration of the original DOT/DORC for a public housing development, if subsequent assistance was received under the US Housing Act of 1937, PHAs are required to record another current DOT for the duration of the applicable period (24 CFR sections 905.100, 905.304, 905.318,</w:t>
      </w:r>
      <w:r>
        <w:rPr>
          <w:rFonts w:ascii="Arial" w:hAnsi="Arial" w:cs="Arial"/>
          <w:bCs/>
        </w:rPr>
        <w:t xml:space="preserve"> </w:t>
      </w:r>
      <w:r w:rsidRPr="00F973D0">
        <w:rPr>
          <w:rFonts w:ascii="Arial" w:hAnsi="Arial" w:cs="Arial"/>
          <w:bCs/>
        </w:rPr>
        <w:t>905.505, 905.600, and 905.604).</w:t>
      </w:r>
    </w:p>
    <w:p w14:paraId="356988FA" w14:textId="34EBC0C2" w:rsidR="00F973D0" w:rsidRDefault="00F973D0" w:rsidP="00F973D0">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F973D0">
        <w:rPr>
          <w:rFonts w:ascii="Arial" w:hAnsi="Arial" w:cs="Arial"/>
          <w:bCs/>
        </w:rPr>
        <w:t>PHAs should have a list of all property (including land and nonresidential inventory, dwelling units, and modernization efforts) that a PHA owns and insures that is maintained or operated from the public housing Operating Fund or other US Housing Act of 1937 funds. Public housing project development numbers were reorganized in 2008, and new numbers were introduced; however, the current DOT/DORCs may continue to reference development numbers in existence prior to 2008, some of which have been put into “terminated” status. Selecting a sample of properties by development number will enable subsequent audits to cover samples of other projects so that over time all property that should be under ACC contracts is covered. (No development needs to be sampled more frequently than every five years.) It is not necessary that all development numbers be referenced in DOT/DORCs. Rather, the audit should determine whether all property that should have been placed under a DOT/DORC has been treated correctly.</w:t>
      </w:r>
    </w:p>
    <w:p w14:paraId="56554F0D" w14:textId="48F21B3F" w:rsidR="00F973D0" w:rsidRPr="00F973D0" w:rsidRDefault="00F973D0" w:rsidP="00F973D0">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7623E94D" w14:textId="77777777" w:rsidR="003A6024" w:rsidRPr="000706D1" w:rsidRDefault="003A6024" w:rsidP="003A6024">
      <w:pPr>
        <w:pStyle w:val="Heading3"/>
        <w:jc w:val="both"/>
        <w:rPr>
          <w:rFonts w:cs="Arial"/>
          <w:sz w:val="24"/>
          <w:szCs w:val="24"/>
        </w:rPr>
      </w:pPr>
      <w:bookmarkStart w:id="140" w:name="_Toc212473197"/>
      <w:r w:rsidRPr="000706D1">
        <w:rPr>
          <w:rFonts w:cs="Arial"/>
          <w:sz w:val="24"/>
          <w:szCs w:val="24"/>
        </w:rPr>
        <w:t>Additional Program Specific Information</w:t>
      </w:r>
      <w:bookmarkEnd w:id="140"/>
    </w:p>
    <w:p w14:paraId="5ABA19E5" w14:textId="77777777" w:rsidR="003A6024" w:rsidRPr="00AA5B05" w:rsidRDefault="003A6024" w:rsidP="003A6024">
      <w:pPr>
        <w:spacing w:after="240"/>
        <w:jc w:val="both"/>
        <w:rPr>
          <w:rFonts w:ascii="Arial" w:hAnsi="Arial" w:cs="Arial"/>
          <w:b/>
          <w:highlight w:val="yellow"/>
        </w:rPr>
      </w:pPr>
      <w:r w:rsidRPr="00AA5B05">
        <w:rPr>
          <w:rFonts w:ascii="Arial" w:hAnsi="Arial" w:cs="Arial"/>
          <w:b/>
          <w:highlight w:val="yellow"/>
        </w:rPr>
        <w:t>Add program specific requirements from:</w:t>
      </w:r>
    </w:p>
    <w:p w14:paraId="308047D3"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4503721" w14:textId="77777777" w:rsidR="003A6024" w:rsidRPr="00AA5B05" w:rsidRDefault="003A6024" w:rsidP="003A6024">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45FBFC8"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84D50D7" w14:textId="77777777" w:rsidR="003A6024" w:rsidRPr="00AA5B05" w:rsidRDefault="003A6024" w:rsidP="003A6024">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9234B9B" w14:textId="77777777" w:rsidR="003A6024" w:rsidRPr="000706D1" w:rsidRDefault="003A6024" w:rsidP="003A6024">
      <w:pPr>
        <w:pStyle w:val="Heading3"/>
        <w:jc w:val="both"/>
        <w:rPr>
          <w:rFonts w:cs="Arial"/>
          <w:sz w:val="24"/>
          <w:szCs w:val="24"/>
        </w:rPr>
      </w:pPr>
      <w:bookmarkStart w:id="141" w:name="_Toc212473198"/>
      <w:r w:rsidRPr="000706D1">
        <w:rPr>
          <w:rFonts w:cs="Arial"/>
          <w:sz w:val="24"/>
          <w:szCs w:val="24"/>
        </w:rPr>
        <w:t>Audit Objectives and Control Testing</w:t>
      </w:r>
      <w:bookmarkEnd w:id="141"/>
    </w:p>
    <w:p w14:paraId="6A184AC1" w14:textId="77777777" w:rsidR="003A6024" w:rsidRPr="00F00D94" w:rsidRDefault="003A6024" w:rsidP="003A602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0F8B8F6" w14:textId="77777777" w:rsidR="003A6024" w:rsidRPr="00F00D94" w:rsidRDefault="003A6024" w:rsidP="003A602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20DC8FF5" w14:textId="77777777" w:rsidR="003A6024" w:rsidRPr="00F973D0"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973D0">
        <w:rPr>
          <w:rFonts w:ascii="Arial" w:hAnsi="Arial" w:cs="Arial"/>
          <w:i/>
        </w:rPr>
        <w:t>(Source: 2025 OMB Compliance Supplement Part 3.2)</w:t>
      </w:r>
    </w:p>
    <w:p w14:paraId="488B74A2" w14:textId="792EAC44" w:rsidR="003A6024" w:rsidRPr="00F973D0" w:rsidRDefault="00F973D0" w:rsidP="00F973D0">
      <w:pPr>
        <w:pStyle w:val="ListParagraph"/>
        <w:numPr>
          <w:ilvl w:val="0"/>
          <w:numId w:val="69"/>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F973D0">
        <w:rPr>
          <w:rFonts w:ascii="Arial" w:hAnsi="Arial" w:cs="Arial"/>
        </w:rPr>
        <w:t>Determine whether DOT/DORCs are being recorded properly for public housing.</w:t>
      </w:r>
    </w:p>
    <w:p w14:paraId="4C9D8020" w14:textId="5DE8A05E" w:rsidR="00F973D0" w:rsidRPr="00F973D0" w:rsidRDefault="00F973D0" w:rsidP="00F973D0">
      <w:pPr>
        <w:spacing w:after="240"/>
        <w:jc w:val="both"/>
        <w:rPr>
          <w:rFonts w:ascii="Arial" w:hAnsi="Arial" w:cs="Arial"/>
          <w:bCs/>
          <w:i/>
          <w:iCs/>
        </w:rPr>
      </w:pPr>
      <w:r w:rsidRPr="00F973D0">
        <w:rPr>
          <w:rFonts w:ascii="Arial" w:hAnsi="Arial" w:cs="Arial"/>
          <w:bCs/>
          <w:i/>
          <w:iCs/>
        </w:rPr>
        <w:t>(Source: 202</w:t>
      </w:r>
      <w:r>
        <w:rPr>
          <w:rFonts w:ascii="Arial" w:hAnsi="Arial" w:cs="Arial"/>
          <w:bCs/>
          <w:i/>
          <w:iCs/>
        </w:rPr>
        <w:t>5</w:t>
      </w:r>
      <w:r w:rsidRPr="00F973D0">
        <w:rPr>
          <w:rFonts w:ascii="Arial" w:hAnsi="Arial" w:cs="Arial"/>
          <w:bCs/>
          <w:i/>
          <w:iCs/>
        </w:rPr>
        <w:t xml:space="preserve"> OMB Compliance Supplement, Part 4, HUD, #14.850 Public Housing Operating Fund)</w:t>
      </w:r>
    </w:p>
    <w:p w14:paraId="29064165" w14:textId="77777777" w:rsidR="003A6024" w:rsidRPr="00634FA3" w:rsidRDefault="003A6024" w:rsidP="003A6024">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A6024" w:rsidRPr="00F00D94" w14:paraId="7CD57B2F" w14:textId="77777777" w:rsidTr="009F1483">
        <w:tc>
          <w:tcPr>
            <w:tcW w:w="5000" w:type="pct"/>
          </w:tcPr>
          <w:p w14:paraId="700791A9" w14:textId="77777777" w:rsidR="003A6024" w:rsidRPr="006F5FFA" w:rsidRDefault="003A6024" w:rsidP="009F148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D6BF5A8"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61BC1235" w14:textId="77777777" w:rsidR="003A6024" w:rsidRPr="00F00D94" w:rsidRDefault="003A6024" w:rsidP="009F1483">
            <w:pPr>
              <w:pStyle w:val="AuditProcedureHeading"/>
              <w:spacing w:after="240"/>
              <w:jc w:val="both"/>
              <w:rPr>
                <w:rFonts w:cs="Arial"/>
                <w:b/>
                <w:bCs/>
                <w:szCs w:val="20"/>
                <w:u w:val="single"/>
              </w:rPr>
            </w:pPr>
          </w:p>
          <w:p w14:paraId="071375EA" w14:textId="77777777" w:rsidR="003A6024" w:rsidRPr="00F00D94" w:rsidRDefault="003A6024"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09F52C0" w14:textId="77777777" w:rsidR="003A6024" w:rsidRPr="00F00D94" w:rsidRDefault="003A6024" w:rsidP="009F1483">
            <w:pPr>
              <w:pStyle w:val="AuditProcedureHeading"/>
              <w:spacing w:after="240"/>
              <w:jc w:val="both"/>
              <w:rPr>
                <w:rFonts w:cs="Arial"/>
                <w:b/>
                <w:bCs/>
                <w:szCs w:val="20"/>
                <w:u w:val="single"/>
              </w:rPr>
            </w:pPr>
          </w:p>
          <w:p w14:paraId="4B3640D4"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B61DDE1" w14:textId="77777777" w:rsidR="003A6024" w:rsidRPr="00F00D94" w:rsidRDefault="003A6024" w:rsidP="009F1483">
            <w:pPr>
              <w:spacing w:after="240"/>
              <w:jc w:val="both"/>
              <w:rPr>
                <w:rFonts w:ascii="Arial" w:hAnsi="Arial" w:cs="Arial"/>
                <w:b/>
                <w:sz w:val="20"/>
                <w:u w:val="single"/>
              </w:rPr>
            </w:pPr>
          </w:p>
          <w:p w14:paraId="7489EAE9" w14:textId="77777777" w:rsidR="003A6024" w:rsidRPr="00F00D94" w:rsidRDefault="003A6024"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A05D551" w14:textId="77777777" w:rsidR="003A6024" w:rsidRPr="00C35E5F" w:rsidRDefault="003A6024" w:rsidP="009F1483">
            <w:pPr>
              <w:spacing w:after="240"/>
              <w:jc w:val="both"/>
              <w:rPr>
                <w:rFonts w:ascii="Arial" w:eastAsiaTheme="minorHAnsi" w:hAnsi="Arial" w:cs="Arial"/>
                <w:sz w:val="20"/>
                <w:szCs w:val="20"/>
              </w:rPr>
            </w:pPr>
          </w:p>
        </w:tc>
      </w:tr>
    </w:tbl>
    <w:p w14:paraId="24E3B675"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EDB6E0F" w14:textId="77777777" w:rsidR="003A6024" w:rsidRPr="000706D1" w:rsidRDefault="003A6024" w:rsidP="003A6024">
      <w:pPr>
        <w:pStyle w:val="Heading3"/>
        <w:jc w:val="both"/>
        <w:rPr>
          <w:rFonts w:cs="Arial"/>
          <w:sz w:val="24"/>
          <w:szCs w:val="24"/>
        </w:rPr>
      </w:pPr>
      <w:bookmarkStart w:id="142" w:name="_Toc21247319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42"/>
    </w:p>
    <w:tbl>
      <w:tblPr>
        <w:tblStyle w:val="TableGrid"/>
        <w:tblW w:w="9558" w:type="dxa"/>
        <w:tblLayout w:type="fixed"/>
        <w:tblLook w:val="04A0" w:firstRow="1" w:lastRow="0" w:firstColumn="1" w:lastColumn="0" w:noHBand="0" w:noVBand="1"/>
      </w:tblPr>
      <w:tblGrid>
        <w:gridCol w:w="9558"/>
      </w:tblGrid>
      <w:tr w:rsidR="003A6024" w:rsidRPr="00F00D94" w14:paraId="77DE3881" w14:textId="77777777" w:rsidTr="009F1483">
        <w:tc>
          <w:tcPr>
            <w:tcW w:w="9558" w:type="dxa"/>
          </w:tcPr>
          <w:p w14:paraId="531A2132" w14:textId="77777777" w:rsidR="003A6024" w:rsidRDefault="003A6024"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4875BB" w14:textId="0DC3ACBB" w:rsidR="003A6024" w:rsidRPr="005541E9" w:rsidRDefault="003A6024"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031A87F5" w14:textId="3C2EEFC7" w:rsidR="005541E9" w:rsidRPr="005541E9" w:rsidRDefault="005541E9" w:rsidP="005541E9">
            <w:pPr>
              <w:spacing w:after="240"/>
              <w:jc w:val="both"/>
              <w:rPr>
                <w:rFonts w:ascii="Arial" w:hAnsi="Arial" w:cs="Arial"/>
                <w:sz w:val="20"/>
              </w:rPr>
            </w:pPr>
            <w:r w:rsidRPr="005541E9">
              <w:rPr>
                <w:rFonts w:ascii="Arial" w:hAnsi="Arial" w:cs="Arial"/>
                <w:sz w:val="20"/>
              </w:rPr>
              <w:t>From a list of all property (including land and nonresidential inventory, dwelling units, and modernization efforts) that a PHA owns and insures, select a sample of public housing projects. Selecting a sample of properties by development number will ensure that subsequent audits can select samples of other projects. (No development needs to be sampled more frequently than every five years.)</w:t>
            </w:r>
          </w:p>
          <w:p w14:paraId="20870BD9" w14:textId="2BDE6273" w:rsidR="005541E9" w:rsidRPr="005541E9" w:rsidRDefault="005541E9" w:rsidP="005541E9">
            <w:pPr>
              <w:spacing w:after="240"/>
              <w:jc w:val="both"/>
              <w:rPr>
                <w:rFonts w:ascii="Arial" w:hAnsi="Arial" w:cs="Arial"/>
                <w:sz w:val="20"/>
              </w:rPr>
            </w:pPr>
            <w:r w:rsidRPr="005541E9">
              <w:rPr>
                <w:rFonts w:ascii="Arial" w:hAnsi="Arial" w:cs="Arial"/>
                <w:sz w:val="20"/>
              </w:rPr>
              <w:t>a.</w:t>
            </w:r>
            <w:r w:rsidRPr="005541E9">
              <w:rPr>
                <w:rFonts w:ascii="Arial" w:hAnsi="Arial" w:cs="Arial"/>
                <w:sz w:val="20"/>
              </w:rPr>
              <w:tab/>
              <w:t>Verify that current DOT/DORCs have been recorded for the public housing property in the projects.</w:t>
            </w:r>
          </w:p>
        </w:tc>
      </w:tr>
    </w:tbl>
    <w:p w14:paraId="232AA14E"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57AEB4D" w14:textId="77777777" w:rsidR="003A6024" w:rsidRPr="000706D1" w:rsidRDefault="003A6024" w:rsidP="003A6024">
      <w:pPr>
        <w:pStyle w:val="Heading3"/>
        <w:jc w:val="both"/>
        <w:rPr>
          <w:rFonts w:cs="Arial"/>
          <w:b w:val="0"/>
          <w:sz w:val="24"/>
          <w:szCs w:val="24"/>
        </w:rPr>
      </w:pPr>
      <w:bookmarkStart w:id="143" w:name="_Toc212473200"/>
      <w:r w:rsidRPr="000706D1">
        <w:rPr>
          <w:rFonts w:cs="Arial"/>
          <w:sz w:val="24"/>
          <w:szCs w:val="24"/>
        </w:rPr>
        <w:t>Audit Implications Summary</w:t>
      </w:r>
      <w:bookmarkEnd w:id="143"/>
    </w:p>
    <w:tbl>
      <w:tblPr>
        <w:tblStyle w:val="TableGrid"/>
        <w:tblW w:w="5000" w:type="pct"/>
        <w:tblLook w:val="04A0" w:firstRow="1" w:lastRow="0" w:firstColumn="1" w:lastColumn="0" w:noHBand="0" w:noVBand="1"/>
      </w:tblPr>
      <w:tblGrid>
        <w:gridCol w:w="9350"/>
      </w:tblGrid>
      <w:tr w:rsidR="003A6024" w:rsidRPr="00F00D94" w14:paraId="3B6648E5" w14:textId="77777777" w:rsidTr="009F1483">
        <w:tc>
          <w:tcPr>
            <w:tcW w:w="5000" w:type="pct"/>
          </w:tcPr>
          <w:p w14:paraId="47A1CB21" w14:textId="77777777" w:rsidR="003A6024" w:rsidRDefault="003A6024"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4FA88E2" w14:textId="77777777" w:rsidR="003A6024" w:rsidRPr="006E46AD" w:rsidRDefault="003A6024"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3A61FC0D" w14:textId="77777777" w:rsidR="003A6024" w:rsidRPr="006E46AD" w:rsidRDefault="003A6024" w:rsidP="005541E9">
            <w:pPr>
              <w:pStyle w:val="ListParagraph"/>
              <w:widowControl w:val="0"/>
              <w:numPr>
                <w:ilvl w:val="0"/>
                <w:numId w:val="7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C0F502B" w14:textId="77777777" w:rsidR="003A6024" w:rsidRPr="006E46AD" w:rsidRDefault="003A6024" w:rsidP="009F1483">
            <w:pPr>
              <w:widowControl w:val="0"/>
              <w:spacing w:after="240"/>
              <w:ind w:left="720"/>
              <w:jc w:val="both"/>
              <w:rPr>
                <w:rFonts w:ascii="Arial" w:hAnsi="Arial" w:cs="Arial"/>
                <w:b/>
                <w:sz w:val="20"/>
                <w:szCs w:val="20"/>
              </w:rPr>
            </w:pPr>
          </w:p>
          <w:p w14:paraId="52836C78" w14:textId="77777777" w:rsidR="003A6024" w:rsidRPr="006E46AD" w:rsidRDefault="003A6024" w:rsidP="005541E9">
            <w:pPr>
              <w:widowControl w:val="0"/>
              <w:numPr>
                <w:ilvl w:val="0"/>
                <w:numId w:val="7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6E5122F" w14:textId="77777777" w:rsidR="003A6024" w:rsidRPr="00F00D94" w:rsidRDefault="003A6024" w:rsidP="009F1483">
            <w:pPr>
              <w:pStyle w:val="ListParagraph"/>
              <w:spacing w:after="240"/>
              <w:jc w:val="both"/>
              <w:rPr>
                <w:rFonts w:ascii="Arial" w:hAnsi="Arial" w:cs="Arial"/>
                <w:b/>
              </w:rPr>
            </w:pPr>
          </w:p>
          <w:p w14:paraId="6CF75FB3" w14:textId="77777777" w:rsidR="003A6024" w:rsidRPr="00F00D94" w:rsidRDefault="003A6024" w:rsidP="005541E9">
            <w:pPr>
              <w:widowControl w:val="0"/>
              <w:numPr>
                <w:ilvl w:val="0"/>
                <w:numId w:val="70"/>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91F52EE" w14:textId="77777777" w:rsidR="003A6024" w:rsidRPr="00F00D94" w:rsidRDefault="003A6024" w:rsidP="009F1483">
            <w:pPr>
              <w:pStyle w:val="ListParagraph"/>
              <w:spacing w:after="240"/>
              <w:jc w:val="both"/>
              <w:rPr>
                <w:rFonts w:ascii="Arial" w:hAnsi="Arial" w:cs="Arial"/>
                <w:b/>
              </w:rPr>
            </w:pPr>
          </w:p>
          <w:p w14:paraId="71BD6CDE" w14:textId="77777777" w:rsidR="003A6024" w:rsidRPr="00F00D94" w:rsidRDefault="003A6024" w:rsidP="005541E9">
            <w:pPr>
              <w:widowControl w:val="0"/>
              <w:numPr>
                <w:ilvl w:val="0"/>
                <w:numId w:val="7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067CE2" w14:textId="77777777" w:rsidR="003A6024" w:rsidRPr="00F00D94" w:rsidRDefault="003A6024" w:rsidP="009F1483">
            <w:pPr>
              <w:pStyle w:val="ListParagraph"/>
              <w:spacing w:after="240"/>
              <w:jc w:val="both"/>
              <w:rPr>
                <w:rFonts w:ascii="Arial" w:hAnsi="Arial" w:cs="Arial"/>
                <w:b/>
              </w:rPr>
            </w:pPr>
          </w:p>
          <w:p w14:paraId="12F1A3E0" w14:textId="77777777" w:rsidR="003A6024" w:rsidRPr="00F00D94" w:rsidRDefault="003A6024" w:rsidP="005541E9">
            <w:pPr>
              <w:widowControl w:val="0"/>
              <w:numPr>
                <w:ilvl w:val="0"/>
                <w:numId w:val="7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5B287D93" w14:textId="77777777" w:rsidR="003A6024" w:rsidRPr="00F00D94" w:rsidRDefault="003A6024" w:rsidP="009F1483">
            <w:pPr>
              <w:pStyle w:val="APStepItem"/>
              <w:numPr>
                <w:ilvl w:val="0"/>
                <w:numId w:val="0"/>
              </w:numPr>
              <w:spacing w:after="240"/>
              <w:rPr>
                <w:rFonts w:cs="Arial"/>
                <w:b/>
              </w:rPr>
            </w:pPr>
          </w:p>
        </w:tc>
      </w:tr>
    </w:tbl>
    <w:p w14:paraId="77725741" w14:textId="77777777" w:rsidR="003A6024" w:rsidRDefault="003A6024" w:rsidP="003A6024">
      <w:pPr>
        <w:pStyle w:val="Heading2"/>
        <w:jc w:val="both"/>
        <w:rPr>
          <w:rFonts w:cs="Arial"/>
          <w:sz w:val="24"/>
        </w:rPr>
        <w:sectPr w:rsidR="003A6024" w:rsidSect="003A6024">
          <w:headerReference w:type="default" r:id="rId114"/>
          <w:pgSz w:w="12240" w:h="15840" w:code="1"/>
          <w:pgMar w:top="1440" w:right="1440" w:bottom="1440" w:left="1440" w:header="720" w:footer="720" w:gutter="0"/>
          <w:cols w:space="720"/>
          <w:docGrid w:linePitch="360"/>
        </w:sectPr>
      </w:pPr>
    </w:p>
    <w:p w14:paraId="1749A5FB" w14:textId="31C58D27" w:rsidR="003A6024" w:rsidRPr="000706D1" w:rsidRDefault="003A6024" w:rsidP="003A6024">
      <w:pPr>
        <w:pStyle w:val="Heading2"/>
        <w:jc w:val="both"/>
        <w:rPr>
          <w:rFonts w:cs="Arial"/>
          <w:sz w:val="24"/>
        </w:rPr>
      </w:pPr>
      <w:bookmarkStart w:id="144" w:name="_Toc212473201"/>
      <w:r w:rsidRPr="000706D1">
        <w:rPr>
          <w:rFonts w:cs="Arial"/>
          <w:sz w:val="24"/>
        </w:rPr>
        <w:lastRenderedPageBreak/>
        <w:t>N</w:t>
      </w:r>
      <w:r w:rsidR="005541E9">
        <w:rPr>
          <w:rFonts w:cs="Arial"/>
          <w:sz w:val="24"/>
        </w:rPr>
        <w:t>14</w:t>
      </w:r>
      <w:r w:rsidRPr="000706D1">
        <w:rPr>
          <w:rFonts w:cs="Arial"/>
          <w:sz w:val="24"/>
        </w:rPr>
        <w:t>.  SPECIAL TESTS AND PROVISIONS</w:t>
      </w:r>
      <w:r w:rsidR="005541E9">
        <w:rPr>
          <w:rFonts w:cs="Arial"/>
          <w:sz w:val="24"/>
        </w:rPr>
        <w:t xml:space="preserve"> – DEPOSITORY AGREEMENTS</w:t>
      </w:r>
      <w:bookmarkEnd w:id="144"/>
    </w:p>
    <w:p w14:paraId="7F7148C6" w14:textId="77777777" w:rsidR="003A6024" w:rsidRPr="000706D1" w:rsidRDefault="003A6024" w:rsidP="003A6024">
      <w:pPr>
        <w:pStyle w:val="Heading3"/>
        <w:jc w:val="both"/>
        <w:rPr>
          <w:rFonts w:cs="Arial"/>
          <w:sz w:val="24"/>
          <w:szCs w:val="24"/>
        </w:rPr>
      </w:pPr>
      <w:bookmarkStart w:id="145" w:name="_Toc212473202"/>
      <w:r w:rsidRPr="000706D1">
        <w:rPr>
          <w:rFonts w:cs="Arial"/>
          <w:sz w:val="24"/>
          <w:szCs w:val="24"/>
        </w:rPr>
        <w:t>OMB Compliance Requirements</w:t>
      </w:r>
      <w:bookmarkEnd w:id="145"/>
    </w:p>
    <w:p w14:paraId="3801D5C8" w14:textId="77777777" w:rsidR="003A6024" w:rsidRPr="005C1EBC"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9732B41"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124F2F0A" w14:textId="77777777" w:rsidR="003A6024" w:rsidRPr="00F00D94" w:rsidRDefault="003A6024" w:rsidP="003A6024">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02CC3E9F" w14:textId="77777777" w:rsidR="003A6024" w:rsidRPr="000706D1" w:rsidRDefault="003A6024" w:rsidP="003A6024">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C429BE1" w14:textId="3C7A1E22" w:rsidR="005541E9" w:rsidRPr="005541E9" w:rsidRDefault="005541E9" w:rsidP="005541E9">
      <w:pPr>
        <w:pStyle w:val="BodyText"/>
        <w:ind w:right="355"/>
        <w:rPr>
          <w:rFonts w:ascii="Arial" w:hAnsi="Arial" w:cs="Arial"/>
        </w:rPr>
      </w:pPr>
      <w:r w:rsidRPr="005541E9">
        <w:rPr>
          <w:rFonts w:ascii="Arial" w:hAnsi="Arial" w:cs="Arial"/>
        </w:rPr>
        <w:t>The ACC requires that PHAs deposit and invest all program funds received and investment securities received by or held for the account of the PHA in connection with the development, operation and improvement of the projects under an ACC with HUD in accordance with the terms of the General Depository Agreement (GDA) and all investment requirements provided in HUD and Treasury Notices and Regulations. PHAs are required to enter into GDAs with their financial institution(s) using the HUD-</w:t>
      </w:r>
      <w:hyperlink r:id="rId115">
        <w:r w:rsidRPr="005541E9">
          <w:rPr>
            <w:rFonts w:ascii="Arial" w:hAnsi="Arial" w:cs="Arial"/>
            <w:color w:val="0000FF"/>
            <w:u w:val="single" w:color="0000FF"/>
          </w:rPr>
          <w:t>51999</w:t>
        </w:r>
        <w:r w:rsidRPr="005541E9">
          <w:rPr>
            <w:rFonts w:ascii="Arial" w:hAnsi="Arial" w:cs="Arial"/>
            <w:color w:val="0000FF"/>
          </w:rPr>
          <w:t xml:space="preserve"> </w:t>
        </w:r>
      </w:hyperlink>
      <w:r w:rsidRPr="005541E9">
        <w:rPr>
          <w:rFonts w:ascii="Arial" w:hAnsi="Arial" w:cs="Arial"/>
        </w:rPr>
        <w:t>(</w:t>
      </w:r>
      <w:r w:rsidRPr="005541E9">
        <w:rPr>
          <w:rFonts w:ascii="Arial" w:hAnsi="Arial" w:cs="Arial"/>
          <w:i/>
        </w:rPr>
        <w:t>OMB No. 2577-0075</w:t>
      </w:r>
      <w:r w:rsidRPr="005541E9">
        <w:rPr>
          <w:rFonts w:ascii="Arial" w:hAnsi="Arial" w:cs="Arial"/>
        </w:rPr>
        <w:t>) form or a form as required by HUD in the ACC. The agreements safeguard program funds and limit risk by providing third-party rights to HUD, by requiring PHAs to deposit and invest in HUD-approved interest bearing investment accounts, and by executing controls over program reserves requiring that any portion of PHA funds not insured by a Federal insurance organization be fully and continually collateralized.</w:t>
      </w:r>
    </w:p>
    <w:p w14:paraId="1F5CE7CC" w14:textId="6DC25E4A" w:rsidR="003A6024" w:rsidRPr="005541E9" w:rsidRDefault="005541E9" w:rsidP="005541E9">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4A353CE0" w14:textId="77777777" w:rsidR="003A6024" w:rsidRPr="000706D1" w:rsidRDefault="003A6024" w:rsidP="003A6024">
      <w:pPr>
        <w:pStyle w:val="Heading3"/>
        <w:jc w:val="both"/>
        <w:rPr>
          <w:rFonts w:cs="Arial"/>
          <w:sz w:val="24"/>
          <w:szCs w:val="24"/>
        </w:rPr>
      </w:pPr>
      <w:bookmarkStart w:id="146" w:name="_Toc212473203"/>
      <w:r w:rsidRPr="000706D1">
        <w:rPr>
          <w:rFonts w:cs="Arial"/>
          <w:sz w:val="24"/>
          <w:szCs w:val="24"/>
        </w:rPr>
        <w:t>Additional Program Specific Information</w:t>
      </w:r>
      <w:bookmarkEnd w:id="146"/>
    </w:p>
    <w:p w14:paraId="776D26F4" w14:textId="77777777" w:rsidR="003A6024" w:rsidRPr="00AA5B05" w:rsidRDefault="003A6024" w:rsidP="003A6024">
      <w:pPr>
        <w:spacing w:after="240"/>
        <w:jc w:val="both"/>
        <w:rPr>
          <w:rFonts w:ascii="Arial" w:hAnsi="Arial" w:cs="Arial"/>
          <w:b/>
          <w:highlight w:val="yellow"/>
        </w:rPr>
      </w:pPr>
      <w:r w:rsidRPr="00AA5B05">
        <w:rPr>
          <w:rFonts w:ascii="Arial" w:hAnsi="Arial" w:cs="Arial"/>
          <w:b/>
          <w:highlight w:val="yellow"/>
        </w:rPr>
        <w:t>Add program specific requirements from:</w:t>
      </w:r>
    </w:p>
    <w:p w14:paraId="317C46B8"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7B1BFDD" w14:textId="77777777" w:rsidR="003A6024" w:rsidRPr="00AA5B05" w:rsidRDefault="003A6024" w:rsidP="003A6024">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91A2B8B"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0C055E6C" w14:textId="77777777" w:rsidR="003A6024" w:rsidRPr="00AA5B05" w:rsidRDefault="003A6024" w:rsidP="003A6024">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504106E" w14:textId="77777777" w:rsidR="003A6024" w:rsidRPr="000706D1" w:rsidRDefault="003A6024" w:rsidP="003A6024">
      <w:pPr>
        <w:pStyle w:val="Heading3"/>
        <w:jc w:val="both"/>
        <w:rPr>
          <w:rFonts w:cs="Arial"/>
          <w:sz w:val="24"/>
          <w:szCs w:val="24"/>
        </w:rPr>
      </w:pPr>
      <w:bookmarkStart w:id="147" w:name="_Toc212473204"/>
      <w:r w:rsidRPr="000706D1">
        <w:rPr>
          <w:rFonts w:cs="Arial"/>
          <w:sz w:val="24"/>
          <w:szCs w:val="24"/>
        </w:rPr>
        <w:lastRenderedPageBreak/>
        <w:t>Audit Objectives and Control Testing</w:t>
      </w:r>
      <w:bookmarkEnd w:id="147"/>
    </w:p>
    <w:p w14:paraId="47F71278" w14:textId="77777777" w:rsidR="003A6024" w:rsidRPr="00F00D94" w:rsidRDefault="003A6024" w:rsidP="003A602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C8C5C82" w14:textId="77777777" w:rsidR="003A6024" w:rsidRPr="00F00D94" w:rsidRDefault="003A6024" w:rsidP="003A602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FC5DC0A" w14:textId="77777777" w:rsidR="003A602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4974C5E" w14:textId="1B3A5DC2" w:rsidR="003A6024" w:rsidRDefault="005541E9" w:rsidP="005541E9">
      <w:pPr>
        <w:pStyle w:val="ListParagraph"/>
        <w:numPr>
          <w:ilvl w:val="0"/>
          <w:numId w:val="71"/>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5541E9">
        <w:rPr>
          <w:rFonts w:ascii="Arial" w:hAnsi="Arial" w:cs="Arial"/>
          <w:iCs/>
        </w:rPr>
        <w:t>Determine whether (1) the PHA has entered into the required depository agreements, (2) the agreements have been fully and properly executed over all bank accounts that include program funds under the ACC, and (3) the PHA is compliant with the terms of the ACC and that GDA requirements have been fully operationalized.</w:t>
      </w:r>
    </w:p>
    <w:p w14:paraId="1C837DB2" w14:textId="016F8412" w:rsidR="005541E9" w:rsidRPr="00706CA0" w:rsidRDefault="005541E9" w:rsidP="00706CA0">
      <w:pPr>
        <w:spacing w:after="240"/>
        <w:jc w:val="both"/>
        <w:rPr>
          <w:rFonts w:ascii="Arial" w:hAnsi="Arial" w:cs="Arial"/>
          <w:bCs/>
          <w:i/>
          <w:iCs/>
        </w:rPr>
      </w:pPr>
      <w:r w:rsidRPr="005541E9">
        <w:rPr>
          <w:rFonts w:ascii="Arial" w:hAnsi="Arial" w:cs="Arial"/>
          <w:bCs/>
          <w:i/>
          <w:iCs/>
        </w:rPr>
        <w:t>(Source: 202</w:t>
      </w:r>
      <w:r w:rsidR="00706CA0">
        <w:rPr>
          <w:rFonts w:ascii="Arial" w:hAnsi="Arial" w:cs="Arial"/>
          <w:bCs/>
          <w:i/>
          <w:iCs/>
        </w:rPr>
        <w:t>5</w:t>
      </w:r>
      <w:r w:rsidRPr="005541E9">
        <w:rPr>
          <w:rFonts w:ascii="Arial" w:hAnsi="Arial" w:cs="Arial"/>
          <w:bCs/>
          <w:i/>
          <w:iCs/>
        </w:rPr>
        <w:t xml:space="preserve"> OMB Compliance Supplement, Part 4, HUD, #14.850 Public Housing Operating Fund)</w:t>
      </w:r>
    </w:p>
    <w:p w14:paraId="7B5978BA" w14:textId="77777777" w:rsidR="003A6024" w:rsidRPr="00634FA3" w:rsidRDefault="003A6024" w:rsidP="003A6024">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A6024" w:rsidRPr="00F00D94" w14:paraId="2B4767D4" w14:textId="77777777" w:rsidTr="009F1483">
        <w:tc>
          <w:tcPr>
            <w:tcW w:w="5000" w:type="pct"/>
          </w:tcPr>
          <w:p w14:paraId="32797BD2" w14:textId="77777777" w:rsidR="003A6024" w:rsidRPr="006F5FFA" w:rsidRDefault="003A6024"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8FF1B1"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2237FB4E" w14:textId="77777777" w:rsidR="003A6024" w:rsidRPr="00F00D94" w:rsidRDefault="003A6024" w:rsidP="009F1483">
            <w:pPr>
              <w:pStyle w:val="AuditProcedureHeading"/>
              <w:spacing w:after="240"/>
              <w:jc w:val="both"/>
              <w:rPr>
                <w:rFonts w:cs="Arial"/>
                <w:b/>
                <w:bCs/>
                <w:szCs w:val="20"/>
                <w:u w:val="single"/>
              </w:rPr>
            </w:pPr>
          </w:p>
          <w:p w14:paraId="58B0974E" w14:textId="77777777" w:rsidR="003A6024" w:rsidRPr="00F00D94" w:rsidRDefault="003A6024"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9A97F7A" w14:textId="77777777" w:rsidR="003A6024" w:rsidRPr="00F00D94" w:rsidRDefault="003A6024" w:rsidP="009F1483">
            <w:pPr>
              <w:pStyle w:val="AuditProcedureHeading"/>
              <w:spacing w:after="240"/>
              <w:jc w:val="both"/>
              <w:rPr>
                <w:rFonts w:cs="Arial"/>
                <w:b/>
                <w:bCs/>
                <w:szCs w:val="20"/>
                <w:u w:val="single"/>
              </w:rPr>
            </w:pPr>
          </w:p>
          <w:p w14:paraId="468C33A0"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BA565D5" w14:textId="77777777" w:rsidR="003A6024" w:rsidRPr="00F00D94" w:rsidRDefault="003A6024" w:rsidP="009F1483">
            <w:pPr>
              <w:spacing w:after="240"/>
              <w:jc w:val="both"/>
              <w:rPr>
                <w:rFonts w:ascii="Arial" w:hAnsi="Arial" w:cs="Arial"/>
                <w:b/>
                <w:sz w:val="20"/>
                <w:u w:val="single"/>
              </w:rPr>
            </w:pPr>
          </w:p>
          <w:p w14:paraId="634054A6" w14:textId="77777777" w:rsidR="003A6024" w:rsidRPr="00F00D94" w:rsidRDefault="003A6024"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5FC4DF4" w14:textId="77777777" w:rsidR="003A6024" w:rsidRPr="00C35E5F" w:rsidRDefault="003A6024" w:rsidP="009F1483">
            <w:pPr>
              <w:spacing w:after="240"/>
              <w:jc w:val="both"/>
              <w:rPr>
                <w:rFonts w:ascii="Arial" w:eastAsiaTheme="minorHAnsi" w:hAnsi="Arial" w:cs="Arial"/>
                <w:sz w:val="20"/>
                <w:szCs w:val="20"/>
              </w:rPr>
            </w:pPr>
          </w:p>
        </w:tc>
      </w:tr>
    </w:tbl>
    <w:p w14:paraId="6D66EFDA"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0C751C" w14:textId="77777777" w:rsidR="003A6024" w:rsidRPr="000706D1" w:rsidRDefault="003A6024" w:rsidP="003A6024">
      <w:pPr>
        <w:pStyle w:val="Heading3"/>
        <w:jc w:val="both"/>
        <w:rPr>
          <w:rFonts w:cs="Arial"/>
          <w:sz w:val="24"/>
          <w:szCs w:val="24"/>
        </w:rPr>
      </w:pPr>
      <w:bookmarkStart w:id="148" w:name="_Toc21247320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48"/>
    </w:p>
    <w:tbl>
      <w:tblPr>
        <w:tblStyle w:val="TableGrid"/>
        <w:tblW w:w="9558" w:type="dxa"/>
        <w:tblLayout w:type="fixed"/>
        <w:tblLook w:val="04A0" w:firstRow="1" w:lastRow="0" w:firstColumn="1" w:lastColumn="0" w:noHBand="0" w:noVBand="1"/>
      </w:tblPr>
      <w:tblGrid>
        <w:gridCol w:w="9558"/>
      </w:tblGrid>
      <w:tr w:rsidR="003A6024" w:rsidRPr="00F00D94" w14:paraId="7F8C4828" w14:textId="77777777" w:rsidTr="009F1483">
        <w:tc>
          <w:tcPr>
            <w:tcW w:w="9558" w:type="dxa"/>
          </w:tcPr>
          <w:p w14:paraId="75F570D6" w14:textId="77777777" w:rsidR="003A6024" w:rsidRDefault="003A6024"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3F6AE63" w14:textId="77777777" w:rsidR="003A6024" w:rsidRPr="00AC7B25" w:rsidRDefault="003A6024"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401AC94E" w14:textId="2E5E2604" w:rsidR="00706CA0" w:rsidRPr="00706CA0" w:rsidRDefault="00706CA0" w:rsidP="00706CA0">
            <w:pPr>
              <w:spacing w:after="240"/>
              <w:ind w:left="703" w:hanging="720"/>
              <w:jc w:val="both"/>
              <w:rPr>
                <w:rFonts w:ascii="Arial" w:hAnsi="Arial" w:cs="Arial"/>
                <w:sz w:val="20"/>
              </w:rPr>
            </w:pPr>
            <w:r w:rsidRPr="00706CA0">
              <w:rPr>
                <w:rFonts w:ascii="Arial" w:hAnsi="Arial" w:cs="Arial"/>
                <w:sz w:val="20"/>
              </w:rPr>
              <w:t>a.</w:t>
            </w:r>
            <w:r w:rsidRPr="00706CA0">
              <w:rPr>
                <w:rFonts w:ascii="Arial" w:hAnsi="Arial" w:cs="Arial"/>
                <w:sz w:val="20"/>
              </w:rPr>
              <w:tab/>
              <w:t xml:space="preserve">Verify the existence of depository agreements. </w:t>
            </w:r>
            <w:r w:rsidR="0023503F" w:rsidRPr="00706CA0">
              <w:rPr>
                <w:rFonts w:ascii="Arial" w:hAnsi="Arial" w:cs="Arial"/>
                <w:sz w:val="20"/>
              </w:rPr>
              <w:t>Verify</w:t>
            </w:r>
            <w:r w:rsidRPr="00706CA0">
              <w:rPr>
                <w:rFonts w:ascii="Arial" w:hAnsi="Arial" w:cs="Arial"/>
                <w:sz w:val="20"/>
              </w:rPr>
              <w:t xml:space="preserve"> the unaltered depository agreements (or HUD approved alternations) have been properly executed over all bank accounts that include program funds under the ACC. This includes for pooled accounts such as the General Fund and central </w:t>
            </w:r>
            <w:r w:rsidRPr="00706CA0">
              <w:rPr>
                <w:rFonts w:ascii="Arial" w:hAnsi="Arial" w:cs="Arial"/>
                <w:sz w:val="20"/>
              </w:rPr>
              <w:lastRenderedPageBreak/>
              <w:t>payor and mixed finance accounts. Confirm the executed agreements are dated and signed by both the PHA and depository institutions and the agreements list all bank account numbers.</w:t>
            </w:r>
          </w:p>
          <w:p w14:paraId="098CF47E" w14:textId="5EA987FB" w:rsidR="00706CA0" w:rsidRPr="00706CA0" w:rsidRDefault="00706CA0" w:rsidP="00706CA0">
            <w:pPr>
              <w:spacing w:after="240"/>
              <w:ind w:left="703" w:hanging="720"/>
              <w:jc w:val="both"/>
              <w:rPr>
                <w:rFonts w:ascii="Arial" w:hAnsi="Arial" w:cs="Arial"/>
                <w:sz w:val="20"/>
              </w:rPr>
            </w:pPr>
            <w:r w:rsidRPr="00706CA0">
              <w:rPr>
                <w:rFonts w:ascii="Arial" w:hAnsi="Arial" w:cs="Arial"/>
                <w:sz w:val="20"/>
              </w:rPr>
              <w:t>b.</w:t>
            </w:r>
            <w:r w:rsidRPr="00706CA0">
              <w:rPr>
                <w:rFonts w:ascii="Arial" w:hAnsi="Arial" w:cs="Arial"/>
                <w:sz w:val="20"/>
              </w:rPr>
              <w:tab/>
              <w:t>Verify that the PHA has met the terms of the agreements including the PHA has deposited and invested in HUD-approved investment accounts and the GDA specified collateralization requirements have been met.</w:t>
            </w:r>
          </w:p>
        </w:tc>
      </w:tr>
    </w:tbl>
    <w:p w14:paraId="43B92430"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0AE1071" w14:textId="77777777" w:rsidR="003A6024" w:rsidRPr="000706D1" w:rsidRDefault="003A6024" w:rsidP="003A6024">
      <w:pPr>
        <w:pStyle w:val="Heading3"/>
        <w:jc w:val="both"/>
        <w:rPr>
          <w:rFonts w:cs="Arial"/>
          <w:b w:val="0"/>
          <w:sz w:val="24"/>
          <w:szCs w:val="24"/>
        </w:rPr>
      </w:pPr>
      <w:bookmarkStart w:id="149" w:name="_Toc212473206"/>
      <w:r w:rsidRPr="000706D1">
        <w:rPr>
          <w:rFonts w:cs="Arial"/>
          <w:sz w:val="24"/>
          <w:szCs w:val="24"/>
        </w:rPr>
        <w:t>Audit Implications Summary</w:t>
      </w:r>
      <w:bookmarkEnd w:id="149"/>
    </w:p>
    <w:tbl>
      <w:tblPr>
        <w:tblStyle w:val="TableGrid"/>
        <w:tblW w:w="5000" w:type="pct"/>
        <w:tblLook w:val="04A0" w:firstRow="1" w:lastRow="0" w:firstColumn="1" w:lastColumn="0" w:noHBand="0" w:noVBand="1"/>
      </w:tblPr>
      <w:tblGrid>
        <w:gridCol w:w="9350"/>
      </w:tblGrid>
      <w:tr w:rsidR="003A6024" w:rsidRPr="00F00D94" w14:paraId="03720CE8" w14:textId="77777777" w:rsidTr="009F1483">
        <w:tc>
          <w:tcPr>
            <w:tcW w:w="5000" w:type="pct"/>
          </w:tcPr>
          <w:p w14:paraId="20B99213" w14:textId="77777777" w:rsidR="003A6024" w:rsidRDefault="003A6024"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A25A046" w14:textId="77777777" w:rsidR="003A6024" w:rsidRPr="006E46AD" w:rsidRDefault="003A6024"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08247D6" w14:textId="77777777" w:rsidR="003A6024" w:rsidRPr="006E46AD" w:rsidRDefault="003A6024" w:rsidP="004D0D57">
            <w:pPr>
              <w:pStyle w:val="ListParagraph"/>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010AD59B" w14:textId="77777777" w:rsidR="003A6024" w:rsidRPr="006E46AD" w:rsidRDefault="003A6024" w:rsidP="009F1483">
            <w:pPr>
              <w:widowControl w:val="0"/>
              <w:spacing w:after="240"/>
              <w:ind w:left="720"/>
              <w:jc w:val="both"/>
              <w:rPr>
                <w:rFonts w:ascii="Arial" w:hAnsi="Arial" w:cs="Arial"/>
                <w:b/>
                <w:sz w:val="20"/>
                <w:szCs w:val="20"/>
              </w:rPr>
            </w:pPr>
          </w:p>
          <w:p w14:paraId="17B14E43" w14:textId="77777777" w:rsidR="003A6024" w:rsidRPr="006E46AD" w:rsidRDefault="003A6024" w:rsidP="004D0D57">
            <w:pPr>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0814279A" w14:textId="77777777" w:rsidR="003A6024" w:rsidRPr="00F00D94" w:rsidRDefault="003A6024" w:rsidP="009F1483">
            <w:pPr>
              <w:pStyle w:val="ListParagraph"/>
              <w:spacing w:after="240"/>
              <w:jc w:val="both"/>
              <w:rPr>
                <w:rFonts w:ascii="Arial" w:hAnsi="Arial" w:cs="Arial"/>
                <w:b/>
              </w:rPr>
            </w:pPr>
          </w:p>
          <w:p w14:paraId="083FF3F6" w14:textId="77777777" w:rsidR="003A6024" w:rsidRPr="00F00D94" w:rsidRDefault="003A6024" w:rsidP="004D0D57">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187ED842" w14:textId="77777777" w:rsidR="003A6024" w:rsidRPr="00F00D94" w:rsidRDefault="003A6024" w:rsidP="009F1483">
            <w:pPr>
              <w:pStyle w:val="ListParagraph"/>
              <w:spacing w:after="240"/>
              <w:jc w:val="both"/>
              <w:rPr>
                <w:rFonts w:ascii="Arial" w:hAnsi="Arial" w:cs="Arial"/>
                <w:b/>
              </w:rPr>
            </w:pPr>
          </w:p>
          <w:p w14:paraId="553B1A6E" w14:textId="77777777" w:rsidR="003A6024" w:rsidRPr="00F00D94" w:rsidRDefault="003A6024" w:rsidP="004D0D57">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771C3DD" w14:textId="77777777" w:rsidR="003A6024" w:rsidRPr="00F00D94" w:rsidRDefault="003A6024" w:rsidP="009F1483">
            <w:pPr>
              <w:pStyle w:val="ListParagraph"/>
              <w:spacing w:after="240"/>
              <w:jc w:val="both"/>
              <w:rPr>
                <w:rFonts w:ascii="Arial" w:hAnsi="Arial" w:cs="Arial"/>
                <w:b/>
              </w:rPr>
            </w:pPr>
          </w:p>
          <w:p w14:paraId="4273EBF9" w14:textId="77777777" w:rsidR="003A6024" w:rsidRPr="00F00D94" w:rsidRDefault="003A6024" w:rsidP="004D0D57">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4307E81" w14:textId="77777777" w:rsidR="003A6024" w:rsidRPr="00F00D94" w:rsidRDefault="003A6024" w:rsidP="009F1483">
            <w:pPr>
              <w:pStyle w:val="APStepItem"/>
              <w:numPr>
                <w:ilvl w:val="0"/>
                <w:numId w:val="0"/>
              </w:numPr>
              <w:spacing w:after="240"/>
              <w:rPr>
                <w:rFonts w:cs="Arial"/>
                <w:b/>
              </w:rPr>
            </w:pPr>
          </w:p>
        </w:tc>
      </w:tr>
    </w:tbl>
    <w:p w14:paraId="267C4D2B" w14:textId="77777777" w:rsidR="005541E9" w:rsidRDefault="005541E9" w:rsidP="005541E9">
      <w:pPr>
        <w:pStyle w:val="Heading2"/>
        <w:jc w:val="both"/>
        <w:rPr>
          <w:rFonts w:cs="Arial"/>
          <w:sz w:val="24"/>
        </w:rPr>
        <w:sectPr w:rsidR="005541E9" w:rsidSect="005541E9">
          <w:headerReference w:type="default" r:id="rId117"/>
          <w:pgSz w:w="12240" w:h="15840" w:code="1"/>
          <w:pgMar w:top="1440" w:right="1440" w:bottom="1440" w:left="1440" w:header="720" w:footer="720" w:gutter="0"/>
          <w:cols w:space="720"/>
          <w:docGrid w:linePitch="360"/>
        </w:sectPr>
      </w:pPr>
    </w:p>
    <w:p w14:paraId="2616942C" w14:textId="319AF091" w:rsidR="005541E9" w:rsidRPr="000706D1" w:rsidRDefault="005541E9" w:rsidP="005541E9">
      <w:pPr>
        <w:pStyle w:val="Heading2"/>
        <w:jc w:val="both"/>
        <w:rPr>
          <w:rFonts w:cs="Arial"/>
          <w:sz w:val="24"/>
        </w:rPr>
      </w:pPr>
      <w:bookmarkStart w:id="150" w:name="_Toc212473207"/>
      <w:r w:rsidRPr="000706D1">
        <w:rPr>
          <w:rFonts w:cs="Arial"/>
          <w:sz w:val="24"/>
        </w:rPr>
        <w:lastRenderedPageBreak/>
        <w:t>N</w:t>
      </w:r>
      <w:r w:rsidR="00DC4A66">
        <w:rPr>
          <w:rFonts w:cs="Arial"/>
          <w:sz w:val="24"/>
        </w:rPr>
        <w:t>15</w:t>
      </w:r>
      <w:r w:rsidRPr="000706D1">
        <w:rPr>
          <w:rFonts w:cs="Arial"/>
          <w:sz w:val="24"/>
        </w:rPr>
        <w:t>.  SPECIAL TESTS AND PROVISIONS</w:t>
      </w:r>
      <w:r w:rsidR="00DC4A66">
        <w:rPr>
          <w:rFonts w:cs="Arial"/>
          <w:sz w:val="24"/>
        </w:rPr>
        <w:t xml:space="preserve"> -  INSURANCE PROCEEDS</w:t>
      </w:r>
      <w:bookmarkEnd w:id="150"/>
    </w:p>
    <w:p w14:paraId="4B3F18CA" w14:textId="77777777" w:rsidR="005541E9" w:rsidRPr="000706D1" w:rsidRDefault="005541E9" w:rsidP="005541E9">
      <w:pPr>
        <w:pStyle w:val="Heading3"/>
        <w:jc w:val="both"/>
        <w:rPr>
          <w:rFonts w:cs="Arial"/>
          <w:sz w:val="24"/>
          <w:szCs w:val="24"/>
        </w:rPr>
      </w:pPr>
      <w:bookmarkStart w:id="151" w:name="_Toc212473208"/>
      <w:r w:rsidRPr="000706D1">
        <w:rPr>
          <w:rFonts w:cs="Arial"/>
          <w:sz w:val="24"/>
          <w:szCs w:val="24"/>
        </w:rPr>
        <w:t>OMB Compliance Requirements</w:t>
      </w:r>
      <w:bookmarkEnd w:id="151"/>
    </w:p>
    <w:p w14:paraId="4EA6D370" w14:textId="77777777" w:rsidR="005541E9" w:rsidRPr="005C1EBC"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710A4DF2" w14:textId="77777777" w:rsidR="005541E9" w:rsidRPr="00F00D94"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335D2A16" w14:textId="77777777" w:rsidR="005541E9" w:rsidRPr="00F00D94" w:rsidRDefault="005541E9" w:rsidP="005541E9">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8245A7F" w14:textId="77777777" w:rsidR="005541E9" w:rsidRPr="000706D1" w:rsidRDefault="005541E9" w:rsidP="005541E9">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B89042D" w14:textId="4C642840" w:rsidR="00DC4A66" w:rsidRPr="00DC4A66" w:rsidRDefault="00DC4A66" w:rsidP="00DC4A6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C4A66">
        <w:rPr>
          <w:rFonts w:ascii="Arial" w:hAnsi="Arial" w:cs="Arial"/>
          <w:bCs/>
        </w:rPr>
        <w:t>PHAs are required to use insurance proceeds to promptly</w:t>
      </w:r>
      <w:r>
        <w:rPr>
          <w:rFonts w:ascii="Arial" w:hAnsi="Arial" w:cs="Arial"/>
          <w:bCs/>
        </w:rPr>
        <w:t xml:space="preserve"> </w:t>
      </w:r>
      <w:r w:rsidRPr="00DC4A66">
        <w:rPr>
          <w:rFonts w:ascii="Arial" w:hAnsi="Arial" w:cs="Arial"/>
          <w:bCs/>
        </w:rPr>
        <w:t>restore, reconstruct, and/or repair any damaged or destroyed property of a project, except when a PHA has written approval from HUD to do otherwise. Unspent insurance proceeds are normally recorded as restricted cash or restricted investments on the FDS up to the amount of the repair.</w:t>
      </w:r>
    </w:p>
    <w:p w14:paraId="3D5892F4" w14:textId="40CFFF0B" w:rsidR="00DC4A66" w:rsidRPr="00DC4A66" w:rsidRDefault="00DC4A66" w:rsidP="00DC4A6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C4A66">
        <w:rPr>
          <w:rFonts w:ascii="Arial" w:hAnsi="Arial" w:cs="Arial"/>
          <w:bCs/>
        </w:rPr>
        <w:t>In cases of unforeseeable and unpreventable emergencies that include damage to the physical structure of the housing stock, PHAs are allowed to use their Operating Funds to cover the expenses associated with the damages. A PHA’s insurance may cover the damages fully or partially. However, it usually takes time for the PHA to receive the insurance proceeds. Once received, the PHA must reimburse its operating account for any expenses initially covered with Operating Funds up to the amount received.</w:t>
      </w:r>
    </w:p>
    <w:p w14:paraId="1F07B394" w14:textId="7B2D0A45" w:rsidR="005541E9" w:rsidRDefault="00DC4A66" w:rsidP="00DC4A66">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DC4A66">
        <w:rPr>
          <w:rFonts w:ascii="Arial" w:hAnsi="Arial" w:cs="Arial"/>
          <w:bCs/>
        </w:rPr>
        <w:t xml:space="preserve">If the insurance proceeds are less than the cost to repair and the PHA elects to use Operating Funds to cover the difference, the PHA is not allowed to draw down capital funds to reimburse the Low Rent program (Section 13 of the ACC). The ACC is available at </w:t>
      </w:r>
      <w:hyperlink r:id="rId118" w:history="1">
        <w:r w:rsidRPr="00011C0F">
          <w:rPr>
            <w:rStyle w:val="Hyperlink"/>
            <w:rFonts w:cs="Arial"/>
            <w:bCs/>
          </w:rPr>
          <w:t>Annual Contributions Contract (ACC) | HUD.gov / U.S. Department of Housing and Urban Development (HUD)</w:t>
        </w:r>
      </w:hyperlink>
      <w:r w:rsidRPr="00DC4A66">
        <w:rPr>
          <w:rFonts w:ascii="Arial" w:hAnsi="Arial" w:cs="Arial"/>
          <w:bCs/>
        </w:rPr>
        <w:t>.</w:t>
      </w:r>
    </w:p>
    <w:p w14:paraId="1060F9CF" w14:textId="3A4F151D" w:rsidR="00DC4A66" w:rsidRPr="00DC4A66" w:rsidRDefault="00DC4A66" w:rsidP="00DC4A66">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0580E6AC" w14:textId="77777777" w:rsidR="005541E9" w:rsidRPr="000706D1" w:rsidRDefault="005541E9" w:rsidP="005541E9">
      <w:pPr>
        <w:pStyle w:val="Heading3"/>
        <w:jc w:val="both"/>
        <w:rPr>
          <w:rFonts w:cs="Arial"/>
          <w:sz w:val="24"/>
          <w:szCs w:val="24"/>
        </w:rPr>
      </w:pPr>
      <w:bookmarkStart w:id="152" w:name="_Toc212473209"/>
      <w:r w:rsidRPr="000706D1">
        <w:rPr>
          <w:rFonts w:cs="Arial"/>
          <w:sz w:val="24"/>
          <w:szCs w:val="24"/>
        </w:rPr>
        <w:t>Additional Program Specific Information</w:t>
      </w:r>
      <w:bookmarkEnd w:id="152"/>
    </w:p>
    <w:p w14:paraId="3D1E06E9" w14:textId="77777777" w:rsidR="005541E9" w:rsidRPr="00AA5B05" w:rsidRDefault="005541E9" w:rsidP="005541E9">
      <w:pPr>
        <w:spacing w:after="240"/>
        <w:jc w:val="both"/>
        <w:rPr>
          <w:rFonts w:ascii="Arial" w:hAnsi="Arial" w:cs="Arial"/>
          <w:b/>
          <w:highlight w:val="yellow"/>
        </w:rPr>
      </w:pPr>
      <w:r w:rsidRPr="00AA5B05">
        <w:rPr>
          <w:rFonts w:ascii="Arial" w:hAnsi="Arial" w:cs="Arial"/>
          <w:b/>
          <w:highlight w:val="yellow"/>
        </w:rPr>
        <w:t>Add program specific requirements from:</w:t>
      </w:r>
    </w:p>
    <w:p w14:paraId="43FBFBDA" w14:textId="77777777" w:rsidR="005541E9" w:rsidRPr="00AA5B05" w:rsidRDefault="005541E9" w:rsidP="005541E9">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34F9A08E" w14:textId="77777777" w:rsidR="005541E9" w:rsidRPr="00AA5B05" w:rsidRDefault="005541E9" w:rsidP="005541E9">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7913090" w14:textId="77777777" w:rsidR="005541E9" w:rsidRPr="00AA5B05" w:rsidRDefault="005541E9" w:rsidP="005541E9">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p>
    <w:p w14:paraId="4801015E" w14:textId="77777777" w:rsidR="005541E9" w:rsidRPr="00AA5B05" w:rsidRDefault="005541E9" w:rsidP="005541E9">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99E530E" w14:textId="77777777" w:rsidR="005541E9" w:rsidRPr="000706D1" w:rsidRDefault="005541E9" w:rsidP="005541E9">
      <w:pPr>
        <w:pStyle w:val="Heading3"/>
        <w:jc w:val="both"/>
        <w:rPr>
          <w:rFonts w:cs="Arial"/>
          <w:sz w:val="24"/>
          <w:szCs w:val="24"/>
        </w:rPr>
      </w:pPr>
      <w:bookmarkStart w:id="153" w:name="_Toc212473210"/>
      <w:r w:rsidRPr="000706D1">
        <w:rPr>
          <w:rFonts w:cs="Arial"/>
          <w:sz w:val="24"/>
          <w:szCs w:val="24"/>
        </w:rPr>
        <w:t>Audit Objectives and Control Testing</w:t>
      </w:r>
      <w:bookmarkEnd w:id="153"/>
    </w:p>
    <w:p w14:paraId="79E52D1A" w14:textId="77777777" w:rsidR="005541E9" w:rsidRPr="00F00D94" w:rsidRDefault="005541E9" w:rsidP="005541E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0049A9" w14:textId="77777777" w:rsidR="005541E9" w:rsidRPr="00F00D94" w:rsidRDefault="005541E9" w:rsidP="005541E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E16C51D" w14:textId="77777777" w:rsidR="005541E9"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7A94D8E0" w14:textId="4BE25DC7" w:rsidR="005541E9" w:rsidRDefault="00DC4A66" w:rsidP="00DC4A66">
      <w:pPr>
        <w:pStyle w:val="ListParagraph"/>
        <w:numPr>
          <w:ilvl w:val="0"/>
          <w:numId w:val="73"/>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DC4A66">
        <w:rPr>
          <w:rFonts w:ascii="Arial" w:hAnsi="Arial" w:cs="Arial"/>
          <w:iCs/>
        </w:rPr>
        <w:t>Determine whether the PHA used insurance proceeds to promptly repair damaged or destroyed property, that unspent insurance proceeds are properly reported in the financial statements, and that Operating Funds were used to cover the allowable expenses.</w:t>
      </w:r>
    </w:p>
    <w:p w14:paraId="45020494" w14:textId="2B942049" w:rsidR="00DC4A66" w:rsidRPr="00DC4A66" w:rsidRDefault="00DC4A66" w:rsidP="00DC4A66">
      <w:pPr>
        <w:spacing w:after="240"/>
        <w:jc w:val="both"/>
        <w:rPr>
          <w:rFonts w:ascii="Arial" w:hAnsi="Arial" w:cs="Arial"/>
          <w:bCs/>
          <w:i/>
          <w:iCs/>
        </w:rPr>
      </w:pPr>
      <w:r w:rsidRPr="00DC4A66">
        <w:rPr>
          <w:rFonts w:ascii="Arial" w:hAnsi="Arial" w:cs="Arial"/>
          <w:bCs/>
          <w:i/>
          <w:iCs/>
        </w:rPr>
        <w:t>(Source: 202</w:t>
      </w:r>
      <w:r>
        <w:rPr>
          <w:rFonts w:ascii="Arial" w:hAnsi="Arial" w:cs="Arial"/>
          <w:bCs/>
          <w:i/>
          <w:iCs/>
        </w:rPr>
        <w:t>5</w:t>
      </w:r>
      <w:r w:rsidRPr="00DC4A66">
        <w:rPr>
          <w:rFonts w:ascii="Arial" w:hAnsi="Arial" w:cs="Arial"/>
          <w:bCs/>
          <w:i/>
          <w:iCs/>
        </w:rPr>
        <w:t xml:space="preserve"> OMB Compliance Supplement, Part 4, HUD, #14.850 Public Housing Operating Fund)</w:t>
      </w:r>
    </w:p>
    <w:p w14:paraId="3B510695" w14:textId="77777777" w:rsidR="005541E9" w:rsidRPr="00634FA3" w:rsidRDefault="005541E9" w:rsidP="005541E9">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541E9" w:rsidRPr="00F00D94" w14:paraId="23515003" w14:textId="77777777" w:rsidTr="009F1483">
        <w:tc>
          <w:tcPr>
            <w:tcW w:w="5000" w:type="pct"/>
          </w:tcPr>
          <w:p w14:paraId="2E7649B0" w14:textId="77777777" w:rsidR="005541E9" w:rsidRPr="006F5FFA" w:rsidRDefault="005541E9"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AF5AA53" w14:textId="77777777" w:rsidR="005541E9" w:rsidRPr="00F00D94" w:rsidRDefault="005541E9"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93ED46" w14:textId="77777777" w:rsidR="005541E9" w:rsidRPr="00F00D94" w:rsidRDefault="005541E9" w:rsidP="009F1483">
            <w:pPr>
              <w:pStyle w:val="AuditProcedureHeading"/>
              <w:spacing w:after="240"/>
              <w:jc w:val="both"/>
              <w:rPr>
                <w:rFonts w:cs="Arial"/>
                <w:b/>
                <w:bCs/>
                <w:szCs w:val="20"/>
                <w:u w:val="single"/>
              </w:rPr>
            </w:pPr>
          </w:p>
          <w:p w14:paraId="7F0255F7" w14:textId="77777777" w:rsidR="005541E9" w:rsidRPr="00F00D94" w:rsidRDefault="005541E9"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7A8E622" w14:textId="77777777" w:rsidR="005541E9" w:rsidRPr="00F00D94" w:rsidRDefault="005541E9" w:rsidP="009F1483">
            <w:pPr>
              <w:pStyle w:val="AuditProcedureHeading"/>
              <w:spacing w:after="240"/>
              <w:jc w:val="both"/>
              <w:rPr>
                <w:rFonts w:cs="Arial"/>
                <w:b/>
                <w:bCs/>
                <w:szCs w:val="20"/>
                <w:u w:val="single"/>
              </w:rPr>
            </w:pPr>
          </w:p>
          <w:p w14:paraId="45917480" w14:textId="77777777" w:rsidR="005541E9" w:rsidRPr="00F00D94" w:rsidRDefault="005541E9"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82F3DA5" w14:textId="77777777" w:rsidR="005541E9" w:rsidRPr="00F00D94" w:rsidRDefault="005541E9" w:rsidP="009F1483">
            <w:pPr>
              <w:spacing w:after="240"/>
              <w:jc w:val="both"/>
              <w:rPr>
                <w:rFonts w:ascii="Arial" w:hAnsi="Arial" w:cs="Arial"/>
                <w:b/>
                <w:sz w:val="20"/>
                <w:u w:val="single"/>
              </w:rPr>
            </w:pPr>
          </w:p>
          <w:p w14:paraId="475CD967" w14:textId="77777777" w:rsidR="005541E9" w:rsidRPr="00F00D94" w:rsidRDefault="005541E9"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00D2500" w14:textId="77777777" w:rsidR="005541E9" w:rsidRPr="00C35E5F" w:rsidRDefault="005541E9" w:rsidP="009F1483">
            <w:pPr>
              <w:spacing w:after="240"/>
              <w:jc w:val="both"/>
              <w:rPr>
                <w:rFonts w:ascii="Arial" w:eastAsiaTheme="minorHAnsi" w:hAnsi="Arial" w:cs="Arial"/>
                <w:sz w:val="20"/>
                <w:szCs w:val="20"/>
              </w:rPr>
            </w:pPr>
          </w:p>
        </w:tc>
      </w:tr>
    </w:tbl>
    <w:p w14:paraId="017742DC" w14:textId="77777777" w:rsidR="005541E9" w:rsidRPr="00F00D94"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574C9523" w14:textId="77777777" w:rsidR="005541E9" w:rsidRPr="000706D1" w:rsidRDefault="005541E9" w:rsidP="005541E9">
      <w:pPr>
        <w:pStyle w:val="Heading3"/>
        <w:jc w:val="both"/>
        <w:rPr>
          <w:rFonts w:cs="Arial"/>
          <w:sz w:val="24"/>
          <w:szCs w:val="24"/>
        </w:rPr>
      </w:pPr>
      <w:bookmarkStart w:id="154" w:name="_Toc212473211"/>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54"/>
    </w:p>
    <w:tbl>
      <w:tblPr>
        <w:tblStyle w:val="TableGrid"/>
        <w:tblW w:w="9558" w:type="dxa"/>
        <w:tblLayout w:type="fixed"/>
        <w:tblLook w:val="04A0" w:firstRow="1" w:lastRow="0" w:firstColumn="1" w:lastColumn="0" w:noHBand="0" w:noVBand="1"/>
      </w:tblPr>
      <w:tblGrid>
        <w:gridCol w:w="9558"/>
      </w:tblGrid>
      <w:tr w:rsidR="005541E9" w:rsidRPr="00F00D94" w14:paraId="75F21B2B" w14:textId="77777777" w:rsidTr="009F1483">
        <w:tc>
          <w:tcPr>
            <w:tcW w:w="9558" w:type="dxa"/>
          </w:tcPr>
          <w:p w14:paraId="300247CB" w14:textId="77777777" w:rsidR="005541E9" w:rsidRDefault="005541E9"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58B9C58" w14:textId="43066207" w:rsidR="005541E9" w:rsidRPr="00DC4A66" w:rsidRDefault="005541E9" w:rsidP="009F1483">
            <w:pPr>
              <w:spacing w:after="240"/>
              <w:jc w:val="both"/>
              <w:rPr>
                <w:rFonts w:ascii="Arial" w:hAnsi="Arial" w:cs="Arial"/>
                <w:i/>
                <w:sz w:val="20"/>
                <w:szCs w:val="20"/>
              </w:rPr>
            </w:pPr>
            <w:r>
              <w:rPr>
                <w:rFonts w:ascii="Arial" w:hAnsi="Arial" w:cs="Arial"/>
                <w:i/>
                <w:sz w:val="20"/>
                <w:szCs w:val="20"/>
              </w:rPr>
              <w:lastRenderedPageBreak/>
              <w:t>(Source: 2025 OMB Compliance Supplement Part 3.2)</w:t>
            </w:r>
          </w:p>
          <w:p w14:paraId="190DF681" w14:textId="73345288" w:rsidR="00DC4A66" w:rsidRPr="00DC4A66" w:rsidRDefault="00DC4A66" w:rsidP="00DC4A66">
            <w:pPr>
              <w:spacing w:after="240"/>
              <w:ind w:left="703" w:hanging="720"/>
              <w:jc w:val="both"/>
              <w:rPr>
                <w:rFonts w:ascii="Arial" w:hAnsi="Arial" w:cs="Arial"/>
                <w:sz w:val="20"/>
              </w:rPr>
            </w:pPr>
            <w:r w:rsidRPr="00DC4A66">
              <w:rPr>
                <w:rFonts w:ascii="Arial" w:hAnsi="Arial" w:cs="Arial"/>
                <w:sz w:val="20"/>
              </w:rPr>
              <w:t>a.</w:t>
            </w:r>
            <w:r w:rsidRPr="00DC4A66">
              <w:rPr>
                <w:rFonts w:ascii="Arial" w:hAnsi="Arial" w:cs="Arial"/>
                <w:sz w:val="20"/>
              </w:rPr>
              <w:tab/>
              <w:t>Ascertain if the PHA received any insurance proceeds for damaged or destroyed property.</w:t>
            </w:r>
          </w:p>
          <w:p w14:paraId="3FAE392B" w14:textId="1E36ECCC" w:rsidR="00DC4A66" w:rsidRPr="00DC4A66" w:rsidRDefault="00DC4A66" w:rsidP="00DC4A66">
            <w:pPr>
              <w:spacing w:after="240"/>
              <w:ind w:left="703" w:hanging="720"/>
              <w:jc w:val="both"/>
              <w:rPr>
                <w:rFonts w:ascii="Arial" w:hAnsi="Arial" w:cs="Arial"/>
                <w:sz w:val="20"/>
              </w:rPr>
            </w:pPr>
            <w:r w:rsidRPr="00DC4A66">
              <w:rPr>
                <w:rFonts w:ascii="Arial" w:hAnsi="Arial" w:cs="Arial"/>
                <w:sz w:val="20"/>
              </w:rPr>
              <w:t>b.</w:t>
            </w:r>
            <w:r w:rsidRPr="00DC4A66">
              <w:rPr>
                <w:rFonts w:ascii="Arial" w:hAnsi="Arial" w:cs="Arial"/>
                <w:sz w:val="20"/>
              </w:rPr>
              <w:tab/>
              <w:t>Verify that insurance proceeds received in advance of contractor or repair bills are placed in a restricted cash account of the operating fund.</w:t>
            </w:r>
          </w:p>
          <w:p w14:paraId="754ABEBA" w14:textId="307BB3BC" w:rsidR="00DC4A66" w:rsidRPr="00DC4A66" w:rsidRDefault="00DC4A66" w:rsidP="00DC4A66">
            <w:pPr>
              <w:spacing w:after="240"/>
              <w:ind w:left="703" w:hanging="720"/>
              <w:jc w:val="both"/>
              <w:rPr>
                <w:rFonts w:ascii="Arial" w:hAnsi="Arial" w:cs="Arial"/>
                <w:sz w:val="20"/>
              </w:rPr>
            </w:pPr>
            <w:r w:rsidRPr="00DC4A66">
              <w:rPr>
                <w:rFonts w:ascii="Arial" w:hAnsi="Arial" w:cs="Arial"/>
                <w:sz w:val="20"/>
              </w:rPr>
              <w:t>c.</w:t>
            </w:r>
            <w:r w:rsidRPr="00DC4A66">
              <w:rPr>
                <w:rFonts w:ascii="Arial" w:hAnsi="Arial" w:cs="Arial"/>
                <w:sz w:val="20"/>
              </w:rPr>
              <w:tab/>
              <w:t>Review contractor invoices and repair expenses to verify insurance proceeds were used to cover allowable expenses.</w:t>
            </w:r>
          </w:p>
          <w:p w14:paraId="3CFDF6CE" w14:textId="4F83D1FE" w:rsidR="00DC4A66" w:rsidRPr="00DC4A66" w:rsidRDefault="00DC4A66" w:rsidP="00DC4A66">
            <w:pPr>
              <w:spacing w:after="240"/>
              <w:ind w:left="703" w:hanging="720"/>
              <w:jc w:val="both"/>
              <w:rPr>
                <w:rFonts w:ascii="Arial" w:hAnsi="Arial" w:cs="Arial"/>
                <w:sz w:val="20"/>
              </w:rPr>
            </w:pPr>
            <w:r w:rsidRPr="00DC4A66">
              <w:rPr>
                <w:rFonts w:ascii="Arial" w:hAnsi="Arial" w:cs="Arial"/>
                <w:sz w:val="20"/>
              </w:rPr>
              <w:t>d.</w:t>
            </w:r>
            <w:r w:rsidRPr="00DC4A66">
              <w:rPr>
                <w:rFonts w:ascii="Arial" w:hAnsi="Arial" w:cs="Arial"/>
                <w:sz w:val="20"/>
              </w:rPr>
              <w:tab/>
              <w:t>Verify that the Operating Fund was reimbursed by any insurance proceeds received for repairs funded by the Operating Fund.</w:t>
            </w:r>
          </w:p>
        </w:tc>
      </w:tr>
    </w:tbl>
    <w:p w14:paraId="640934C2" w14:textId="77777777" w:rsidR="005541E9" w:rsidRPr="00F00D94" w:rsidRDefault="005541E9" w:rsidP="005541E9">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039E54B" w14:textId="77777777" w:rsidR="005541E9" w:rsidRPr="000706D1" w:rsidRDefault="005541E9" w:rsidP="005541E9">
      <w:pPr>
        <w:pStyle w:val="Heading3"/>
        <w:jc w:val="both"/>
        <w:rPr>
          <w:rFonts w:cs="Arial"/>
          <w:b w:val="0"/>
          <w:sz w:val="24"/>
          <w:szCs w:val="24"/>
        </w:rPr>
      </w:pPr>
      <w:bookmarkStart w:id="155" w:name="_Toc212473212"/>
      <w:r w:rsidRPr="000706D1">
        <w:rPr>
          <w:rFonts w:cs="Arial"/>
          <w:sz w:val="24"/>
          <w:szCs w:val="24"/>
        </w:rPr>
        <w:t>Audit Implications Summary</w:t>
      </w:r>
      <w:bookmarkEnd w:id="155"/>
    </w:p>
    <w:tbl>
      <w:tblPr>
        <w:tblStyle w:val="TableGrid"/>
        <w:tblW w:w="5000" w:type="pct"/>
        <w:tblLook w:val="04A0" w:firstRow="1" w:lastRow="0" w:firstColumn="1" w:lastColumn="0" w:noHBand="0" w:noVBand="1"/>
      </w:tblPr>
      <w:tblGrid>
        <w:gridCol w:w="9350"/>
      </w:tblGrid>
      <w:tr w:rsidR="005541E9" w:rsidRPr="00F00D94" w14:paraId="58402B0D" w14:textId="77777777" w:rsidTr="009F1483">
        <w:tc>
          <w:tcPr>
            <w:tcW w:w="5000" w:type="pct"/>
          </w:tcPr>
          <w:p w14:paraId="581E60E3" w14:textId="77777777" w:rsidR="005541E9" w:rsidRDefault="005541E9"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077BADC" w14:textId="77777777" w:rsidR="005541E9" w:rsidRPr="006E46AD" w:rsidRDefault="005541E9"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9"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C484DF5" w14:textId="77777777" w:rsidR="005541E9" w:rsidRPr="006E46AD" w:rsidRDefault="005541E9" w:rsidP="00DC4A66">
            <w:pPr>
              <w:pStyle w:val="ListParagraph"/>
              <w:widowControl w:val="0"/>
              <w:numPr>
                <w:ilvl w:val="0"/>
                <w:numId w:val="7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6CE38725" w14:textId="77777777" w:rsidR="005541E9" w:rsidRPr="006E46AD" w:rsidRDefault="005541E9" w:rsidP="009F1483">
            <w:pPr>
              <w:widowControl w:val="0"/>
              <w:spacing w:after="240"/>
              <w:ind w:left="720"/>
              <w:jc w:val="both"/>
              <w:rPr>
                <w:rFonts w:ascii="Arial" w:hAnsi="Arial" w:cs="Arial"/>
                <w:b/>
                <w:sz w:val="20"/>
                <w:szCs w:val="20"/>
              </w:rPr>
            </w:pPr>
          </w:p>
          <w:p w14:paraId="6FC479CB" w14:textId="77777777" w:rsidR="005541E9" w:rsidRPr="006E46AD" w:rsidRDefault="005541E9" w:rsidP="00DC4A66">
            <w:pPr>
              <w:widowControl w:val="0"/>
              <w:numPr>
                <w:ilvl w:val="0"/>
                <w:numId w:val="7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5F815B8D" w14:textId="77777777" w:rsidR="005541E9" w:rsidRPr="00F00D94" w:rsidRDefault="005541E9" w:rsidP="009F1483">
            <w:pPr>
              <w:pStyle w:val="ListParagraph"/>
              <w:spacing w:after="240"/>
              <w:jc w:val="both"/>
              <w:rPr>
                <w:rFonts w:ascii="Arial" w:hAnsi="Arial" w:cs="Arial"/>
                <w:b/>
              </w:rPr>
            </w:pPr>
          </w:p>
          <w:p w14:paraId="00A22557" w14:textId="77777777" w:rsidR="005541E9" w:rsidRPr="00F00D94" w:rsidRDefault="005541E9" w:rsidP="00DC4A66">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677F2A68" w14:textId="77777777" w:rsidR="005541E9" w:rsidRPr="00F00D94" w:rsidRDefault="005541E9" w:rsidP="009F1483">
            <w:pPr>
              <w:pStyle w:val="ListParagraph"/>
              <w:spacing w:after="240"/>
              <w:jc w:val="both"/>
              <w:rPr>
                <w:rFonts w:ascii="Arial" w:hAnsi="Arial" w:cs="Arial"/>
                <w:b/>
              </w:rPr>
            </w:pPr>
          </w:p>
          <w:p w14:paraId="148AD3A4" w14:textId="77777777" w:rsidR="005541E9" w:rsidRPr="00F00D94" w:rsidRDefault="005541E9" w:rsidP="00DC4A66">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CE6032F" w14:textId="77777777" w:rsidR="005541E9" w:rsidRPr="00F00D94" w:rsidRDefault="005541E9" w:rsidP="009F1483">
            <w:pPr>
              <w:pStyle w:val="ListParagraph"/>
              <w:spacing w:after="240"/>
              <w:jc w:val="both"/>
              <w:rPr>
                <w:rFonts w:ascii="Arial" w:hAnsi="Arial" w:cs="Arial"/>
                <w:b/>
              </w:rPr>
            </w:pPr>
          </w:p>
          <w:p w14:paraId="0F14FC4B" w14:textId="77777777" w:rsidR="005541E9" w:rsidRPr="00F00D94" w:rsidRDefault="005541E9" w:rsidP="00DC4A66">
            <w:pPr>
              <w:widowControl w:val="0"/>
              <w:numPr>
                <w:ilvl w:val="0"/>
                <w:numId w:val="7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31F7109" w14:textId="77777777" w:rsidR="005541E9" w:rsidRPr="00F00D94" w:rsidRDefault="005541E9" w:rsidP="009F1483">
            <w:pPr>
              <w:pStyle w:val="APStepItem"/>
              <w:numPr>
                <w:ilvl w:val="0"/>
                <w:numId w:val="0"/>
              </w:numPr>
              <w:spacing w:after="240"/>
              <w:rPr>
                <w:rFonts w:cs="Arial"/>
                <w:b/>
              </w:rPr>
            </w:pPr>
          </w:p>
        </w:tc>
      </w:tr>
    </w:tbl>
    <w:p w14:paraId="46D650B9" w14:textId="77777777" w:rsidR="005541E9" w:rsidRDefault="005541E9" w:rsidP="005541E9">
      <w:pPr>
        <w:pStyle w:val="Heading2"/>
        <w:jc w:val="both"/>
        <w:rPr>
          <w:rFonts w:cs="Arial"/>
          <w:sz w:val="24"/>
        </w:rPr>
        <w:sectPr w:rsidR="005541E9" w:rsidSect="005541E9">
          <w:headerReference w:type="default" r:id="rId120"/>
          <w:pgSz w:w="12240" w:h="15840" w:code="1"/>
          <w:pgMar w:top="1440" w:right="1440" w:bottom="1440" w:left="1440" w:header="720" w:footer="720" w:gutter="0"/>
          <w:cols w:space="720"/>
          <w:docGrid w:linePitch="360"/>
        </w:sectPr>
      </w:pPr>
    </w:p>
    <w:p w14:paraId="11EAB443" w14:textId="1318D1C4" w:rsidR="005541E9" w:rsidRPr="000706D1" w:rsidRDefault="005541E9" w:rsidP="005541E9">
      <w:pPr>
        <w:pStyle w:val="Heading2"/>
        <w:jc w:val="both"/>
        <w:rPr>
          <w:rFonts w:cs="Arial"/>
          <w:sz w:val="24"/>
        </w:rPr>
      </w:pPr>
      <w:bookmarkStart w:id="156" w:name="_Toc212473213"/>
      <w:r w:rsidRPr="000706D1">
        <w:rPr>
          <w:rFonts w:cs="Arial"/>
          <w:sz w:val="24"/>
        </w:rPr>
        <w:lastRenderedPageBreak/>
        <w:t>N</w:t>
      </w:r>
      <w:r w:rsidR="00DC4A66">
        <w:rPr>
          <w:rFonts w:cs="Arial"/>
          <w:sz w:val="24"/>
        </w:rPr>
        <w:t>16</w:t>
      </w:r>
      <w:r w:rsidRPr="000706D1">
        <w:rPr>
          <w:rFonts w:cs="Arial"/>
          <w:sz w:val="24"/>
        </w:rPr>
        <w:t>.  SPECIAL TESTS AND PROVISIONS</w:t>
      </w:r>
      <w:r w:rsidR="00DC4A66">
        <w:rPr>
          <w:rFonts w:cs="Arial"/>
          <w:sz w:val="24"/>
        </w:rPr>
        <w:t xml:space="preserve"> – ENVIRONMENTAL CONTAMINANTS TESTING AND REMEDIATION</w:t>
      </w:r>
      <w:bookmarkEnd w:id="156"/>
    </w:p>
    <w:p w14:paraId="741224E3" w14:textId="77777777" w:rsidR="005541E9" w:rsidRPr="000706D1" w:rsidRDefault="005541E9" w:rsidP="005541E9">
      <w:pPr>
        <w:pStyle w:val="Heading3"/>
        <w:jc w:val="both"/>
        <w:rPr>
          <w:rFonts w:cs="Arial"/>
          <w:sz w:val="24"/>
          <w:szCs w:val="24"/>
        </w:rPr>
      </w:pPr>
      <w:bookmarkStart w:id="157" w:name="_Toc212473214"/>
      <w:r w:rsidRPr="000706D1">
        <w:rPr>
          <w:rFonts w:cs="Arial"/>
          <w:sz w:val="24"/>
          <w:szCs w:val="24"/>
        </w:rPr>
        <w:t>OMB Compliance Requirements</w:t>
      </w:r>
      <w:bookmarkEnd w:id="157"/>
    </w:p>
    <w:p w14:paraId="771DFB4B" w14:textId="77777777" w:rsidR="005541E9" w:rsidRPr="005C1EBC"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543E5C90" w14:textId="77777777" w:rsidR="005541E9" w:rsidRPr="00F00D94"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7771E4F0" w14:textId="77777777" w:rsidR="005541E9" w:rsidRPr="00F00D94" w:rsidRDefault="005541E9" w:rsidP="005541E9">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768C937" w14:textId="77777777" w:rsidR="005541E9" w:rsidRPr="000706D1" w:rsidRDefault="005541E9" w:rsidP="005541E9">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0FB4B313" w14:textId="62E82239" w:rsidR="00B82863" w:rsidRPr="00B82863" w:rsidRDefault="00B82863" w:rsidP="00B82863">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B82863">
        <w:rPr>
          <w:rFonts w:ascii="Arial" w:hAnsi="Arial" w:cs="Arial"/>
          <w:bCs/>
        </w:rPr>
        <w:t>Public Housing must be decent, safe, sanitary, and in good repair. To be considered decent, safe, sanitary, and in good repair, PHAs must maintain housing following the physical condition standards set forth in 24 CFR section 5.703. Those standards address the major areas of public housing: the site, the building exterior, the building systems, the dwelling units, the common areas, and health and safety considerations.</w:t>
      </w:r>
    </w:p>
    <w:p w14:paraId="085D043E" w14:textId="3892A43F" w:rsidR="00B82863" w:rsidRPr="00B82863" w:rsidRDefault="00B82863" w:rsidP="00B82863">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B82863">
        <w:rPr>
          <w:rFonts w:ascii="Arial" w:hAnsi="Arial" w:cs="Arial"/>
          <w:bCs/>
        </w:rPr>
        <w:t>Health and safety considerations require that all areas and components of housing be free of health and safety hazards. These areas include, but are not limited to, air quality, electrical hazards, elevators, emergency/fire exits, flammable materials, garbage and debris, handrail hazards, infestation, and lead-based paint. The housing must have no evidence of infestation by rats, mice, or other vermin, garbage, and debris. The housing must have no evidence of electrical, natural, or fire hazards. The dwelling units and common areas must have proper ventilation and be free of mold, odor (e.g., propane, natural gas, methane gas), or other indoor air hazards such as radon testing. The housing must comply with all requirements related to the evaluation and reduction of lead-based paint hazards and have available proper certifications (see 24 CFR Part 35).</w:t>
      </w:r>
    </w:p>
    <w:p w14:paraId="1AECD34E" w14:textId="73786F00" w:rsidR="005541E9" w:rsidRDefault="00B82863" w:rsidP="00B82863">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B82863">
        <w:rPr>
          <w:rFonts w:ascii="Arial" w:hAnsi="Arial" w:cs="Arial"/>
          <w:bCs/>
        </w:rPr>
        <w:t>The physical condition standards in 24 CFR section 5.703 do not supersede or preempt state and local building and maintenance codes, which Public Housing must comply with and continue to adhere to.</w:t>
      </w:r>
    </w:p>
    <w:p w14:paraId="025DD3CD" w14:textId="3FFB990E" w:rsidR="00B82863" w:rsidRPr="00B82863" w:rsidRDefault="00B82863" w:rsidP="00B82863">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0A731275" w14:textId="77777777" w:rsidR="005541E9" w:rsidRPr="000706D1" w:rsidRDefault="005541E9" w:rsidP="005541E9">
      <w:pPr>
        <w:pStyle w:val="Heading3"/>
        <w:jc w:val="both"/>
        <w:rPr>
          <w:rFonts w:cs="Arial"/>
          <w:sz w:val="24"/>
          <w:szCs w:val="24"/>
        </w:rPr>
      </w:pPr>
      <w:bookmarkStart w:id="158" w:name="_Toc212473215"/>
      <w:r w:rsidRPr="000706D1">
        <w:rPr>
          <w:rFonts w:cs="Arial"/>
          <w:sz w:val="24"/>
          <w:szCs w:val="24"/>
        </w:rPr>
        <w:t>Additional Program Specific Information</w:t>
      </w:r>
      <w:bookmarkEnd w:id="158"/>
    </w:p>
    <w:p w14:paraId="7B97D20A" w14:textId="77777777" w:rsidR="005541E9" w:rsidRPr="00AA5B05" w:rsidRDefault="005541E9" w:rsidP="005541E9">
      <w:pPr>
        <w:spacing w:after="240"/>
        <w:jc w:val="both"/>
        <w:rPr>
          <w:rFonts w:ascii="Arial" w:hAnsi="Arial" w:cs="Arial"/>
          <w:b/>
          <w:highlight w:val="yellow"/>
        </w:rPr>
      </w:pPr>
      <w:r w:rsidRPr="00AA5B05">
        <w:rPr>
          <w:rFonts w:ascii="Arial" w:hAnsi="Arial" w:cs="Arial"/>
          <w:b/>
          <w:highlight w:val="yellow"/>
        </w:rPr>
        <w:t>Add program specific requirements from:</w:t>
      </w:r>
    </w:p>
    <w:p w14:paraId="0A61CB0A" w14:textId="77777777" w:rsidR="005541E9" w:rsidRPr="00AA5B05" w:rsidRDefault="005541E9" w:rsidP="005541E9">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4B6E66B" w14:textId="77777777" w:rsidR="005541E9" w:rsidRPr="00AA5B05" w:rsidRDefault="005541E9" w:rsidP="005541E9">
      <w:pPr>
        <w:pStyle w:val="ListParagraph"/>
        <w:numPr>
          <w:ilvl w:val="0"/>
          <w:numId w:val="32"/>
        </w:numPr>
        <w:spacing w:after="240"/>
        <w:jc w:val="both"/>
        <w:rPr>
          <w:rFonts w:ascii="Arial" w:hAnsi="Arial" w:cs="Arial"/>
          <w:b/>
          <w:highlight w:val="yellow"/>
        </w:rPr>
      </w:pPr>
      <w:r>
        <w:rPr>
          <w:rFonts w:ascii="Arial" w:hAnsi="Arial" w:cs="Arial"/>
          <w:b/>
          <w:highlight w:val="yellow"/>
        </w:rPr>
        <w:lastRenderedPageBreak/>
        <w:t>T</w:t>
      </w:r>
      <w:r w:rsidRPr="00AA5B05">
        <w:rPr>
          <w:rFonts w:ascii="Arial" w:hAnsi="Arial" w:cs="Arial"/>
          <w:b/>
          <w:highlight w:val="yellow"/>
        </w:rPr>
        <w:t>he pass-through agency</w:t>
      </w:r>
      <w:r>
        <w:rPr>
          <w:rFonts w:ascii="Arial" w:hAnsi="Arial" w:cs="Arial"/>
          <w:b/>
          <w:highlight w:val="yellow"/>
        </w:rPr>
        <w:t>, and</w:t>
      </w:r>
    </w:p>
    <w:p w14:paraId="57B28204" w14:textId="77777777" w:rsidR="005541E9" w:rsidRPr="00AA5B05" w:rsidRDefault="005541E9" w:rsidP="005541E9">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632C9E9" w14:textId="77777777" w:rsidR="005541E9" w:rsidRPr="00AA5B05" w:rsidRDefault="005541E9" w:rsidP="005541E9">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578F685" w14:textId="77777777" w:rsidR="005541E9" w:rsidRPr="000706D1" w:rsidRDefault="005541E9" w:rsidP="005541E9">
      <w:pPr>
        <w:pStyle w:val="Heading3"/>
        <w:jc w:val="both"/>
        <w:rPr>
          <w:rFonts w:cs="Arial"/>
          <w:sz w:val="24"/>
          <w:szCs w:val="24"/>
        </w:rPr>
      </w:pPr>
      <w:bookmarkStart w:id="159" w:name="_Toc212473216"/>
      <w:r w:rsidRPr="000706D1">
        <w:rPr>
          <w:rFonts w:cs="Arial"/>
          <w:sz w:val="24"/>
          <w:szCs w:val="24"/>
        </w:rPr>
        <w:t>Audit Objectives and Control Testing</w:t>
      </w:r>
      <w:bookmarkEnd w:id="159"/>
    </w:p>
    <w:p w14:paraId="5C95FDFE" w14:textId="77777777" w:rsidR="005541E9" w:rsidRPr="00F00D94" w:rsidRDefault="005541E9" w:rsidP="005541E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13DE387" w14:textId="77777777" w:rsidR="005541E9" w:rsidRPr="00F00D94" w:rsidRDefault="005541E9" w:rsidP="005541E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E4E54E3" w14:textId="77777777" w:rsidR="005541E9"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5E1B4DB3" w14:textId="674492FF" w:rsidR="005541E9" w:rsidRDefault="00B82863" w:rsidP="00B82863">
      <w:pPr>
        <w:pStyle w:val="ListParagraph"/>
        <w:numPr>
          <w:ilvl w:val="0"/>
          <w:numId w:val="75"/>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B82863">
        <w:rPr>
          <w:rFonts w:ascii="Arial" w:hAnsi="Arial" w:cs="Arial"/>
          <w:iCs/>
        </w:rPr>
        <w:t>For the period under audit, determine whether the PHA tested for and remediated environmental contaminates, including but not limited to lead-based paint, radon gas, and mold to ensure that Public Housing met the physical condition standards for health and safety considerations set forth in 24 CFR section 5.703.</w:t>
      </w:r>
    </w:p>
    <w:p w14:paraId="1C37C530" w14:textId="3D7BFEF7" w:rsidR="00B82863" w:rsidRPr="00B82863" w:rsidRDefault="00B82863" w:rsidP="00B82863">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4A14BF">
        <w:rPr>
          <w:rFonts w:ascii="Arial" w:hAnsi="Arial" w:cs="Arial"/>
          <w:bCs/>
          <w:i/>
          <w:iCs/>
        </w:rPr>
        <w:t>(Source: 202</w:t>
      </w:r>
      <w:r>
        <w:rPr>
          <w:rFonts w:ascii="Arial" w:hAnsi="Arial" w:cs="Arial"/>
          <w:bCs/>
          <w:i/>
          <w:iCs/>
        </w:rPr>
        <w:t xml:space="preserve">5 </w:t>
      </w:r>
      <w:r w:rsidRPr="004A14BF">
        <w:rPr>
          <w:rFonts w:ascii="Arial" w:hAnsi="Arial" w:cs="Arial"/>
          <w:bCs/>
          <w:i/>
          <w:iCs/>
        </w:rPr>
        <w:t xml:space="preserve">OMB Compliance Supplement, Part 4, HUD, #14.850 </w:t>
      </w:r>
      <w:r>
        <w:rPr>
          <w:rFonts w:ascii="Arial" w:hAnsi="Arial" w:cs="Arial"/>
          <w:bCs/>
          <w:i/>
          <w:iCs/>
        </w:rPr>
        <w:t>Public Housing Operating Fund</w:t>
      </w:r>
      <w:r w:rsidRPr="004A14BF">
        <w:rPr>
          <w:rFonts w:ascii="Arial" w:hAnsi="Arial" w:cs="Arial"/>
          <w:bCs/>
          <w:i/>
          <w:iCs/>
        </w:rPr>
        <w:t>)</w:t>
      </w:r>
    </w:p>
    <w:p w14:paraId="5880AB09" w14:textId="77777777" w:rsidR="005541E9" w:rsidRPr="00634FA3" w:rsidRDefault="005541E9" w:rsidP="005541E9">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5541E9" w:rsidRPr="00F00D94" w14:paraId="05800A52" w14:textId="77777777" w:rsidTr="009F1483">
        <w:tc>
          <w:tcPr>
            <w:tcW w:w="5000" w:type="pct"/>
          </w:tcPr>
          <w:p w14:paraId="5B2E5E65" w14:textId="77777777" w:rsidR="005541E9" w:rsidRPr="006F5FFA" w:rsidRDefault="005541E9"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CE838A3" w14:textId="77777777" w:rsidR="005541E9" w:rsidRPr="00F00D94" w:rsidRDefault="005541E9"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3D186EE" w14:textId="77777777" w:rsidR="005541E9" w:rsidRPr="00F00D94" w:rsidRDefault="005541E9" w:rsidP="009F1483">
            <w:pPr>
              <w:pStyle w:val="AuditProcedureHeading"/>
              <w:spacing w:after="240"/>
              <w:jc w:val="both"/>
              <w:rPr>
                <w:rFonts w:cs="Arial"/>
                <w:b/>
                <w:bCs/>
                <w:szCs w:val="20"/>
                <w:u w:val="single"/>
              </w:rPr>
            </w:pPr>
          </w:p>
          <w:p w14:paraId="68321766" w14:textId="77777777" w:rsidR="005541E9" w:rsidRPr="00F00D94" w:rsidRDefault="005541E9"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4B89412" w14:textId="77777777" w:rsidR="005541E9" w:rsidRPr="00F00D94" w:rsidRDefault="005541E9" w:rsidP="009F1483">
            <w:pPr>
              <w:pStyle w:val="AuditProcedureHeading"/>
              <w:spacing w:after="240"/>
              <w:jc w:val="both"/>
              <w:rPr>
                <w:rFonts w:cs="Arial"/>
                <w:b/>
                <w:bCs/>
                <w:szCs w:val="20"/>
                <w:u w:val="single"/>
              </w:rPr>
            </w:pPr>
          </w:p>
          <w:p w14:paraId="18156596" w14:textId="77777777" w:rsidR="005541E9" w:rsidRPr="00F00D94" w:rsidRDefault="005541E9"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7E6E651" w14:textId="77777777" w:rsidR="005541E9" w:rsidRPr="00F00D94" w:rsidRDefault="005541E9" w:rsidP="009F1483">
            <w:pPr>
              <w:spacing w:after="240"/>
              <w:jc w:val="both"/>
              <w:rPr>
                <w:rFonts w:ascii="Arial" w:hAnsi="Arial" w:cs="Arial"/>
                <w:b/>
                <w:sz w:val="20"/>
                <w:u w:val="single"/>
              </w:rPr>
            </w:pPr>
          </w:p>
          <w:p w14:paraId="401E5518" w14:textId="77777777" w:rsidR="005541E9" w:rsidRPr="00F00D94" w:rsidRDefault="005541E9"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33EE0" w14:textId="77777777" w:rsidR="005541E9" w:rsidRPr="00C35E5F" w:rsidRDefault="005541E9" w:rsidP="009F1483">
            <w:pPr>
              <w:spacing w:after="240"/>
              <w:jc w:val="both"/>
              <w:rPr>
                <w:rFonts w:ascii="Arial" w:eastAsiaTheme="minorHAnsi" w:hAnsi="Arial" w:cs="Arial"/>
                <w:sz w:val="20"/>
                <w:szCs w:val="20"/>
              </w:rPr>
            </w:pPr>
          </w:p>
        </w:tc>
      </w:tr>
    </w:tbl>
    <w:p w14:paraId="1C189155" w14:textId="77777777" w:rsidR="005541E9" w:rsidRPr="00F00D94" w:rsidRDefault="005541E9" w:rsidP="005541E9">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758C1D6D" w14:textId="77777777" w:rsidR="005541E9" w:rsidRPr="000706D1" w:rsidRDefault="005541E9" w:rsidP="005541E9">
      <w:pPr>
        <w:pStyle w:val="Heading3"/>
        <w:jc w:val="both"/>
        <w:rPr>
          <w:rFonts w:cs="Arial"/>
          <w:sz w:val="24"/>
          <w:szCs w:val="24"/>
        </w:rPr>
      </w:pPr>
      <w:bookmarkStart w:id="160" w:name="_Toc212473217"/>
      <w:r w:rsidRPr="000706D1">
        <w:rPr>
          <w:rFonts w:cs="Arial"/>
          <w:sz w:val="24"/>
          <w:szCs w:val="24"/>
        </w:rPr>
        <w:lastRenderedPageBreak/>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60"/>
    </w:p>
    <w:tbl>
      <w:tblPr>
        <w:tblStyle w:val="TableGrid"/>
        <w:tblW w:w="9558" w:type="dxa"/>
        <w:tblLayout w:type="fixed"/>
        <w:tblLook w:val="04A0" w:firstRow="1" w:lastRow="0" w:firstColumn="1" w:lastColumn="0" w:noHBand="0" w:noVBand="1"/>
      </w:tblPr>
      <w:tblGrid>
        <w:gridCol w:w="9558"/>
      </w:tblGrid>
      <w:tr w:rsidR="005541E9" w:rsidRPr="00F00D94" w14:paraId="4D4F2440" w14:textId="77777777" w:rsidTr="009F1483">
        <w:tc>
          <w:tcPr>
            <w:tcW w:w="9558" w:type="dxa"/>
          </w:tcPr>
          <w:p w14:paraId="1B51DD9B" w14:textId="77777777" w:rsidR="005541E9" w:rsidRDefault="005541E9"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EAF324A" w14:textId="77777777" w:rsidR="005541E9" w:rsidRPr="00AC7B25" w:rsidRDefault="005541E9"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1DACE507" w14:textId="285A6C87" w:rsidR="00B82863" w:rsidRPr="00B82863" w:rsidRDefault="00B82863" w:rsidP="00B82863">
            <w:pPr>
              <w:spacing w:after="240"/>
              <w:ind w:left="703" w:hanging="630"/>
              <w:jc w:val="both"/>
              <w:rPr>
                <w:rFonts w:ascii="Arial" w:hAnsi="Arial" w:cs="Arial"/>
                <w:sz w:val="20"/>
              </w:rPr>
            </w:pPr>
            <w:r w:rsidRPr="00B82863">
              <w:rPr>
                <w:rFonts w:ascii="Arial" w:hAnsi="Arial" w:cs="Arial"/>
                <w:sz w:val="20"/>
              </w:rPr>
              <w:t>a.</w:t>
            </w:r>
            <w:r w:rsidRPr="00B82863">
              <w:rPr>
                <w:rFonts w:ascii="Arial" w:hAnsi="Arial" w:cs="Arial"/>
                <w:sz w:val="20"/>
              </w:rPr>
              <w:tab/>
              <w:t>Determine if any physical inspections, required environmental tests, and/or environmental remediation activities were performed for the period under audit.</w:t>
            </w:r>
          </w:p>
          <w:p w14:paraId="4751737F" w14:textId="5B2EA99D" w:rsidR="00B82863" w:rsidRPr="00B82863" w:rsidRDefault="00B82863" w:rsidP="00B82863">
            <w:pPr>
              <w:spacing w:after="240"/>
              <w:ind w:left="703" w:hanging="630"/>
              <w:jc w:val="both"/>
              <w:rPr>
                <w:rFonts w:ascii="Arial" w:hAnsi="Arial" w:cs="Arial"/>
                <w:sz w:val="20"/>
              </w:rPr>
            </w:pPr>
            <w:r w:rsidRPr="00B82863">
              <w:rPr>
                <w:rFonts w:ascii="Arial" w:hAnsi="Arial" w:cs="Arial"/>
                <w:sz w:val="20"/>
              </w:rPr>
              <w:t>b.</w:t>
            </w:r>
            <w:r w:rsidRPr="00B82863">
              <w:rPr>
                <w:rFonts w:ascii="Arial" w:hAnsi="Arial" w:cs="Arial"/>
                <w:sz w:val="20"/>
              </w:rPr>
              <w:tab/>
              <w:t>Obtain and read all reports identified from procedure a. and determine if any health and safety considerations were observed.</w:t>
            </w:r>
          </w:p>
          <w:p w14:paraId="1E3579EF" w14:textId="44B54601" w:rsidR="00B82863" w:rsidRPr="00B82863" w:rsidRDefault="00B82863" w:rsidP="00B82863">
            <w:pPr>
              <w:spacing w:after="240"/>
              <w:ind w:left="703" w:hanging="630"/>
              <w:jc w:val="both"/>
              <w:rPr>
                <w:rFonts w:ascii="Arial" w:hAnsi="Arial" w:cs="Arial"/>
                <w:sz w:val="20"/>
              </w:rPr>
            </w:pPr>
            <w:r w:rsidRPr="00B82863">
              <w:rPr>
                <w:rFonts w:ascii="Arial" w:hAnsi="Arial" w:cs="Arial"/>
                <w:sz w:val="20"/>
              </w:rPr>
              <w:t>c.</w:t>
            </w:r>
            <w:r w:rsidRPr="00B82863">
              <w:rPr>
                <w:rFonts w:ascii="Arial" w:hAnsi="Arial" w:cs="Arial"/>
                <w:sz w:val="20"/>
              </w:rPr>
              <w:tab/>
              <w:t>If so, determine if the PHA documented that they remediated the safety concern(s).</w:t>
            </w:r>
          </w:p>
          <w:p w14:paraId="12291674" w14:textId="04939926" w:rsidR="00B82863" w:rsidRPr="00B82863" w:rsidRDefault="00B82863" w:rsidP="00B82863">
            <w:pPr>
              <w:spacing w:after="240"/>
              <w:ind w:left="703" w:hanging="630"/>
              <w:jc w:val="both"/>
              <w:rPr>
                <w:rFonts w:ascii="Arial" w:hAnsi="Arial" w:cs="Arial"/>
                <w:sz w:val="20"/>
              </w:rPr>
            </w:pPr>
            <w:r w:rsidRPr="00B82863">
              <w:rPr>
                <w:rFonts w:ascii="Arial" w:hAnsi="Arial" w:cs="Arial"/>
                <w:sz w:val="20"/>
              </w:rPr>
              <w:t>d.</w:t>
            </w:r>
            <w:r w:rsidRPr="00B82863">
              <w:rPr>
                <w:rFonts w:ascii="Arial" w:hAnsi="Arial" w:cs="Arial"/>
                <w:sz w:val="20"/>
              </w:rPr>
              <w:tab/>
              <w:t>If no physical inspection or environmental testing was performed, record the status for each and determine whether the PHA identified in some other manner that a violation of the physical condition standards for health and safety considerations, set forth in 24 CFR section 5.703, occurred. And, if so, that the PHA documented that they remediated the safety concern.</w:t>
            </w:r>
          </w:p>
        </w:tc>
      </w:tr>
    </w:tbl>
    <w:p w14:paraId="702E895B" w14:textId="77777777" w:rsidR="005541E9" w:rsidRPr="00F00D94" w:rsidRDefault="005541E9" w:rsidP="005541E9">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4586DA8" w14:textId="77777777" w:rsidR="005541E9" w:rsidRPr="000706D1" w:rsidRDefault="005541E9" w:rsidP="005541E9">
      <w:pPr>
        <w:pStyle w:val="Heading3"/>
        <w:jc w:val="both"/>
        <w:rPr>
          <w:rFonts w:cs="Arial"/>
          <w:b w:val="0"/>
          <w:sz w:val="24"/>
          <w:szCs w:val="24"/>
        </w:rPr>
      </w:pPr>
      <w:bookmarkStart w:id="161" w:name="_Toc212473218"/>
      <w:r w:rsidRPr="000706D1">
        <w:rPr>
          <w:rFonts w:cs="Arial"/>
          <w:sz w:val="24"/>
          <w:szCs w:val="24"/>
        </w:rPr>
        <w:t>Audit Implications Summary</w:t>
      </w:r>
      <w:bookmarkEnd w:id="161"/>
    </w:p>
    <w:tbl>
      <w:tblPr>
        <w:tblStyle w:val="TableGrid"/>
        <w:tblW w:w="5000" w:type="pct"/>
        <w:tblLook w:val="04A0" w:firstRow="1" w:lastRow="0" w:firstColumn="1" w:lastColumn="0" w:noHBand="0" w:noVBand="1"/>
      </w:tblPr>
      <w:tblGrid>
        <w:gridCol w:w="9350"/>
      </w:tblGrid>
      <w:tr w:rsidR="005541E9" w:rsidRPr="00F00D94" w14:paraId="7E190401" w14:textId="77777777" w:rsidTr="009F1483">
        <w:tc>
          <w:tcPr>
            <w:tcW w:w="5000" w:type="pct"/>
          </w:tcPr>
          <w:p w14:paraId="0F739AC7" w14:textId="77777777" w:rsidR="005541E9" w:rsidRDefault="005541E9"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6105887A" w14:textId="77777777" w:rsidR="005541E9" w:rsidRPr="006E46AD" w:rsidRDefault="005541E9"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C519566" w14:textId="77777777" w:rsidR="005541E9" w:rsidRPr="006E46AD" w:rsidRDefault="005541E9" w:rsidP="00B82863">
            <w:pPr>
              <w:pStyle w:val="ListParagraph"/>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50DD452B" w14:textId="77777777" w:rsidR="005541E9" w:rsidRPr="006E46AD" w:rsidRDefault="005541E9" w:rsidP="009F1483">
            <w:pPr>
              <w:widowControl w:val="0"/>
              <w:spacing w:after="240"/>
              <w:ind w:left="720"/>
              <w:jc w:val="both"/>
              <w:rPr>
                <w:rFonts w:ascii="Arial" w:hAnsi="Arial" w:cs="Arial"/>
                <w:b/>
                <w:sz w:val="20"/>
                <w:szCs w:val="20"/>
              </w:rPr>
            </w:pPr>
          </w:p>
          <w:p w14:paraId="53B357AA" w14:textId="77777777" w:rsidR="005541E9" w:rsidRPr="006E46AD" w:rsidRDefault="005541E9" w:rsidP="00B82863">
            <w:pPr>
              <w:widowControl w:val="0"/>
              <w:numPr>
                <w:ilvl w:val="0"/>
                <w:numId w:val="7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236F4D1" w14:textId="77777777" w:rsidR="005541E9" w:rsidRPr="00F00D94" w:rsidRDefault="005541E9" w:rsidP="009F1483">
            <w:pPr>
              <w:pStyle w:val="ListParagraph"/>
              <w:spacing w:after="240"/>
              <w:jc w:val="both"/>
              <w:rPr>
                <w:rFonts w:ascii="Arial" w:hAnsi="Arial" w:cs="Arial"/>
                <w:b/>
              </w:rPr>
            </w:pPr>
          </w:p>
          <w:p w14:paraId="315ACA85" w14:textId="77777777" w:rsidR="005541E9" w:rsidRPr="00F00D94" w:rsidRDefault="005541E9" w:rsidP="00B82863">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3182CEF" w14:textId="77777777" w:rsidR="005541E9" w:rsidRPr="00F00D94" w:rsidRDefault="005541E9" w:rsidP="009F1483">
            <w:pPr>
              <w:pStyle w:val="ListParagraph"/>
              <w:spacing w:after="240"/>
              <w:jc w:val="both"/>
              <w:rPr>
                <w:rFonts w:ascii="Arial" w:hAnsi="Arial" w:cs="Arial"/>
                <w:b/>
              </w:rPr>
            </w:pPr>
          </w:p>
          <w:p w14:paraId="51806D6B" w14:textId="77777777" w:rsidR="005541E9" w:rsidRPr="00F00D94" w:rsidRDefault="005541E9" w:rsidP="00B82863">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6F27C3D" w14:textId="77777777" w:rsidR="005541E9" w:rsidRPr="00F00D94" w:rsidRDefault="005541E9" w:rsidP="009F1483">
            <w:pPr>
              <w:pStyle w:val="ListParagraph"/>
              <w:spacing w:after="240"/>
              <w:jc w:val="both"/>
              <w:rPr>
                <w:rFonts w:ascii="Arial" w:hAnsi="Arial" w:cs="Arial"/>
                <w:b/>
              </w:rPr>
            </w:pPr>
          </w:p>
          <w:p w14:paraId="5F94FCE3" w14:textId="77777777" w:rsidR="005541E9" w:rsidRPr="00F00D94" w:rsidRDefault="005541E9" w:rsidP="00B82863">
            <w:pPr>
              <w:widowControl w:val="0"/>
              <w:numPr>
                <w:ilvl w:val="0"/>
                <w:numId w:val="7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1B66A4D" w14:textId="77777777" w:rsidR="005541E9" w:rsidRPr="00F00D94" w:rsidRDefault="005541E9" w:rsidP="009F1483">
            <w:pPr>
              <w:pStyle w:val="APStepItem"/>
              <w:numPr>
                <w:ilvl w:val="0"/>
                <w:numId w:val="0"/>
              </w:numPr>
              <w:spacing w:after="240"/>
              <w:rPr>
                <w:rFonts w:cs="Arial"/>
                <w:b/>
              </w:rPr>
            </w:pPr>
          </w:p>
        </w:tc>
      </w:tr>
    </w:tbl>
    <w:p w14:paraId="44840514" w14:textId="77777777" w:rsidR="003A6024" w:rsidRDefault="003A6024" w:rsidP="003A6024">
      <w:pPr>
        <w:pStyle w:val="Heading2"/>
        <w:jc w:val="both"/>
        <w:rPr>
          <w:rFonts w:cs="Arial"/>
          <w:sz w:val="24"/>
        </w:rPr>
        <w:sectPr w:rsidR="003A6024" w:rsidSect="003A6024">
          <w:headerReference w:type="default" r:id="rId122"/>
          <w:pgSz w:w="12240" w:h="15840" w:code="1"/>
          <w:pgMar w:top="1440" w:right="1440" w:bottom="1440" w:left="1440" w:header="720" w:footer="720" w:gutter="0"/>
          <w:cols w:space="720"/>
          <w:docGrid w:linePitch="360"/>
        </w:sectPr>
      </w:pPr>
    </w:p>
    <w:p w14:paraId="315E9CE2" w14:textId="4F9C8420" w:rsidR="003A6024" w:rsidRPr="000706D1" w:rsidRDefault="003A6024" w:rsidP="003A6024">
      <w:pPr>
        <w:pStyle w:val="Heading2"/>
        <w:jc w:val="both"/>
        <w:rPr>
          <w:rFonts w:cs="Arial"/>
          <w:sz w:val="24"/>
        </w:rPr>
      </w:pPr>
      <w:bookmarkStart w:id="162" w:name="_Toc212473219"/>
      <w:r w:rsidRPr="000706D1">
        <w:rPr>
          <w:rFonts w:cs="Arial"/>
          <w:sz w:val="24"/>
        </w:rPr>
        <w:lastRenderedPageBreak/>
        <w:t>N</w:t>
      </w:r>
      <w:r w:rsidR="00174E6A">
        <w:rPr>
          <w:rFonts w:cs="Arial"/>
          <w:sz w:val="24"/>
        </w:rPr>
        <w:t>17</w:t>
      </w:r>
      <w:r w:rsidRPr="000706D1">
        <w:rPr>
          <w:rFonts w:cs="Arial"/>
          <w:sz w:val="24"/>
        </w:rPr>
        <w:t>.  SPECIAL TESTS AND PROVISIONS</w:t>
      </w:r>
      <w:r w:rsidR="00174E6A">
        <w:rPr>
          <w:rFonts w:cs="Arial"/>
          <w:sz w:val="24"/>
        </w:rPr>
        <w:t xml:space="preserve"> – UEL FORMULA (FORM 52722 OMB APPROVAL NO. 2577-0029)</w:t>
      </w:r>
      <w:bookmarkEnd w:id="162"/>
    </w:p>
    <w:p w14:paraId="15B56092" w14:textId="77777777" w:rsidR="003A6024" w:rsidRPr="000706D1" w:rsidRDefault="003A6024" w:rsidP="003A6024">
      <w:pPr>
        <w:pStyle w:val="Heading3"/>
        <w:jc w:val="both"/>
        <w:rPr>
          <w:rFonts w:cs="Arial"/>
          <w:sz w:val="24"/>
          <w:szCs w:val="24"/>
        </w:rPr>
      </w:pPr>
      <w:bookmarkStart w:id="163" w:name="_Toc212473220"/>
      <w:r w:rsidRPr="000706D1">
        <w:rPr>
          <w:rFonts w:cs="Arial"/>
          <w:sz w:val="24"/>
          <w:szCs w:val="24"/>
        </w:rPr>
        <w:t>OMB Compliance Requirements</w:t>
      </w:r>
      <w:bookmarkEnd w:id="163"/>
    </w:p>
    <w:p w14:paraId="6A468C0A" w14:textId="77777777" w:rsidR="003A6024" w:rsidRPr="005C1EBC"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2F775505"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10055E30" w14:textId="77777777" w:rsidR="003A6024" w:rsidRPr="00F00D94" w:rsidRDefault="003A6024" w:rsidP="003A6024">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8FB01D9" w14:textId="77777777" w:rsidR="003A6024" w:rsidRPr="000706D1" w:rsidRDefault="003A6024" w:rsidP="003A6024">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3BAC1331" w14:textId="3DA4D293" w:rsidR="00174E6A" w:rsidRPr="00174E6A" w:rsidRDefault="00174E6A" w:rsidP="00174E6A">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174E6A">
        <w:rPr>
          <w:rFonts w:ascii="Arial" w:hAnsi="Arial" w:cs="Arial"/>
          <w:bCs/>
        </w:rPr>
        <w:t>The Utility Expense Level (UEL) calculates the utility portion of the Operating Fund subsidy. The UEL is a primary component of the annual operating subsidy grant revenue provided to the PHAs. This compliance supplement requires testing of rolling base data. PHAs must retain such data pursuant to</w:t>
      </w:r>
      <w:r w:rsidR="00E6567C">
        <w:rPr>
          <w:rFonts w:ascii="Arial" w:hAnsi="Arial" w:cs="Arial"/>
          <w:bCs/>
        </w:rPr>
        <w:t xml:space="preserve"> </w:t>
      </w:r>
      <w:r w:rsidRPr="00174E6A">
        <w:rPr>
          <w:rFonts w:ascii="Arial" w:hAnsi="Arial" w:cs="Arial"/>
          <w:bCs/>
        </w:rPr>
        <w:t>990.325. PHAs receive invoices for utilities. The consumption and cost data from those invoices are aggregated in an Excel workbook or other platform, commonly referred to as a utility ledger. The aggregated data is transferred to Form 52722. The auditors should perform a random sample of each of the main utility types (gas, water/sewer, electric, etc.) to review the accuracy of the unit of measure, consumption, and cost data reported</w:t>
      </w:r>
      <w:r>
        <w:rPr>
          <w:rFonts w:ascii="Arial" w:hAnsi="Arial" w:cs="Arial"/>
          <w:bCs/>
        </w:rPr>
        <w:t xml:space="preserve"> </w:t>
      </w:r>
      <w:r w:rsidRPr="00174E6A">
        <w:rPr>
          <w:rFonts w:ascii="Arial" w:hAnsi="Arial" w:cs="Arial"/>
          <w:bCs/>
        </w:rPr>
        <w:t xml:space="preserve">on document Form </w:t>
      </w:r>
      <w:hyperlink r:id="rId123" w:history="1">
        <w:r w:rsidRPr="00174E6A">
          <w:rPr>
            <w:rStyle w:val="Hyperlink"/>
            <w:rFonts w:cs="Arial"/>
            <w:bCs/>
          </w:rPr>
          <w:t>52722</w:t>
        </w:r>
      </w:hyperlink>
      <w:r>
        <w:rPr>
          <w:rFonts w:ascii="Arial" w:hAnsi="Arial" w:cs="Arial"/>
          <w:bCs/>
        </w:rPr>
        <w:t>.</w:t>
      </w:r>
    </w:p>
    <w:p w14:paraId="014CD3D6" w14:textId="2AE7596D" w:rsidR="003A6024" w:rsidRPr="00174E6A" w:rsidRDefault="00174E6A" w:rsidP="00174E6A">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7B6759A2" w14:textId="77777777" w:rsidR="003A6024" w:rsidRPr="000706D1" w:rsidRDefault="003A6024" w:rsidP="003A6024">
      <w:pPr>
        <w:pStyle w:val="Heading3"/>
        <w:jc w:val="both"/>
        <w:rPr>
          <w:rFonts w:cs="Arial"/>
          <w:sz w:val="24"/>
          <w:szCs w:val="24"/>
        </w:rPr>
      </w:pPr>
      <w:bookmarkStart w:id="164" w:name="_Toc212473221"/>
      <w:r w:rsidRPr="000706D1">
        <w:rPr>
          <w:rFonts w:cs="Arial"/>
          <w:sz w:val="24"/>
          <w:szCs w:val="24"/>
        </w:rPr>
        <w:t>Additional Program Specific Information</w:t>
      </w:r>
      <w:bookmarkEnd w:id="164"/>
    </w:p>
    <w:p w14:paraId="46E69217" w14:textId="77777777" w:rsidR="003A6024" w:rsidRPr="00AA5B05" w:rsidRDefault="003A6024" w:rsidP="003A6024">
      <w:pPr>
        <w:spacing w:after="240"/>
        <w:jc w:val="both"/>
        <w:rPr>
          <w:rFonts w:ascii="Arial" w:hAnsi="Arial" w:cs="Arial"/>
          <w:b/>
          <w:highlight w:val="yellow"/>
        </w:rPr>
      </w:pPr>
      <w:r w:rsidRPr="00AA5B05">
        <w:rPr>
          <w:rFonts w:ascii="Arial" w:hAnsi="Arial" w:cs="Arial"/>
          <w:b/>
          <w:highlight w:val="yellow"/>
        </w:rPr>
        <w:t>Add program specific requirements from:</w:t>
      </w:r>
    </w:p>
    <w:p w14:paraId="167F5380"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DB3127E" w14:textId="77777777" w:rsidR="003A6024" w:rsidRPr="00AA5B05" w:rsidRDefault="003A6024" w:rsidP="003A6024">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9D94011"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2E7BB347" w14:textId="77777777" w:rsidR="003A6024" w:rsidRPr="00AA5B05" w:rsidRDefault="003A6024" w:rsidP="003A6024">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A99823C" w14:textId="77777777" w:rsidR="003A6024" w:rsidRPr="000706D1" w:rsidRDefault="003A6024" w:rsidP="003A6024">
      <w:pPr>
        <w:pStyle w:val="Heading3"/>
        <w:jc w:val="both"/>
        <w:rPr>
          <w:rFonts w:cs="Arial"/>
          <w:sz w:val="24"/>
          <w:szCs w:val="24"/>
        </w:rPr>
      </w:pPr>
      <w:bookmarkStart w:id="165" w:name="_Toc212473222"/>
      <w:r w:rsidRPr="000706D1">
        <w:rPr>
          <w:rFonts w:cs="Arial"/>
          <w:sz w:val="24"/>
          <w:szCs w:val="24"/>
        </w:rPr>
        <w:lastRenderedPageBreak/>
        <w:t>Audit Objectives and Control Testing</w:t>
      </w:r>
      <w:bookmarkEnd w:id="165"/>
    </w:p>
    <w:p w14:paraId="4E2610A9" w14:textId="77777777" w:rsidR="003A6024" w:rsidRPr="00F00D94" w:rsidRDefault="003A6024" w:rsidP="003A602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55A0D92" w14:textId="77777777" w:rsidR="003A6024" w:rsidRPr="00F00D94" w:rsidRDefault="003A6024" w:rsidP="003A602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AC75C47" w14:textId="77777777" w:rsidR="003A602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1D2BD926" w14:textId="13776826" w:rsidR="003A6024" w:rsidRDefault="00174E6A" w:rsidP="00174E6A">
      <w:pPr>
        <w:pStyle w:val="ListParagraph"/>
        <w:numPr>
          <w:ilvl w:val="0"/>
          <w:numId w:val="77"/>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74E6A">
        <w:rPr>
          <w:rFonts w:ascii="Arial" w:hAnsi="Arial" w:cs="Arial"/>
          <w:iCs/>
        </w:rPr>
        <w:t>Determine if the HUD document Form 52722 accurately reflects all current and historic utility costs and consumption. Verify that all needed adjustments due to changing units of measurement and eligible unit months have been accurately completed. Complete a trend analysis that identifies any abnormal variances of the historic utility data, including the cost and consumption.</w:t>
      </w:r>
    </w:p>
    <w:p w14:paraId="6B58DB02" w14:textId="79F91C8C" w:rsidR="00174E6A" w:rsidRPr="00174E6A" w:rsidRDefault="00174E6A" w:rsidP="00174E6A">
      <w:pPr>
        <w:spacing w:after="240"/>
        <w:jc w:val="both"/>
        <w:rPr>
          <w:rFonts w:ascii="Arial" w:hAnsi="Arial" w:cs="Arial"/>
          <w:bCs/>
          <w:i/>
          <w:iCs/>
        </w:rPr>
      </w:pPr>
      <w:r w:rsidRPr="00174E6A">
        <w:rPr>
          <w:rFonts w:ascii="Arial" w:hAnsi="Arial" w:cs="Arial"/>
          <w:bCs/>
          <w:i/>
          <w:iCs/>
        </w:rPr>
        <w:t>(Source: 202</w:t>
      </w:r>
      <w:r>
        <w:rPr>
          <w:rFonts w:ascii="Arial" w:hAnsi="Arial" w:cs="Arial"/>
          <w:bCs/>
          <w:i/>
          <w:iCs/>
        </w:rPr>
        <w:t>5</w:t>
      </w:r>
      <w:r w:rsidRPr="00174E6A">
        <w:rPr>
          <w:rFonts w:ascii="Arial" w:hAnsi="Arial" w:cs="Arial"/>
          <w:bCs/>
          <w:i/>
          <w:iCs/>
        </w:rPr>
        <w:t xml:space="preserve"> OMB Compliance Supplement, Part 4, HUD, #14.850 Public Housing Operating Fund)</w:t>
      </w:r>
    </w:p>
    <w:p w14:paraId="363659FA" w14:textId="77777777" w:rsidR="003A6024" w:rsidRPr="00634FA3" w:rsidRDefault="003A6024" w:rsidP="003A6024">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A6024" w:rsidRPr="00F00D94" w14:paraId="6ACB9BF7" w14:textId="77777777" w:rsidTr="009F1483">
        <w:tc>
          <w:tcPr>
            <w:tcW w:w="5000" w:type="pct"/>
          </w:tcPr>
          <w:p w14:paraId="5E26971F" w14:textId="77777777" w:rsidR="003A6024" w:rsidRPr="006F5FFA" w:rsidRDefault="003A6024"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9806F29"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F3524C7" w14:textId="77777777" w:rsidR="003A6024" w:rsidRPr="00F00D94" w:rsidRDefault="003A6024" w:rsidP="009F1483">
            <w:pPr>
              <w:pStyle w:val="AuditProcedureHeading"/>
              <w:spacing w:after="240"/>
              <w:jc w:val="both"/>
              <w:rPr>
                <w:rFonts w:cs="Arial"/>
                <w:b/>
                <w:bCs/>
                <w:szCs w:val="20"/>
                <w:u w:val="single"/>
              </w:rPr>
            </w:pPr>
          </w:p>
          <w:p w14:paraId="54D0B890" w14:textId="77777777" w:rsidR="003A6024" w:rsidRPr="00F00D94" w:rsidRDefault="003A6024"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6455715" w14:textId="77777777" w:rsidR="003A6024" w:rsidRPr="00F00D94" w:rsidRDefault="003A6024" w:rsidP="009F1483">
            <w:pPr>
              <w:pStyle w:val="AuditProcedureHeading"/>
              <w:spacing w:after="240"/>
              <w:jc w:val="both"/>
              <w:rPr>
                <w:rFonts w:cs="Arial"/>
                <w:b/>
                <w:bCs/>
                <w:szCs w:val="20"/>
                <w:u w:val="single"/>
              </w:rPr>
            </w:pPr>
          </w:p>
          <w:p w14:paraId="0D2ABA9E"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B45E7C9" w14:textId="77777777" w:rsidR="003A6024" w:rsidRPr="00F00D94" w:rsidRDefault="003A6024" w:rsidP="009F1483">
            <w:pPr>
              <w:spacing w:after="240"/>
              <w:jc w:val="both"/>
              <w:rPr>
                <w:rFonts w:ascii="Arial" w:hAnsi="Arial" w:cs="Arial"/>
                <w:b/>
                <w:sz w:val="20"/>
                <w:u w:val="single"/>
              </w:rPr>
            </w:pPr>
          </w:p>
          <w:p w14:paraId="03D9E031" w14:textId="77777777" w:rsidR="003A6024" w:rsidRPr="00F00D94" w:rsidRDefault="003A6024"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87A66EE" w14:textId="77777777" w:rsidR="003A6024" w:rsidRPr="00C35E5F" w:rsidRDefault="003A6024" w:rsidP="009F1483">
            <w:pPr>
              <w:spacing w:after="240"/>
              <w:jc w:val="both"/>
              <w:rPr>
                <w:rFonts w:ascii="Arial" w:eastAsiaTheme="minorHAnsi" w:hAnsi="Arial" w:cs="Arial"/>
                <w:sz w:val="20"/>
                <w:szCs w:val="20"/>
              </w:rPr>
            </w:pPr>
          </w:p>
        </w:tc>
      </w:tr>
    </w:tbl>
    <w:p w14:paraId="202B34F7"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49BA04D" w14:textId="77777777" w:rsidR="003A6024" w:rsidRPr="000706D1" w:rsidRDefault="003A6024" w:rsidP="003A6024">
      <w:pPr>
        <w:pStyle w:val="Heading3"/>
        <w:jc w:val="both"/>
        <w:rPr>
          <w:rFonts w:cs="Arial"/>
          <w:sz w:val="24"/>
          <w:szCs w:val="24"/>
        </w:rPr>
      </w:pPr>
      <w:bookmarkStart w:id="166" w:name="_Toc21247322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66"/>
    </w:p>
    <w:tbl>
      <w:tblPr>
        <w:tblStyle w:val="TableGrid"/>
        <w:tblW w:w="9558" w:type="dxa"/>
        <w:tblLayout w:type="fixed"/>
        <w:tblLook w:val="04A0" w:firstRow="1" w:lastRow="0" w:firstColumn="1" w:lastColumn="0" w:noHBand="0" w:noVBand="1"/>
      </w:tblPr>
      <w:tblGrid>
        <w:gridCol w:w="9558"/>
      </w:tblGrid>
      <w:tr w:rsidR="003A6024" w:rsidRPr="00F00D94" w14:paraId="6AA98D0F" w14:textId="77777777" w:rsidTr="009F1483">
        <w:tc>
          <w:tcPr>
            <w:tcW w:w="9558" w:type="dxa"/>
          </w:tcPr>
          <w:p w14:paraId="51618921" w14:textId="77777777" w:rsidR="003A6024" w:rsidRDefault="003A6024"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5D6AB0E" w14:textId="77777777" w:rsidR="003A6024" w:rsidRPr="00AC7B25" w:rsidRDefault="003A6024"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1DD08972" w14:textId="03C5A08A" w:rsidR="00174E6A"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t>Verify the consumption unit of measure is consistent on Form 52722 (i.e., the utility ledger and the utility invoice (bill)) (Section 2-line 01a on Form</w:t>
            </w:r>
            <w:r w:rsidRPr="00A42A45">
              <w:rPr>
                <w:rFonts w:ascii="Arial" w:hAnsi="Arial" w:cs="Arial"/>
                <w:spacing w:val="-25"/>
                <w:sz w:val="20"/>
                <w:szCs w:val="20"/>
              </w:rPr>
              <w:t xml:space="preserve"> </w:t>
            </w:r>
            <w:r w:rsidRPr="00A42A45">
              <w:rPr>
                <w:rFonts w:ascii="Arial" w:hAnsi="Arial" w:cs="Arial"/>
                <w:sz w:val="20"/>
                <w:szCs w:val="20"/>
              </w:rPr>
              <w:t>52722).</w:t>
            </w:r>
          </w:p>
          <w:p w14:paraId="6F527CC7" w14:textId="77777777" w:rsidR="00174E6A" w:rsidRPr="00174E6A" w:rsidRDefault="00174E6A" w:rsidP="00174E6A">
            <w:pPr>
              <w:pStyle w:val="ListParagraph"/>
              <w:widowControl w:val="0"/>
              <w:tabs>
                <w:tab w:val="left" w:pos="720"/>
              </w:tabs>
              <w:suppressAutoHyphens w:val="0"/>
              <w:adjustRightInd/>
              <w:jc w:val="both"/>
              <w:rPr>
                <w:rFonts w:ascii="Arial" w:hAnsi="Arial" w:cs="Arial"/>
                <w:sz w:val="20"/>
                <w:szCs w:val="20"/>
              </w:rPr>
            </w:pPr>
          </w:p>
          <w:p w14:paraId="79F522EE" w14:textId="55209390" w:rsidR="00174E6A"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lastRenderedPageBreak/>
              <w:t>Test</w:t>
            </w:r>
            <w:r w:rsidRPr="00A42A45">
              <w:rPr>
                <w:rFonts w:ascii="Arial" w:hAnsi="Arial" w:cs="Arial"/>
                <w:spacing w:val="-6"/>
                <w:sz w:val="20"/>
                <w:szCs w:val="20"/>
              </w:rPr>
              <w:t xml:space="preserve"> </w:t>
            </w:r>
            <w:r w:rsidRPr="00A42A45">
              <w:rPr>
                <w:rFonts w:ascii="Arial" w:hAnsi="Arial" w:cs="Arial"/>
                <w:sz w:val="20"/>
                <w:szCs w:val="20"/>
              </w:rPr>
              <w:t>a</w:t>
            </w:r>
            <w:r w:rsidRPr="00A42A45">
              <w:rPr>
                <w:rFonts w:ascii="Arial" w:hAnsi="Arial" w:cs="Arial"/>
                <w:spacing w:val="-7"/>
                <w:sz w:val="20"/>
                <w:szCs w:val="20"/>
              </w:rPr>
              <w:t xml:space="preserve"> </w:t>
            </w:r>
            <w:r w:rsidRPr="00A42A45">
              <w:rPr>
                <w:rFonts w:ascii="Arial" w:hAnsi="Arial" w:cs="Arial"/>
                <w:sz w:val="20"/>
                <w:szCs w:val="20"/>
              </w:rPr>
              <w:t>sample</w:t>
            </w:r>
            <w:r w:rsidRPr="00A42A45">
              <w:rPr>
                <w:rFonts w:ascii="Arial" w:hAnsi="Arial" w:cs="Arial"/>
                <w:spacing w:val="-7"/>
                <w:sz w:val="20"/>
                <w:szCs w:val="20"/>
              </w:rPr>
              <w:t xml:space="preserve"> </w:t>
            </w:r>
            <w:r w:rsidRPr="00A42A45">
              <w:rPr>
                <w:rFonts w:ascii="Arial" w:hAnsi="Arial" w:cs="Arial"/>
                <w:sz w:val="20"/>
                <w:szCs w:val="20"/>
              </w:rPr>
              <w:t>of</w:t>
            </w:r>
            <w:r w:rsidRPr="00A42A45">
              <w:rPr>
                <w:rFonts w:ascii="Arial" w:hAnsi="Arial" w:cs="Arial"/>
                <w:spacing w:val="-6"/>
                <w:sz w:val="20"/>
                <w:szCs w:val="20"/>
              </w:rPr>
              <w:t xml:space="preserve"> </w:t>
            </w:r>
            <w:r w:rsidRPr="00A42A45">
              <w:rPr>
                <w:rFonts w:ascii="Arial" w:hAnsi="Arial" w:cs="Arial"/>
                <w:sz w:val="20"/>
                <w:szCs w:val="20"/>
              </w:rPr>
              <w:t>invoices</w:t>
            </w:r>
            <w:r w:rsidRPr="00A42A45">
              <w:rPr>
                <w:rFonts w:ascii="Arial" w:hAnsi="Arial" w:cs="Arial"/>
                <w:spacing w:val="-7"/>
                <w:sz w:val="20"/>
                <w:szCs w:val="20"/>
              </w:rPr>
              <w:t xml:space="preserve"> </w:t>
            </w:r>
            <w:r w:rsidRPr="00A42A45">
              <w:rPr>
                <w:rFonts w:ascii="Arial" w:hAnsi="Arial" w:cs="Arial"/>
                <w:sz w:val="20"/>
                <w:szCs w:val="20"/>
              </w:rPr>
              <w:t>to</w:t>
            </w:r>
            <w:r w:rsidRPr="00A42A45">
              <w:rPr>
                <w:rFonts w:ascii="Arial" w:hAnsi="Arial" w:cs="Arial"/>
                <w:spacing w:val="-6"/>
                <w:sz w:val="20"/>
                <w:szCs w:val="20"/>
              </w:rPr>
              <w:t xml:space="preserve"> </w:t>
            </w:r>
            <w:r w:rsidRPr="00A42A45">
              <w:rPr>
                <w:rFonts w:ascii="Arial" w:hAnsi="Arial" w:cs="Arial"/>
                <w:sz w:val="20"/>
                <w:szCs w:val="20"/>
              </w:rPr>
              <w:t>ensure</w:t>
            </w:r>
            <w:r w:rsidRPr="00A42A45">
              <w:rPr>
                <w:rFonts w:ascii="Arial" w:hAnsi="Arial" w:cs="Arial"/>
                <w:spacing w:val="-5"/>
                <w:sz w:val="20"/>
                <w:szCs w:val="20"/>
              </w:rPr>
              <w:t xml:space="preserve"> </w:t>
            </w:r>
            <w:r w:rsidRPr="00A42A45">
              <w:rPr>
                <w:rFonts w:ascii="Arial" w:hAnsi="Arial" w:cs="Arial"/>
                <w:sz w:val="20"/>
                <w:szCs w:val="20"/>
              </w:rPr>
              <w:t>the</w:t>
            </w:r>
            <w:r w:rsidRPr="00A42A45">
              <w:rPr>
                <w:rFonts w:ascii="Arial" w:hAnsi="Arial" w:cs="Arial"/>
                <w:spacing w:val="-5"/>
                <w:sz w:val="20"/>
                <w:szCs w:val="20"/>
              </w:rPr>
              <w:t xml:space="preserve"> </w:t>
            </w:r>
            <w:r w:rsidRPr="00A42A45">
              <w:rPr>
                <w:rFonts w:ascii="Arial" w:hAnsi="Arial" w:cs="Arial"/>
                <w:sz w:val="20"/>
                <w:szCs w:val="20"/>
              </w:rPr>
              <w:t>actual</w:t>
            </w:r>
            <w:r w:rsidRPr="00A42A45">
              <w:rPr>
                <w:rFonts w:ascii="Arial" w:hAnsi="Arial" w:cs="Arial"/>
                <w:spacing w:val="-2"/>
                <w:sz w:val="20"/>
                <w:szCs w:val="20"/>
              </w:rPr>
              <w:t xml:space="preserve"> </w:t>
            </w:r>
            <w:r w:rsidRPr="00A42A45">
              <w:rPr>
                <w:rFonts w:ascii="Arial" w:hAnsi="Arial" w:cs="Arial"/>
                <w:sz w:val="20"/>
                <w:szCs w:val="20"/>
              </w:rPr>
              <w:t>consumption</w:t>
            </w:r>
            <w:r w:rsidRPr="00A42A45">
              <w:rPr>
                <w:rFonts w:ascii="Arial" w:hAnsi="Arial" w:cs="Arial"/>
                <w:spacing w:val="-3"/>
                <w:sz w:val="20"/>
                <w:szCs w:val="20"/>
              </w:rPr>
              <w:t xml:space="preserve"> </w:t>
            </w:r>
            <w:r w:rsidRPr="00A42A45">
              <w:rPr>
                <w:rFonts w:ascii="Arial" w:hAnsi="Arial" w:cs="Arial"/>
                <w:sz w:val="20"/>
                <w:szCs w:val="20"/>
              </w:rPr>
              <w:t>ties</w:t>
            </w:r>
            <w:r w:rsidRPr="00A42A45">
              <w:rPr>
                <w:rFonts w:ascii="Arial" w:hAnsi="Arial" w:cs="Arial"/>
                <w:spacing w:val="-2"/>
                <w:sz w:val="20"/>
                <w:szCs w:val="20"/>
              </w:rPr>
              <w:t xml:space="preserve"> </w:t>
            </w:r>
            <w:r w:rsidRPr="00A42A45">
              <w:rPr>
                <w:rFonts w:ascii="Arial" w:hAnsi="Arial" w:cs="Arial"/>
                <w:sz w:val="20"/>
                <w:szCs w:val="20"/>
              </w:rPr>
              <w:t>to</w:t>
            </w:r>
            <w:r w:rsidRPr="00A42A45">
              <w:rPr>
                <w:rFonts w:ascii="Arial" w:hAnsi="Arial" w:cs="Arial"/>
                <w:spacing w:val="-1"/>
                <w:sz w:val="20"/>
                <w:szCs w:val="20"/>
              </w:rPr>
              <w:t xml:space="preserve"> </w:t>
            </w:r>
            <w:r w:rsidRPr="00A42A45">
              <w:rPr>
                <w:rFonts w:ascii="Arial" w:hAnsi="Arial" w:cs="Arial"/>
                <w:sz w:val="20"/>
                <w:szCs w:val="20"/>
              </w:rPr>
              <w:t>the</w:t>
            </w:r>
            <w:r w:rsidRPr="00A42A45">
              <w:rPr>
                <w:rFonts w:ascii="Arial" w:hAnsi="Arial" w:cs="Arial"/>
                <w:spacing w:val="-2"/>
                <w:sz w:val="20"/>
                <w:szCs w:val="20"/>
              </w:rPr>
              <w:t xml:space="preserve"> </w:t>
            </w:r>
            <w:r w:rsidRPr="00A42A45">
              <w:rPr>
                <w:rFonts w:ascii="Arial" w:hAnsi="Arial" w:cs="Arial"/>
                <w:sz w:val="20"/>
                <w:szCs w:val="20"/>
              </w:rPr>
              <w:t>utility ledger.</w:t>
            </w:r>
          </w:p>
          <w:p w14:paraId="09FC31C6" w14:textId="77777777" w:rsidR="00174E6A" w:rsidRPr="00174E6A" w:rsidRDefault="00174E6A" w:rsidP="00174E6A">
            <w:pPr>
              <w:widowControl w:val="0"/>
              <w:tabs>
                <w:tab w:val="left" w:pos="720"/>
              </w:tabs>
              <w:jc w:val="both"/>
              <w:rPr>
                <w:rFonts w:ascii="Arial" w:hAnsi="Arial" w:cs="Arial"/>
              </w:rPr>
            </w:pPr>
          </w:p>
          <w:p w14:paraId="4E8DA056" w14:textId="11C07507" w:rsidR="00174E6A"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t>Test</w:t>
            </w:r>
            <w:r w:rsidRPr="00A42A45">
              <w:rPr>
                <w:rFonts w:ascii="Arial" w:hAnsi="Arial" w:cs="Arial"/>
                <w:spacing w:val="-5"/>
                <w:sz w:val="20"/>
                <w:szCs w:val="20"/>
              </w:rPr>
              <w:t xml:space="preserve"> </w:t>
            </w:r>
            <w:r w:rsidRPr="00A42A45">
              <w:rPr>
                <w:rFonts w:ascii="Arial" w:hAnsi="Arial" w:cs="Arial"/>
                <w:sz w:val="20"/>
                <w:szCs w:val="20"/>
              </w:rPr>
              <w:t>the</w:t>
            </w:r>
            <w:r w:rsidRPr="00A42A45">
              <w:rPr>
                <w:rFonts w:ascii="Arial" w:hAnsi="Arial" w:cs="Arial"/>
                <w:spacing w:val="-4"/>
                <w:sz w:val="20"/>
                <w:szCs w:val="20"/>
              </w:rPr>
              <w:t xml:space="preserve"> </w:t>
            </w:r>
            <w:r w:rsidRPr="00A42A45">
              <w:rPr>
                <w:rFonts w:ascii="Arial" w:hAnsi="Arial" w:cs="Arial"/>
                <w:sz w:val="20"/>
                <w:szCs w:val="20"/>
              </w:rPr>
              <w:t>aggregated</w:t>
            </w:r>
            <w:r w:rsidRPr="00A42A45">
              <w:rPr>
                <w:rFonts w:ascii="Arial" w:hAnsi="Arial" w:cs="Arial"/>
                <w:spacing w:val="-5"/>
                <w:sz w:val="20"/>
                <w:szCs w:val="20"/>
              </w:rPr>
              <w:t xml:space="preserve"> consumption</w:t>
            </w:r>
            <w:r w:rsidRPr="00A42A45">
              <w:rPr>
                <w:rFonts w:ascii="Arial" w:hAnsi="Arial" w:cs="Arial"/>
                <w:spacing w:val="-8"/>
                <w:sz w:val="20"/>
                <w:szCs w:val="20"/>
              </w:rPr>
              <w:t xml:space="preserve"> </w:t>
            </w:r>
            <w:r w:rsidRPr="00A42A45">
              <w:rPr>
                <w:rFonts w:ascii="Arial" w:hAnsi="Arial" w:cs="Arial"/>
                <w:sz w:val="20"/>
                <w:szCs w:val="20"/>
              </w:rPr>
              <w:t>on</w:t>
            </w:r>
            <w:r w:rsidRPr="00A42A45">
              <w:rPr>
                <w:rFonts w:ascii="Arial" w:hAnsi="Arial" w:cs="Arial"/>
                <w:spacing w:val="-5"/>
                <w:sz w:val="20"/>
                <w:szCs w:val="20"/>
              </w:rPr>
              <w:t xml:space="preserve"> </w:t>
            </w:r>
            <w:r w:rsidRPr="00A42A45">
              <w:rPr>
                <w:rFonts w:ascii="Arial" w:hAnsi="Arial" w:cs="Arial"/>
                <w:sz w:val="20"/>
                <w:szCs w:val="20"/>
              </w:rPr>
              <w:t>the</w:t>
            </w:r>
            <w:r w:rsidRPr="00A42A45">
              <w:rPr>
                <w:rFonts w:ascii="Arial" w:hAnsi="Arial" w:cs="Arial"/>
                <w:spacing w:val="-5"/>
                <w:sz w:val="20"/>
                <w:szCs w:val="20"/>
              </w:rPr>
              <w:t xml:space="preserve"> </w:t>
            </w:r>
            <w:r w:rsidRPr="00A42A45">
              <w:rPr>
                <w:rFonts w:ascii="Arial" w:hAnsi="Arial" w:cs="Arial"/>
                <w:sz w:val="20"/>
                <w:szCs w:val="20"/>
              </w:rPr>
              <w:t>utility</w:t>
            </w:r>
            <w:r w:rsidRPr="00A42A45">
              <w:rPr>
                <w:rFonts w:ascii="Arial" w:hAnsi="Arial" w:cs="Arial"/>
                <w:spacing w:val="-5"/>
                <w:sz w:val="20"/>
                <w:szCs w:val="20"/>
              </w:rPr>
              <w:t xml:space="preserve"> </w:t>
            </w:r>
            <w:r w:rsidRPr="00A42A45">
              <w:rPr>
                <w:rFonts w:ascii="Arial" w:hAnsi="Arial" w:cs="Arial"/>
                <w:sz w:val="20"/>
                <w:szCs w:val="20"/>
              </w:rPr>
              <w:t>ledger</w:t>
            </w:r>
            <w:r w:rsidRPr="00A42A45">
              <w:rPr>
                <w:rFonts w:ascii="Arial" w:hAnsi="Arial" w:cs="Arial"/>
                <w:spacing w:val="-5"/>
                <w:sz w:val="20"/>
                <w:szCs w:val="20"/>
              </w:rPr>
              <w:t xml:space="preserve"> </w:t>
            </w:r>
            <w:r w:rsidRPr="00A42A45">
              <w:rPr>
                <w:rFonts w:ascii="Arial" w:hAnsi="Arial" w:cs="Arial"/>
                <w:sz w:val="20"/>
                <w:szCs w:val="20"/>
              </w:rPr>
              <w:t>to</w:t>
            </w:r>
            <w:r w:rsidRPr="00A42A45">
              <w:rPr>
                <w:rFonts w:ascii="Arial" w:hAnsi="Arial" w:cs="Arial"/>
                <w:spacing w:val="-2"/>
                <w:sz w:val="20"/>
                <w:szCs w:val="20"/>
              </w:rPr>
              <w:t xml:space="preserve"> </w:t>
            </w:r>
            <w:r w:rsidRPr="00A42A45">
              <w:rPr>
                <w:rFonts w:ascii="Arial" w:hAnsi="Arial" w:cs="Arial"/>
                <w:sz w:val="20"/>
                <w:szCs w:val="20"/>
              </w:rPr>
              <w:t>ensure</w:t>
            </w:r>
            <w:r w:rsidRPr="00A42A45">
              <w:rPr>
                <w:rFonts w:ascii="Arial" w:hAnsi="Arial" w:cs="Arial"/>
                <w:spacing w:val="-1"/>
                <w:sz w:val="20"/>
                <w:szCs w:val="20"/>
              </w:rPr>
              <w:t xml:space="preserve"> </w:t>
            </w:r>
            <w:r w:rsidRPr="00A42A45">
              <w:rPr>
                <w:rFonts w:ascii="Arial" w:hAnsi="Arial" w:cs="Arial"/>
                <w:sz w:val="20"/>
                <w:szCs w:val="20"/>
              </w:rPr>
              <w:t>it</w:t>
            </w:r>
            <w:r w:rsidRPr="00A42A45">
              <w:rPr>
                <w:rFonts w:ascii="Arial" w:hAnsi="Arial" w:cs="Arial"/>
                <w:spacing w:val="-1"/>
                <w:sz w:val="20"/>
                <w:szCs w:val="20"/>
              </w:rPr>
              <w:t xml:space="preserve"> </w:t>
            </w:r>
            <w:r w:rsidRPr="00A42A45">
              <w:rPr>
                <w:rFonts w:ascii="Arial" w:hAnsi="Arial" w:cs="Arial"/>
                <w:sz w:val="20"/>
                <w:szCs w:val="20"/>
              </w:rPr>
              <w:t>ties</w:t>
            </w:r>
            <w:r w:rsidRPr="00A42A45">
              <w:rPr>
                <w:rFonts w:ascii="Arial" w:hAnsi="Arial" w:cs="Arial"/>
                <w:spacing w:val="-1"/>
                <w:sz w:val="20"/>
                <w:szCs w:val="20"/>
              </w:rPr>
              <w:t xml:space="preserve"> </w:t>
            </w:r>
            <w:r w:rsidRPr="00A42A45">
              <w:rPr>
                <w:rFonts w:ascii="Arial" w:hAnsi="Arial" w:cs="Arial"/>
                <w:sz w:val="20"/>
                <w:szCs w:val="20"/>
              </w:rPr>
              <w:t>to</w:t>
            </w:r>
            <w:r w:rsidRPr="00A42A45">
              <w:rPr>
                <w:rFonts w:ascii="Arial" w:hAnsi="Arial" w:cs="Arial"/>
                <w:spacing w:val="-2"/>
                <w:sz w:val="20"/>
                <w:szCs w:val="20"/>
              </w:rPr>
              <w:t xml:space="preserve"> </w:t>
            </w:r>
            <w:r w:rsidRPr="00A42A45">
              <w:rPr>
                <w:rFonts w:ascii="Arial" w:hAnsi="Arial" w:cs="Arial"/>
                <w:sz w:val="20"/>
                <w:szCs w:val="20"/>
              </w:rPr>
              <w:t>Section 2- line 01 of Form</w:t>
            </w:r>
            <w:r w:rsidRPr="00A42A45">
              <w:rPr>
                <w:rFonts w:ascii="Arial" w:hAnsi="Arial" w:cs="Arial"/>
                <w:spacing w:val="-1"/>
                <w:sz w:val="20"/>
                <w:szCs w:val="20"/>
              </w:rPr>
              <w:t xml:space="preserve"> </w:t>
            </w:r>
            <w:r w:rsidRPr="00A42A45">
              <w:rPr>
                <w:rFonts w:ascii="Arial" w:hAnsi="Arial" w:cs="Arial"/>
                <w:sz w:val="20"/>
                <w:szCs w:val="20"/>
              </w:rPr>
              <w:t>52722.</w:t>
            </w:r>
          </w:p>
          <w:p w14:paraId="501F4F49" w14:textId="77777777" w:rsidR="00174E6A" w:rsidRPr="00174E6A" w:rsidRDefault="00174E6A" w:rsidP="00174E6A">
            <w:pPr>
              <w:widowControl w:val="0"/>
              <w:tabs>
                <w:tab w:val="left" w:pos="720"/>
              </w:tabs>
              <w:jc w:val="both"/>
              <w:rPr>
                <w:rFonts w:ascii="Arial" w:hAnsi="Arial" w:cs="Arial"/>
              </w:rPr>
            </w:pPr>
          </w:p>
          <w:p w14:paraId="604BF180" w14:textId="35F6A466" w:rsidR="00174E6A"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t>Verify that each rolling base consumption amount and units of measure tie to the prior year Form 52722. The auditor must test rolling base invoices and utility ledgers to determine if the unit of consumption</w:t>
            </w:r>
            <w:r w:rsidRPr="00A42A45">
              <w:rPr>
                <w:rFonts w:ascii="Arial" w:hAnsi="Arial" w:cs="Arial"/>
                <w:spacing w:val="-43"/>
                <w:sz w:val="20"/>
                <w:szCs w:val="20"/>
              </w:rPr>
              <w:t xml:space="preserve"> </w:t>
            </w:r>
            <w:r w:rsidRPr="00A42A45">
              <w:rPr>
                <w:rFonts w:ascii="Arial" w:hAnsi="Arial" w:cs="Arial"/>
                <w:sz w:val="20"/>
                <w:szCs w:val="20"/>
              </w:rPr>
              <w:t xml:space="preserve">has changed. To the extent the unit of measure in the </w:t>
            </w:r>
            <w:r w:rsidRPr="00A42A45">
              <w:rPr>
                <w:rFonts w:ascii="Arial" w:hAnsi="Arial" w:cs="Arial"/>
                <w:spacing w:val="-4"/>
                <w:sz w:val="20"/>
                <w:szCs w:val="20"/>
              </w:rPr>
              <w:t xml:space="preserve">current </w:t>
            </w:r>
            <w:r w:rsidRPr="00A42A45">
              <w:rPr>
                <w:rFonts w:ascii="Arial" w:hAnsi="Arial" w:cs="Arial"/>
                <w:sz w:val="20"/>
                <w:szCs w:val="20"/>
              </w:rPr>
              <w:t>year has changed, test to ensure that the rolling base was appropriately</w:t>
            </w:r>
            <w:r w:rsidRPr="00A42A45">
              <w:rPr>
                <w:rFonts w:ascii="Arial" w:hAnsi="Arial" w:cs="Arial"/>
                <w:spacing w:val="-1"/>
                <w:sz w:val="20"/>
                <w:szCs w:val="20"/>
              </w:rPr>
              <w:t xml:space="preserve"> </w:t>
            </w:r>
            <w:r w:rsidRPr="00A42A45">
              <w:rPr>
                <w:rFonts w:ascii="Arial" w:hAnsi="Arial" w:cs="Arial"/>
                <w:sz w:val="20"/>
                <w:szCs w:val="20"/>
              </w:rPr>
              <w:t>adjusted.</w:t>
            </w:r>
          </w:p>
          <w:p w14:paraId="306EB45D" w14:textId="77777777" w:rsidR="00174E6A" w:rsidRPr="00174E6A" w:rsidRDefault="00174E6A" w:rsidP="00174E6A">
            <w:pPr>
              <w:widowControl w:val="0"/>
              <w:tabs>
                <w:tab w:val="left" w:pos="720"/>
              </w:tabs>
              <w:jc w:val="both"/>
              <w:rPr>
                <w:rFonts w:ascii="Arial" w:hAnsi="Arial" w:cs="Arial"/>
              </w:rPr>
            </w:pPr>
          </w:p>
          <w:p w14:paraId="7C512657" w14:textId="38C40D33" w:rsidR="00174E6A"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t>To the extent that any units have been removed from inventory for a project (Form 52723 Section 2, line A15 Total Unit Months has decreased) during the reporting period or rolling base, the auditor shall test to ensure that the adjustment was done consistently with the instruction found on the word version of the HUD Form 52722, which can be found on</w:t>
            </w:r>
            <w:r w:rsidRPr="00A42A45">
              <w:rPr>
                <w:rFonts w:ascii="Arial" w:hAnsi="Arial" w:cs="Arial"/>
                <w:color w:val="0000FF"/>
                <w:spacing w:val="54"/>
                <w:sz w:val="20"/>
                <w:szCs w:val="20"/>
              </w:rPr>
              <w:t xml:space="preserve"> </w:t>
            </w:r>
            <w:hyperlink r:id="rId124">
              <w:r w:rsidRPr="00A42A45">
                <w:rPr>
                  <w:rFonts w:ascii="Arial" w:hAnsi="Arial" w:cs="Arial"/>
                  <w:color w:val="0000FF"/>
                  <w:sz w:val="20"/>
                  <w:szCs w:val="20"/>
                  <w:u w:val="single" w:color="0000FF"/>
                </w:rPr>
                <w:t>HUDCLIPS</w:t>
              </w:r>
              <w:r w:rsidRPr="00A42A45">
                <w:rPr>
                  <w:rFonts w:ascii="Arial" w:hAnsi="Arial" w:cs="Arial"/>
                  <w:sz w:val="20"/>
                  <w:szCs w:val="20"/>
                </w:rPr>
                <w:t>.</w:t>
              </w:r>
            </w:hyperlink>
          </w:p>
          <w:p w14:paraId="589EE091" w14:textId="77777777" w:rsidR="00174E6A" w:rsidRPr="00174E6A" w:rsidRDefault="00174E6A" w:rsidP="00174E6A">
            <w:pPr>
              <w:widowControl w:val="0"/>
              <w:tabs>
                <w:tab w:val="left" w:pos="720"/>
              </w:tabs>
              <w:jc w:val="both"/>
              <w:rPr>
                <w:rFonts w:ascii="Arial" w:hAnsi="Arial" w:cs="Arial"/>
              </w:rPr>
            </w:pPr>
          </w:p>
          <w:p w14:paraId="75054AE3" w14:textId="204B6BAE" w:rsidR="00174E6A" w:rsidRDefault="00174E6A" w:rsidP="00174E6A">
            <w:pPr>
              <w:pStyle w:val="ListParagraph"/>
              <w:widowControl w:val="0"/>
              <w:numPr>
                <w:ilvl w:val="0"/>
                <w:numId w:val="78"/>
              </w:numPr>
              <w:tabs>
                <w:tab w:val="left" w:pos="720"/>
              </w:tabs>
              <w:suppressAutoHyphens w:val="0"/>
              <w:adjustRightInd/>
              <w:spacing w:before="90"/>
              <w:ind w:left="720"/>
              <w:jc w:val="both"/>
              <w:rPr>
                <w:rFonts w:ascii="Arial" w:hAnsi="Arial" w:cs="Arial"/>
                <w:sz w:val="20"/>
                <w:szCs w:val="20"/>
              </w:rPr>
            </w:pPr>
            <w:r w:rsidRPr="00A42A45">
              <w:rPr>
                <w:rFonts w:ascii="Arial" w:hAnsi="Arial" w:cs="Arial"/>
                <w:sz w:val="20"/>
                <w:szCs w:val="20"/>
              </w:rPr>
              <w:t>Test</w:t>
            </w:r>
            <w:r w:rsidRPr="00A42A45">
              <w:rPr>
                <w:rFonts w:ascii="Arial" w:hAnsi="Arial" w:cs="Arial"/>
                <w:spacing w:val="-5"/>
                <w:sz w:val="20"/>
                <w:szCs w:val="20"/>
              </w:rPr>
              <w:t xml:space="preserve"> </w:t>
            </w:r>
            <w:r w:rsidRPr="00A42A45">
              <w:rPr>
                <w:rFonts w:ascii="Arial" w:hAnsi="Arial" w:cs="Arial"/>
                <w:sz w:val="20"/>
                <w:szCs w:val="20"/>
              </w:rPr>
              <w:t>a</w:t>
            </w:r>
            <w:r w:rsidRPr="00A42A45">
              <w:rPr>
                <w:rFonts w:ascii="Arial" w:hAnsi="Arial" w:cs="Arial"/>
                <w:spacing w:val="-4"/>
                <w:sz w:val="20"/>
                <w:szCs w:val="20"/>
              </w:rPr>
              <w:t xml:space="preserve"> </w:t>
            </w:r>
            <w:r w:rsidRPr="00A42A45">
              <w:rPr>
                <w:rFonts w:ascii="Arial" w:hAnsi="Arial" w:cs="Arial"/>
                <w:sz w:val="20"/>
                <w:szCs w:val="20"/>
              </w:rPr>
              <w:t>sample</w:t>
            </w:r>
            <w:r w:rsidRPr="00A42A45">
              <w:rPr>
                <w:rFonts w:ascii="Arial" w:hAnsi="Arial" w:cs="Arial"/>
                <w:spacing w:val="-4"/>
                <w:sz w:val="20"/>
                <w:szCs w:val="20"/>
              </w:rPr>
              <w:t xml:space="preserve"> </w:t>
            </w:r>
            <w:r w:rsidRPr="00A42A45">
              <w:rPr>
                <w:rFonts w:ascii="Arial" w:hAnsi="Arial" w:cs="Arial"/>
                <w:sz w:val="20"/>
                <w:szCs w:val="20"/>
              </w:rPr>
              <w:t>of</w:t>
            </w:r>
            <w:r w:rsidRPr="00A42A45">
              <w:rPr>
                <w:rFonts w:ascii="Arial" w:hAnsi="Arial" w:cs="Arial"/>
                <w:spacing w:val="-5"/>
                <w:sz w:val="20"/>
                <w:szCs w:val="20"/>
              </w:rPr>
              <w:t xml:space="preserve"> </w:t>
            </w:r>
            <w:r w:rsidRPr="00A42A45">
              <w:rPr>
                <w:rFonts w:ascii="Arial" w:hAnsi="Arial" w:cs="Arial"/>
                <w:sz w:val="20"/>
                <w:szCs w:val="20"/>
              </w:rPr>
              <w:t>invoices</w:t>
            </w:r>
            <w:r w:rsidRPr="00A42A45">
              <w:rPr>
                <w:rFonts w:ascii="Arial" w:hAnsi="Arial" w:cs="Arial"/>
                <w:spacing w:val="-5"/>
                <w:sz w:val="20"/>
                <w:szCs w:val="20"/>
              </w:rPr>
              <w:t xml:space="preserve"> </w:t>
            </w:r>
            <w:r w:rsidRPr="00A42A45">
              <w:rPr>
                <w:rFonts w:ascii="Arial" w:hAnsi="Arial" w:cs="Arial"/>
                <w:sz w:val="20"/>
                <w:szCs w:val="20"/>
              </w:rPr>
              <w:t>to</w:t>
            </w:r>
            <w:r w:rsidRPr="00A42A45">
              <w:rPr>
                <w:rFonts w:ascii="Arial" w:hAnsi="Arial" w:cs="Arial"/>
                <w:spacing w:val="-4"/>
                <w:sz w:val="20"/>
                <w:szCs w:val="20"/>
              </w:rPr>
              <w:t xml:space="preserve"> </w:t>
            </w:r>
            <w:r w:rsidRPr="00A42A45">
              <w:rPr>
                <w:rFonts w:ascii="Arial" w:hAnsi="Arial" w:cs="Arial"/>
                <w:sz w:val="20"/>
                <w:szCs w:val="20"/>
              </w:rPr>
              <w:t>ensure</w:t>
            </w:r>
            <w:r w:rsidRPr="00A42A45">
              <w:rPr>
                <w:rFonts w:ascii="Arial" w:hAnsi="Arial" w:cs="Arial"/>
                <w:spacing w:val="-3"/>
                <w:sz w:val="20"/>
                <w:szCs w:val="20"/>
              </w:rPr>
              <w:t xml:space="preserve"> </w:t>
            </w:r>
            <w:r w:rsidRPr="00A42A45">
              <w:rPr>
                <w:rFonts w:ascii="Arial" w:hAnsi="Arial" w:cs="Arial"/>
                <w:sz w:val="20"/>
                <w:szCs w:val="20"/>
              </w:rPr>
              <w:t>the</w:t>
            </w:r>
            <w:r w:rsidRPr="00A42A45">
              <w:rPr>
                <w:rFonts w:ascii="Arial" w:hAnsi="Arial" w:cs="Arial"/>
                <w:spacing w:val="-5"/>
                <w:sz w:val="20"/>
                <w:szCs w:val="20"/>
              </w:rPr>
              <w:t xml:space="preserve"> </w:t>
            </w:r>
            <w:r w:rsidRPr="00A42A45">
              <w:rPr>
                <w:rFonts w:ascii="Arial" w:hAnsi="Arial" w:cs="Arial"/>
                <w:sz w:val="20"/>
                <w:szCs w:val="20"/>
              </w:rPr>
              <w:t>actual</w:t>
            </w:r>
            <w:r w:rsidRPr="00A42A45">
              <w:rPr>
                <w:rFonts w:ascii="Arial" w:hAnsi="Arial" w:cs="Arial"/>
                <w:spacing w:val="-4"/>
                <w:sz w:val="20"/>
                <w:szCs w:val="20"/>
              </w:rPr>
              <w:t xml:space="preserve"> </w:t>
            </w:r>
            <w:r w:rsidRPr="00A42A45">
              <w:rPr>
                <w:rFonts w:ascii="Arial" w:hAnsi="Arial" w:cs="Arial"/>
                <w:sz w:val="20"/>
                <w:szCs w:val="20"/>
              </w:rPr>
              <w:t>cost</w:t>
            </w:r>
            <w:r w:rsidRPr="00A42A45">
              <w:rPr>
                <w:rFonts w:ascii="Arial" w:hAnsi="Arial" w:cs="Arial"/>
                <w:spacing w:val="-5"/>
                <w:sz w:val="20"/>
                <w:szCs w:val="20"/>
              </w:rPr>
              <w:t xml:space="preserve"> </w:t>
            </w:r>
            <w:r w:rsidRPr="00A42A45">
              <w:rPr>
                <w:rFonts w:ascii="Arial" w:hAnsi="Arial" w:cs="Arial"/>
                <w:sz w:val="20"/>
                <w:szCs w:val="20"/>
              </w:rPr>
              <w:t>ties to</w:t>
            </w:r>
            <w:r w:rsidRPr="00A42A45">
              <w:rPr>
                <w:rFonts w:ascii="Arial" w:hAnsi="Arial" w:cs="Arial"/>
                <w:spacing w:val="-3"/>
                <w:sz w:val="20"/>
                <w:szCs w:val="20"/>
              </w:rPr>
              <w:t xml:space="preserve"> </w:t>
            </w:r>
            <w:r w:rsidRPr="00A42A45">
              <w:rPr>
                <w:rFonts w:ascii="Arial" w:hAnsi="Arial" w:cs="Arial"/>
                <w:sz w:val="20"/>
                <w:szCs w:val="20"/>
              </w:rPr>
              <w:t>the utility</w:t>
            </w:r>
            <w:r w:rsidRPr="00A42A45">
              <w:rPr>
                <w:rFonts w:ascii="Arial" w:hAnsi="Arial" w:cs="Arial"/>
                <w:spacing w:val="-2"/>
                <w:sz w:val="20"/>
                <w:szCs w:val="20"/>
              </w:rPr>
              <w:t xml:space="preserve"> </w:t>
            </w:r>
            <w:r w:rsidRPr="00A42A45">
              <w:rPr>
                <w:rFonts w:ascii="Arial" w:hAnsi="Arial" w:cs="Arial"/>
                <w:sz w:val="20"/>
                <w:szCs w:val="20"/>
              </w:rPr>
              <w:t>ledger.</w:t>
            </w:r>
          </w:p>
          <w:p w14:paraId="6B3C21B4" w14:textId="77777777" w:rsidR="00174E6A" w:rsidRPr="00174E6A" w:rsidRDefault="00174E6A" w:rsidP="00174E6A">
            <w:pPr>
              <w:widowControl w:val="0"/>
              <w:tabs>
                <w:tab w:val="left" w:pos="720"/>
              </w:tabs>
              <w:spacing w:before="90"/>
              <w:jc w:val="both"/>
              <w:rPr>
                <w:rFonts w:ascii="Arial" w:hAnsi="Arial" w:cs="Arial"/>
              </w:rPr>
            </w:pPr>
          </w:p>
          <w:p w14:paraId="72D2F45A" w14:textId="2E2B70F7" w:rsidR="00174E6A"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t>Test</w:t>
            </w:r>
            <w:r w:rsidRPr="00A42A45">
              <w:rPr>
                <w:rFonts w:ascii="Arial" w:hAnsi="Arial" w:cs="Arial"/>
                <w:spacing w:val="-5"/>
                <w:sz w:val="20"/>
                <w:szCs w:val="20"/>
              </w:rPr>
              <w:t xml:space="preserve"> </w:t>
            </w:r>
            <w:r w:rsidRPr="00A42A45">
              <w:rPr>
                <w:rFonts w:ascii="Arial" w:hAnsi="Arial" w:cs="Arial"/>
                <w:sz w:val="20"/>
                <w:szCs w:val="20"/>
              </w:rPr>
              <w:t>the</w:t>
            </w:r>
            <w:r w:rsidRPr="00A42A45">
              <w:rPr>
                <w:rFonts w:ascii="Arial" w:hAnsi="Arial" w:cs="Arial"/>
                <w:spacing w:val="-5"/>
                <w:sz w:val="20"/>
                <w:szCs w:val="20"/>
              </w:rPr>
              <w:t xml:space="preserve"> </w:t>
            </w:r>
            <w:r w:rsidRPr="00A42A45">
              <w:rPr>
                <w:rFonts w:ascii="Arial" w:hAnsi="Arial" w:cs="Arial"/>
                <w:sz w:val="20"/>
                <w:szCs w:val="20"/>
              </w:rPr>
              <w:t>aggregated</w:t>
            </w:r>
            <w:r w:rsidRPr="00A42A45">
              <w:rPr>
                <w:rFonts w:ascii="Arial" w:hAnsi="Arial" w:cs="Arial"/>
                <w:spacing w:val="-4"/>
                <w:sz w:val="20"/>
                <w:szCs w:val="20"/>
              </w:rPr>
              <w:t xml:space="preserve"> </w:t>
            </w:r>
            <w:r w:rsidRPr="00A42A45">
              <w:rPr>
                <w:rFonts w:ascii="Arial" w:hAnsi="Arial" w:cs="Arial"/>
                <w:sz w:val="20"/>
                <w:szCs w:val="20"/>
              </w:rPr>
              <w:t>cost</w:t>
            </w:r>
            <w:r w:rsidRPr="00A42A45">
              <w:rPr>
                <w:rFonts w:ascii="Arial" w:hAnsi="Arial" w:cs="Arial"/>
                <w:spacing w:val="-6"/>
                <w:sz w:val="20"/>
                <w:szCs w:val="20"/>
              </w:rPr>
              <w:t xml:space="preserve"> </w:t>
            </w:r>
            <w:r w:rsidRPr="00A42A45">
              <w:rPr>
                <w:rFonts w:ascii="Arial" w:hAnsi="Arial" w:cs="Arial"/>
                <w:sz w:val="20"/>
                <w:szCs w:val="20"/>
              </w:rPr>
              <w:t>on</w:t>
            </w:r>
            <w:r w:rsidRPr="00A42A45">
              <w:rPr>
                <w:rFonts w:ascii="Arial" w:hAnsi="Arial" w:cs="Arial"/>
                <w:spacing w:val="-9"/>
                <w:sz w:val="20"/>
                <w:szCs w:val="20"/>
              </w:rPr>
              <w:t xml:space="preserve"> </w:t>
            </w:r>
            <w:r w:rsidRPr="00A42A45">
              <w:rPr>
                <w:rFonts w:ascii="Arial" w:hAnsi="Arial" w:cs="Arial"/>
                <w:sz w:val="20"/>
                <w:szCs w:val="20"/>
              </w:rPr>
              <w:t>the</w:t>
            </w:r>
            <w:r w:rsidRPr="00A42A45">
              <w:rPr>
                <w:rFonts w:ascii="Arial" w:hAnsi="Arial" w:cs="Arial"/>
                <w:spacing w:val="-4"/>
                <w:sz w:val="20"/>
                <w:szCs w:val="20"/>
              </w:rPr>
              <w:t xml:space="preserve"> </w:t>
            </w:r>
            <w:r w:rsidRPr="00A42A45">
              <w:rPr>
                <w:rFonts w:ascii="Arial" w:hAnsi="Arial" w:cs="Arial"/>
                <w:sz w:val="20"/>
                <w:szCs w:val="20"/>
              </w:rPr>
              <w:t>utility</w:t>
            </w:r>
            <w:r w:rsidRPr="00A42A45">
              <w:rPr>
                <w:rFonts w:ascii="Arial" w:hAnsi="Arial" w:cs="Arial"/>
                <w:spacing w:val="-9"/>
                <w:sz w:val="20"/>
                <w:szCs w:val="20"/>
              </w:rPr>
              <w:t xml:space="preserve"> </w:t>
            </w:r>
            <w:r w:rsidRPr="00A42A45">
              <w:rPr>
                <w:rFonts w:ascii="Arial" w:hAnsi="Arial" w:cs="Arial"/>
                <w:sz w:val="20"/>
                <w:szCs w:val="20"/>
              </w:rPr>
              <w:t>ledger</w:t>
            </w:r>
            <w:r w:rsidRPr="00A42A45">
              <w:rPr>
                <w:rFonts w:ascii="Arial" w:hAnsi="Arial" w:cs="Arial"/>
                <w:spacing w:val="-5"/>
                <w:sz w:val="20"/>
                <w:szCs w:val="20"/>
              </w:rPr>
              <w:t xml:space="preserve"> </w:t>
            </w:r>
            <w:r w:rsidRPr="00A42A45">
              <w:rPr>
                <w:rFonts w:ascii="Arial" w:hAnsi="Arial" w:cs="Arial"/>
                <w:sz w:val="20"/>
                <w:szCs w:val="20"/>
              </w:rPr>
              <w:t>to</w:t>
            </w:r>
            <w:r w:rsidRPr="00A42A45">
              <w:rPr>
                <w:rFonts w:ascii="Arial" w:hAnsi="Arial" w:cs="Arial"/>
                <w:spacing w:val="-5"/>
                <w:sz w:val="20"/>
                <w:szCs w:val="20"/>
              </w:rPr>
              <w:t xml:space="preserve"> </w:t>
            </w:r>
            <w:r w:rsidRPr="00A42A45">
              <w:rPr>
                <w:rFonts w:ascii="Arial" w:hAnsi="Arial" w:cs="Arial"/>
                <w:sz w:val="20"/>
                <w:szCs w:val="20"/>
              </w:rPr>
              <w:t>ensure</w:t>
            </w:r>
            <w:r w:rsidRPr="00A42A45">
              <w:rPr>
                <w:rFonts w:ascii="Arial" w:hAnsi="Arial" w:cs="Arial"/>
                <w:spacing w:val="-6"/>
                <w:sz w:val="20"/>
                <w:szCs w:val="20"/>
              </w:rPr>
              <w:t xml:space="preserve"> </w:t>
            </w:r>
            <w:r w:rsidRPr="00A42A45">
              <w:rPr>
                <w:rFonts w:ascii="Arial" w:hAnsi="Arial" w:cs="Arial"/>
                <w:sz w:val="20"/>
                <w:szCs w:val="20"/>
              </w:rPr>
              <w:t>it</w:t>
            </w:r>
            <w:r w:rsidRPr="00A42A45">
              <w:rPr>
                <w:rFonts w:ascii="Arial" w:hAnsi="Arial" w:cs="Arial"/>
                <w:spacing w:val="-5"/>
                <w:sz w:val="20"/>
                <w:szCs w:val="20"/>
              </w:rPr>
              <w:t xml:space="preserve"> </w:t>
            </w:r>
            <w:r w:rsidRPr="00A42A45">
              <w:rPr>
                <w:rFonts w:ascii="Arial" w:hAnsi="Arial" w:cs="Arial"/>
                <w:sz w:val="20"/>
                <w:szCs w:val="20"/>
              </w:rPr>
              <w:t>ties to</w:t>
            </w:r>
            <w:r w:rsidRPr="00A42A45">
              <w:rPr>
                <w:rFonts w:ascii="Arial" w:hAnsi="Arial" w:cs="Arial"/>
                <w:spacing w:val="-3"/>
                <w:sz w:val="20"/>
                <w:szCs w:val="20"/>
              </w:rPr>
              <w:t xml:space="preserve"> </w:t>
            </w:r>
            <w:r w:rsidRPr="00A42A45">
              <w:rPr>
                <w:rFonts w:ascii="Arial" w:hAnsi="Arial" w:cs="Arial"/>
                <w:sz w:val="20"/>
                <w:szCs w:val="20"/>
              </w:rPr>
              <w:t>line</w:t>
            </w:r>
            <w:r w:rsidRPr="00A42A45">
              <w:rPr>
                <w:rFonts w:ascii="Arial" w:hAnsi="Arial" w:cs="Arial"/>
                <w:spacing w:val="-1"/>
                <w:sz w:val="20"/>
                <w:szCs w:val="20"/>
              </w:rPr>
              <w:t xml:space="preserve"> </w:t>
            </w:r>
            <w:r w:rsidRPr="00A42A45">
              <w:rPr>
                <w:rFonts w:ascii="Arial" w:hAnsi="Arial" w:cs="Arial"/>
                <w:sz w:val="20"/>
                <w:szCs w:val="20"/>
              </w:rPr>
              <w:t>16</w:t>
            </w:r>
            <w:r w:rsidRPr="00A42A45">
              <w:rPr>
                <w:rFonts w:ascii="Arial" w:hAnsi="Arial" w:cs="Arial"/>
                <w:spacing w:val="-2"/>
                <w:sz w:val="20"/>
                <w:szCs w:val="20"/>
              </w:rPr>
              <w:t xml:space="preserve"> </w:t>
            </w:r>
            <w:r w:rsidRPr="00A42A45">
              <w:rPr>
                <w:rFonts w:ascii="Arial" w:hAnsi="Arial" w:cs="Arial"/>
                <w:sz w:val="20"/>
                <w:szCs w:val="20"/>
              </w:rPr>
              <w:t>–</w:t>
            </w:r>
            <w:r w:rsidRPr="00A42A45">
              <w:rPr>
                <w:rFonts w:ascii="Arial" w:hAnsi="Arial" w:cs="Arial"/>
                <w:spacing w:val="-1"/>
                <w:sz w:val="20"/>
                <w:szCs w:val="20"/>
              </w:rPr>
              <w:t xml:space="preserve"> </w:t>
            </w:r>
            <w:r w:rsidRPr="00A42A45">
              <w:rPr>
                <w:rFonts w:ascii="Arial" w:hAnsi="Arial" w:cs="Arial"/>
                <w:sz w:val="20"/>
                <w:szCs w:val="20"/>
              </w:rPr>
              <w:t>Actual Utility Costs – Whole Dollars of Form</w:t>
            </w:r>
            <w:r w:rsidRPr="00A42A45">
              <w:rPr>
                <w:rFonts w:ascii="Arial" w:hAnsi="Arial" w:cs="Arial"/>
                <w:spacing w:val="-2"/>
                <w:sz w:val="20"/>
                <w:szCs w:val="20"/>
              </w:rPr>
              <w:t xml:space="preserve"> </w:t>
            </w:r>
            <w:r w:rsidRPr="00A42A45">
              <w:rPr>
                <w:rFonts w:ascii="Arial" w:hAnsi="Arial" w:cs="Arial"/>
                <w:sz w:val="20"/>
                <w:szCs w:val="20"/>
              </w:rPr>
              <w:t>52722.</w:t>
            </w:r>
          </w:p>
          <w:p w14:paraId="2F2D96D3" w14:textId="77777777" w:rsidR="00174E6A" w:rsidRPr="00174E6A" w:rsidRDefault="00174E6A" w:rsidP="00174E6A">
            <w:pPr>
              <w:widowControl w:val="0"/>
              <w:tabs>
                <w:tab w:val="left" w:pos="720"/>
              </w:tabs>
              <w:jc w:val="both"/>
              <w:rPr>
                <w:rFonts w:ascii="Arial" w:hAnsi="Arial" w:cs="Arial"/>
              </w:rPr>
            </w:pPr>
          </w:p>
          <w:p w14:paraId="21F52386" w14:textId="77777777" w:rsidR="00174E6A" w:rsidRPr="00A42A45" w:rsidRDefault="00174E6A" w:rsidP="00174E6A">
            <w:pPr>
              <w:pStyle w:val="ListParagraph"/>
              <w:widowControl w:val="0"/>
              <w:numPr>
                <w:ilvl w:val="0"/>
                <w:numId w:val="78"/>
              </w:numPr>
              <w:tabs>
                <w:tab w:val="left" w:pos="720"/>
              </w:tabs>
              <w:suppressAutoHyphens w:val="0"/>
              <w:adjustRightInd/>
              <w:ind w:left="720"/>
              <w:jc w:val="both"/>
              <w:rPr>
                <w:rFonts w:ascii="Arial" w:hAnsi="Arial" w:cs="Arial"/>
                <w:sz w:val="20"/>
                <w:szCs w:val="20"/>
              </w:rPr>
            </w:pPr>
            <w:r w:rsidRPr="00A42A45">
              <w:rPr>
                <w:rFonts w:ascii="Arial" w:hAnsi="Arial" w:cs="Arial"/>
                <w:sz w:val="20"/>
                <w:szCs w:val="20"/>
              </w:rPr>
              <w:t xml:space="preserve">Complete a trend analysis of the reporting year and the last three years of each major utility to </w:t>
            </w:r>
            <w:r w:rsidRPr="00A42A45">
              <w:rPr>
                <w:rFonts w:ascii="Arial" w:hAnsi="Arial" w:cs="Arial"/>
                <w:spacing w:val="-4"/>
                <w:sz w:val="20"/>
                <w:szCs w:val="20"/>
              </w:rPr>
              <w:t xml:space="preserve">identify </w:t>
            </w:r>
            <w:r w:rsidRPr="00A42A45">
              <w:rPr>
                <w:rFonts w:ascii="Arial" w:hAnsi="Arial" w:cs="Arial"/>
                <w:sz w:val="20"/>
                <w:szCs w:val="20"/>
              </w:rPr>
              <w:t>any abnormal variances. Auditors should increase their sample size when there are abnormal</w:t>
            </w:r>
            <w:r w:rsidRPr="00A42A45">
              <w:rPr>
                <w:rFonts w:ascii="Arial" w:hAnsi="Arial" w:cs="Arial"/>
                <w:spacing w:val="-3"/>
                <w:sz w:val="20"/>
                <w:szCs w:val="20"/>
              </w:rPr>
              <w:t xml:space="preserve"> variances.</w:t>
            </w:r>
          </w:p>
          <w:p w14:paraId="376CF96D" w14:textId="77777777" w:rsidR="00174E6A" w:rsidRPr="00174E6A" w:rsidRDefault="00174E6A" w:rsidP="009F1483">
            <w:pPr>
              <w:spacing w:after="240"/>
              <w:jc w:val="both"/>
              <w:rPr>
                <w:rFonts w:ascii="Arial" w:hAnsi="Arial" w:cs="Arial"/>
                <w:sz w:val="20"/>
              </w:rPr>
            </w:pPr>
          </w:p>
        </w:tc>
      </w:tr>
    </w:tbl>
    <w:p w14:paraId="059556B7"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D2C4AED" w14:textId="77777777" w:rsidR="003A6024" w:rsidRPr="000706D1" w:rsidRDefault="003A6024" w:rsidP="003A6024">
      <w:pPr>
        <w:pStyle w:val="Heading3"/>
        <w:jc w:val="both"/>
        <w:rPr>
          <w:rFonts w:cs="Arial"/>
          <w:b w:val="0"/>
          <w:sz w:val="24"/>
          <w:szCs w:val="24"/>
        </w:rPr>
      </w:pPr>
      <w:bookmarkStart w:id="167" w:name="_Toc212473224"/>
      <w:r w:rsidRPr="000706D1">
        <w:rPr>
          <w:rFonts w:cs="Arial"/>
          <w:sz w:val="24"/>
          <w:szCs w:val="24"/>
        </w:rPr>
        <w:t>Audit Implications Summary</w:t>
      </w:r>
      <w:bookmarkEnd w:id="167"/>
    </w:p>
    <w:tbl>
      <w:tblPr>
        <w:tblStyle w:val="TableGrid"/>
        <w:tblW w:w="5000" w:type="pct"/>
        <w:tblLook w:val="04A0" w:firstRow="1" w:lastRow="0" w:firstColumn="1" w:lastColumn="0" w:noHBand="0" w:noVBand="1"/>
      </w:tblPr>
      <w:tblGrid>
        <w:gridCol w:w="9350"/>
      </w:tblGrid>
      <w:tr w:rsidR="003A6024" w:rsidRPr="00F00D94" w14:paraId="7BFB6610" w14:textId="77777777" w:rsidTr="009F1483">
        <w:tc>
          <w:tcPr>
            <w:tcW w:w="5000" w:type="pct"/>
          </w:tcPr>
          <w:p w14:paraId="37433286" w14:textId="77777777" w:rsidR="003A6024" w:rsidRDefault="003A6024"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7F62303" w14:textId="77777777" w:rsidR="003A6024" w:rsidRPr="006E46AD" w:rsidRDefault="003A6024"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8A9E5E2" w14:textId="77777777" w:rsidR="003A6024" w:rsidRPr="006E46AD" w:rsidRDefault="003A6024" w:rsidP="00174E6A">
            <w:pPr>
              <w:pStyle w:val="ListParagraph"/>
              <w:widowControl w:val="0"/>
              <w:numPr>
                <w:ilvl w:val="0"/>
                <w:numId w:val="7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18E4E6FF" w14:textId="77777777" w:rsidR="003A6024" w:rsidRPr="006E46AD" w:rsidRDefault="003A6024" w:rsidP="009F1483">
            <w:pPr>
              <w:widowControl w:val="0"/>
              <w:spacing w:after="240"/>
              <w:ind w:left="720"/>
              <w:jc w:val="both"/>
              <w:rPr>
                <w:rFonts w:ascii="Arial" w:hAnsi="Arial" w:cs="Arial"/>
                <w:b/>
                <w:sz w:val="20"/>
                <w:szCs w:val="20"/>
              </w:rPr>
            </w:pPr>
          </w:p>
          <w:p w14:paraId="207E7A96" w14:textId="77777777" w:rsidR="003A6024" w:rsidRPr="006E46AD" w:rsidRDefault="003A6024" w:rsidP="00174E6A">
            <w:pPr>
              <w:widowControl w:val="0"/>
              <w:numPr>
                <w:ilvl w:val="0"/>
                <w:numId w:val="7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F319DF1" w14:textId="77777777" w:rsidR="003A6024" w:rsidRPr="00F00D94" w:rsidRDefault="003A6024" w:rsidP="009F1483">
            <w:pPr>
              <w:pStyle w:val="ListParagraph"/>
              <w:spacing w:after="240"/>
              <w:jc w:val="both"/>
              <w:rPr>
                <w:rFonts w:ascii="Arial" w:hAnsi="Arial" w:cs="Arial"/>
                <w:b/>
              </w:rPr>
            </w:pPr>
          </w:p>
          <w:p w14:paraId="1D84EB0A" w14:textId="77777777" w:rsidR="003A6024" w:rsidRPr="00F00D94" w:rsidRDefault="003A6024" w:rsidP="00174E6A">
            <w:pPr>
              <w:widowControl w:val="0"/>
              <w:numPr>
                <w:ilvl w:val="0"/>
                <w:numId w:val="7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0F3992DC" w14:textId="77777777" w:rsidR="003A6024" w:rsidRPr="00F00D94" w:rsidRDefault="003A6024" w:rsidP="009F1483">
            <w:pPr>
              <w:pStyle w:val="ListParagraph"/>
              <w:spacing w:after="240"/>
              <w:jc w:val="both"/>
              <w:rPr>
                <w:rFonts w:ascii="Arial" w:hAnsi="Arial" w:cs="Arial"/>
                <w:b/>
              </w:rPr>
            </w:pPr>
          </w:p>
          <w:p w14:paraId="2EC3CC8D" w14:textId="77777777" w:rsidR="003A6024" w:rsidRPr="00F00D94" w:rsidRDefault="003A6024" w:rsidP="00174E6A">
            <w:pPr>
              <w:widowControl w:val="0"/>
              <w:numPr>
                <w:ilvl w:val="0"/>
                <w:numId w:val="7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88B13C4" w14:textId="77777777" w:rsidR="003A6024" w:rsidRPr="00F00D94" w:rsidRDefault="003A6024" w:rsidP="009F1483">
            <w:pPr>
              <w:pStyle w:val="ListParagraph"/>
              <w:spacing w:after="240"/>
              <w:jc w:val="both"/>
              <w:rPr>
                <w:rFonts w:ascii="Arial" w:hAnsi="Arial" w:cs="Arial"/>
                <w:b/>
              </w:rPr>
            </w:pPr>
          </w:p>
          <w:p w14:paraId="7A82182C" w14:textId="77777777" w:rsidR="003A6024" w:rsidRPr="00F00D94" w:rsidRDefault="003A6024" w:rsidP="00174E6A">
            <w:pPr>
              <w:widowControl w:val="0"/>
              <w:numPr>
                <w:ilvl w:val="0"/>
                <w:numId w:val="7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BE6453F" w14:textId="77777777" w:rsidR="003A6024" w:rsidRPr="00F00D94" w:rsidRDefault="003A6024" w:rsidP="009F1483">
            <w:pPr>
              <w:pStyle w:val="APStepItem"/>
              <w:numPr>
                <w:ilvl w:val="0"/>
                <w:numId w:val="0"/>
              </w:numPr>
              <w:spacing w:after="240"/>
              <w:rPr>
                <w:rFonts w:cs="Arial"/>
                <w:b/>
              </w:rPr>
            </w:pPr>
          </w:p>
        </w:tc>
      </w:tr>
    </w:tbl>
    <w:p w14:paraId="38D98BED" w14:textId="77777777" w:rsidR="003A6024" w:rsidRDefault="003A6024" w:rsidP="003A6024">
      <w:pPr>
        <w:pStyle w:val="Heading2"/>
        <w:jc w:val="both"/>
        <w:rPr>
          <w:rFonts w:cs="Arial"/>
          <w:sz w:val="24"/>
        </w:rPr>
        <w:sectPr w:rsidR="003A6024" w:rsidSect="003A6024">
          <w:headerReference w:type="default" r:id="rId126"/>
          <w:pgSz w:w="12240" w:h="15840" w:code="1"/>
          <w:pgMar w:top="1440" w:right="1440" w:bottom="1440" w:left="1440" w:header="720" w:footer="720" w:gutter="0"/>
          <w:cols w:space="720"/>
          <w:docGrid w:linePitch="360"/>
        </w:sectPr>
      </w:pPr>
    </w:p>
    <w:p w14:paraId="45E93713" w14:textId="07E7B4EB" w:rsidR="003A6024" w:rsidRPr="000706D1" w:rsidRDefault="003A6024" w:rsidP="003A6024">
      <w:pPr>
        <w:pStyle w:val="Heading2"/>
        <w:jc w:val="both"/>
        <w:rPr>
          <w:rFonts w:cs="Arial"/>
          <w:sz w:val="24"/>
        </w:rPr>
      </w:pPr>
      <w:bookmarkStart w:id="168" w:name="_Toc212473225"/>
      <w:r w:rsidRPr="000706D1">
        <w:rPr>
          <w:rFonts w:cs="Arial"/>
          <w:sz w:val="24"/>
        </w:rPr>
        <w:lastRenderedPageBreak/>
        <w:t>N</w:t>
      </w:r>
      <w:r w:rsidR="00174E6A">
        <w:rPr>
          <w:rFonts w:cs="Arial"/>
          <w:sz w:val="24"/>
        </w:rPr>
        <w:t>18</w:t>
      </w:r>
      <w:r w:rsidRPr="000706D1">
        <w:rPr>
          <w:rFonts w:cs="Arial"/>
          <w:sz w:val="24"/>
        </w:rPr>
        <w:t>.  SPECIAL TESTS AND PROVISIONS</w:t>
      </w:r>
      <w:r w:rsidR="00174E6A">
        <w:rPr>
          <w:rFonts w:cs="Arial"/>
          <w:sz w:val="24"/>
        </w:rPr>
        <w:t xml:space="preserve"> – FORMULA INCOME</w:t>
      </w:r>
      <w:bookmarkEnd w:id="168"/>
    </w:p>
    <w:p w14:paraId="1EF29C5C" w14:textId="77777777" w:rsidR="003A6024" w:rsidRPr="000706D1" w:rsidRDefault="003A6024" w:rsidP="003A6024">
      <w:pPr>
        <w:pStyle w:val="Heading3"/>
        <w:jc w:val="both"/>
        <w:rPr>
          <w:rFonts w:cs="Arial"/>
          <w:sz w:val="24"/>
          <w:szCs w:val="24"/>
        </w:rPr>
      </w:pPr>
      <w:bookmarkStart w:id="169" w:name="_Toc212473226"/>
      <w:r w:rsidRPr="000706D1">
        <w:rPr>
          <w:rFonts w:cs="Arial"/>
          <w:sz w:val="24"/>
          <w:szCs w:val="24"/>
        </w:rPr>
        <w:t>OMB Compliance Requirements</w:t>
      </w:r>
      <w:bookmarkEnd w:id="169"/>
    </w:p>
    <w:p w14:paraId="5C6541B3" w14:textId="77777777" w:rsidR="003A6024" w:rsidRPr="005C1EBC"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3396466C"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27186145" w14:textId="77777777" w:rsidR="003A6024" w:rsidRPr="00F00D94" w:rsidRDefault="003A6024" w:rsidP="003A6024">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6D586B35" w14:textId="77777777" w:rsidR="003A6024" w:rsidRPr="000706D1" w:rsidRDefault="003A6024" w:rsidP="003A6024">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1B7DFBB" w14:textId="75A23184" w:rsidR="00174E6A" w:rsidRPr="00174E6A" w:rsidRDefault="00174E6A" w:rsidP="00174E6A">
      <w:pPr>
        <w:pStyle w:val="BodyText"/>
        <w:ind w:right="242"/>
        <w:jc w:val="both"/>
        <w:rPr>
          <w:rFonts w:ascii="Arial" w:hAnsi="Arial" w:cs="Arial"/>
        </w:rPr>
      </w:pPr>
      <w:r w:rsidRPr="00174E6A">
        <w:rPr>
          <w:rFonts w:ascii="Arial" w:hAnsi="Arial" w:cs="Arial"/>
        </w:rPr>
        <w:t xml:space="preserve">The Formula Income calculates the Operating Fund Revenue for each PHA. This calculation is generally based on prepopulated data calculated by HUD. However, in some cases, the Formula Income is not prepopulated. For further guidance, review the </w:t>
      </w:r>
      <w:hyperlink r:id="rId127">
        <w:r w:rsidRPr="00174E6A">
          <w:rPr>
            <w:rFonts w:ascii="Arial" w:hAnsi="Arial" w:cs="Arial"/>
            <w:color w:val="0000FF"/>
            <w:u w:val="single" w:color="0000FF"/>
          </w:rPr>
          <w:t>Formula Income Guidance</w:t>
        </w:r>
      </w:hyperlink>
      <w:r w:rsidRPr="00174E6A">
        <w:rPr>
          <w:rFonts w:ascii="Arial" w:hAnsi="Arial" w:cs="Arial"/>
          <w:color w:val="2C74B5"/>
        </w:rPr>
        <w:t xml:space="preserve">, </w:t>
      </w:r>
      <w:r w:rsidRPr="00174E6A">
        <w:rPr>
          <w:rFonts w:ascii="Arial" w:hAnsi="Arial" w:cs="Arial"/>
        </w:rPr>
        <w:t xml:space="preserve">the Operating Fund Web Page, the </w:t>
      </w:r>
      <w:hyperlink r:id="rId128">
        <w:r w:rsidRPr="00174E6A">
          <w:rPr>
            <w:rFonts w:ascii="Arial" w:hAnsi="Arial" w:cs="Arial"/>
            <w:color w:val="0000FF"/>
            <w:u w:val="single" w:color="0000FF"/>
          </w:rPr>
          <w:t>2025</w:t>
        </w:r>
      </w:hyperlink>
      <w:r w:rsidRPr="00174E6A">
        <w:rPr>
          <w:rFonts w:ascii="Arial" w:hAnsi="Arial" w:cs="Arial"/>
        </w:rPr>
        <w:t xml:space="preserve"> </w:t>
      </w:r>
      <w:hyperlink r:id="rId129">
        <w:r w:rsidRPr="00174E6A">
          <w:rPr>
            <w:rFonts w:ascii="Arial" w:hAnsi="Arial" w:cs="Arial"/>
            <w:color w:val="0000FF"/>
            <w:u w:val="single" w:color="0000FF"/>
          </w:rPr>
          <w:t>Operating Subsidy Grant Processing Notice</w:t>
        </w:r>
      </w:hyperlink>
      <w:r w:rsidRPr="00174E6A">
        <w:rPr>
          <w:rFonts w:ascii="Arial" w:hAnsi="Arial" w:cs="Arial"/>
        </w:rPr>
        <w:t xml:space="preserve">, the </w:t>
      </w:r>
      <w:hyperlink r:id="rId130">
        <w:r w:rsidRPr="00174E6A">
          <w:rPr>
            <w:rFonts w:ascii="Arial" w:hAnsi="Arial" w:cs="Arial"/>
            <w:color w:val="2C74B5"/>
            <w:u w:val="single" w:color="2C74B5"/>
          </w:rPr>
          <w:t>Annual Operating Subsidy Processing</w:t>
        </w:r>
      </w:hyperlink>
      <w:r w:rsidRPr="00174E6A">
        <w:rPr>
          <w:rFonts w:ascii="Arial" w:hAnsi="Arial" w:cs="Arial"/>
          <w:color w:val="2C74B5"/>
        </w:rPr>
        <w:t xml:space="preserve"> </w:t>
      </w:r>
      <w:hyperlink r:id="rId131">
        <w:r w:rsidRPr="00174E6A">
          <w:rPr>
            <w:rFonts w:ascii="Arial" w:hAnsi="Arial" w:cs="Arial"/>
            <w:color w:val="2C74B5"/>
            <w:u w:val="single" w:color="2C74B5"/>
          </w:rPr>
          <w:t>Notice</w:t>
        </w:r>
      </w:hyperlink>
      <w:r w:rsidRPr="00174E6A">
        <w:rPr>
          <w:rFonts w:ascii="Arial" w:hAnsi="Arial" w:cs="Arial"/>
          <w:color w:val="2C74B5"/>
          <w:u w:val="single" w:color="2C74B5"/>
        </w:rPr>
        <w:t>,</w:t>
      </w:r>
      <w:r w:rsidRPr="00174E6A">
        <w:rPr>
          <w:rFonts w:ascii="Arial" w:hAnsi="Arial" w:cs="Arial"/>
          <w:color w:val="2C74B5"/>
        </w:rPr>
        <w:t xml:space="preserve"> </w:t>
      </w:r>
      <w:r w:rsidRPr="00174E6A">
        <w:rPr>
          <w:rFonts w:ascii="Arial" w:hAnsi="Arial" w:cs="Arial"/>
        </w:rPr>
        <w:t>and 24 CFR 990.195(d).</w:t>
      </w:r>
    </w:p>
    <w:p w14:paraId="7F983C1D" w14:textId="4EA30D35" w:rsidR="003A6024" w:rsidRPr="00174E6A" w:rsidRDefault="00174E6A" w:rsidP="00174E6A">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0E4719A7" w14:textId="77777777" w:rsidR="003A6024" w:rsidRPr="000706D1" w:rsidRDefault="003A6024" w:rsidP="003A6024">
      <w:pPr>
        <w:pStyle w:val="Heading3"/>
        <w:jc w:val="both"/>
        <w:rPr>
          <w:rFonts w:cs="Arial"/>
          <w:sz w:val="24"/>
          <w:szCs w:val="24"/>
        </w:rPr>
      </w:pPr>
      <w:bookmarkStart w:id="170" w:name="_Toc212473227"/>
      <w:r w:rsidRPr="000706D1">
        <w:rPr>
          <w:rFonts w:cs="Arial"/>
          <w:sz w:val="24"/>
          <w:szCs w:val="24"/>
        </w:rPr>
        <w:t>Additional Program Specific Information</w:t>
      </w:r>
      <w:bookmarkEnd w:id="170"/>
    </w:p>
    <w:p w14:paraId="58AFCB8C" w14:textId="77777777" w:rsidR="003A6024" w:rsidRPr="00AA5B05" w:rsidRDefault="003A6024" w:rsidP="003A6024">
      <w:pPr>
        <w:spacing w:after="240"/>
        <w:jc w:val="both"/>
        <w:rPr>
          <w:rFonts w:ascii="Arial" w:hAnsi="Arial" w:cs="Arial"/>
          <w:b/>
          <w:highlight w:val="yellow"/>
        </w:rPr>
      </w:pPr>
      <w:r w:rsidRPr="00AA5B05">
        <w:rPr>
          <w:rFonts w:ascii="Arial" w:hAnsi="Arial" w:cs="Arial"/>
          <w:b/>
          <w:highlight w:val="yellow"/>
        </w:rPr>
        <w:t>Add program specific requirements from:</w:t>
      </w:r>
    </w:p>
    <w:p w14:paraId="6B209652"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C33A72C" w14:textId="77777777" w:rsidR="003A6024" w:rsidRPr="00AA5B05" w:rsidRDefault="003A6024" w:rsidP="003A6024">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4A125AA" w14:textId="77777777" w:rsidR="003A6024" w:rsidRPr="00AA5B05" w:rsidRDefault="003A6024" w:rsidP="003A6024">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752ECD10" w14:textId="77777777" w:rsidR="003A6024" w:rsidRPr="00AA5B05" w:rsidRDefault="003A6024" w:rsidP="003A6024">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F7DC4A4" w14:textId="77777777" w:rsidR="003A6024" w:rsidRPr="000706D1" w:rsidRDefault="003A6024" w:rsidP="003A6024">
      <w:pPr>
        <w:pStyle w:val="Heading3"/>
        <w:jc w:val="both"/>
        <w:rPr>
          <w:rFonts w:cs="Arial"/>
          <w:sz w:val="24"/>
          <w:szCs w:val="24"/>
        </w:rPr>
      </w:pPr>
      <w:bookmarkStart w:id="171" w:name="_Toc212473228"/>
      <w:r w:rsidRPr="000706D1">
        <w:rPr>
          <w:rFonts w:cs="Arial"/>
          <w:sz w:val="24"/>
          <w:szCs w:val="24"/>
        </w:rPr>
        <w:t>Audit Objectives and Control Testing</w:t>
      </w:r>
      <w:bookmarkEnd w:id="171"/>
    </w:p>
    <w:p w14:paraId="36ED9BB9" w14:textId="77777777" w:rsidR="003A6024" w:rsidRPr="00F00D94" w:rsidRDefault="003A6024" w:rsidP="003A602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47BE15F" w14:textId="77777777" w:rsidR="003A6024" w:rsidRPr="00F00D94" w:rsidRDefault="003A6024" w:rsidP="003A6024">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2F81D932" w14:textId="77777777" w:rsidR="003A602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415B34AF" w14:textId="77777777" w:rsidR="00174E6A" w:rsidRDefault="00174E6A" w:rsidP="00174E6A">
      <w:pPr>
        <w:pStyle w:val="BodyText"/>
        <w:numPr>
          <w:ilvl w:val="0"/>
          <w:numId w:val="81"/>
        </w:numPr>
        <w:spacing w:before="90"/>
        <w:ind w:left="360" w:right="296" w:hanging="360"/>
        <w:jc w:val="both"/>
        <w:rPr>
          <w:rFonts w:ascii="Arial" w:hAnsi="Arial" w:cs="Arial"/>
          <w:szCs w:val="20"/>
        </w:rPr>
      </w:pPr>
      <w:r w:rsidRPr="00174E6A">
        <w:rPr>
          <w:rFonts w:ascii="Arial" w:hAnsi="Arial" w:cs="Arial"/>
          <w:szCs w:val="20"/>
        </w:rPr>
        <w:t xml:space="preserve">For most projects, Formula Income is prepopulated. Prepopulated data is derived from the FDS. Where the Formula Income was prepopulated and not modified, testing is not required. Where prepopulated data was modified, or Formula Income was not prepopulated, testing should occur. Auditors should determine that Formula Income was not prepopulated by reviewing the prepopulated data available in the Public Housing Portal (formerly the </w:t>
      </w:r>
      <w:hyperlink r:id="rId132">
        <w:r w:rsidRPr="00174E6A">
          <w:rPr>
            <w:rFonts w:ascii="Arial" w:hAnsi="Arial" w:cs="Arial"/>
            <w:color w:val="0000FF"/>
            <w:szCs w:val="20"/>
            <w:u w:val="single" w:color="0000FF"/>
          </w:rPr>
          <w:t>Operating Fund Web Portal</w:t>
        </w:r>
      </w:hyperlink>
      <w:hyperlink r:id="rId133">
        <w:r w:rsidRPr="00174E6A">
          <w:rPr>
            <w:rFonts w:ascii="Arial" w:hAnsi="Arial" w:cs="Arial"/>
            <w:szCs w:val="20"/>
          </w:rPr>
          <w:t>)</w:t>
        </w:r>
      </w:hyperlink>
      <w:r w:rsidRPr="00174E6A">
        <w:rPr>
          <w:rFonts w:ascii="Arial" w:hAnsi="Arial" w:cs="Arial"/>
          <w:szCs w:val="20"/>
        </w:rPr>
        <w:t>. The PHA can provide the Auditor with this data if the Auditor does not have access to the Public Housing Portal.</w:t>
      </w:r>
    </w:p>
    <w:p w14:paraId="1D897129" w14:textId="63EB1FDE" w:rsidR="00174E6A" w:rsidRDefault="00174E6A" w:rsidP="00174E6A">
      <w:pPr>
        <w:pStyle w:val="BodyText"/>
        <w:spacing w:after="0"/>
        <w:ind w:left="360" w:right="296"/>
        <w:jc w:val="both"/>
        <w:rPr>
          <w:rFonts w:ascii="Arial" w:hAnsi="Arial" w:cs="Arial"/>
          <w:szCs w:val="20"/>
        </w:rPr>
      </w:pPr>
      <w:r w:rsidRPr="00174E6A">
        <w:rPr>
          <w:rFonts w:ascii="Arial" w:hAnsi="Arial" w:cs="Arial"/>
          <w:szCs w:val="20"/>
        </w:rPr>
        <w:t xml:space="preserve">The auditor should review the following documents to ensure Formula Income was calculated correctly. These documents are on the HUD Financial Management Division (FMD) annual </w:t>
      </w:r>
      <w:hyperlink r:id="rId134">
        <w:r w:rsidRPr="00174E6A">
          <w:rPr>
            <w:rFonts w:ascii="Arial" w:hAnsi="Arial" w:cs="Arial"/>
            <w:color w:val="0000FF"/>
            <w:szCs w:val="20"/>
            <w:u w:val="single" w:color="0000FF"/>
          </w:rPr>
          <w:t>Operating Subsidy Web Page</w:t>
        </w:r>
        <w:r w:rsidRPr="00174E6A">
          <w:rPr>
            <w:rFonts w:ascii="Arial" w:hAnsi="Arial" w:cs="Arial"/>
            <w:szCs w:val="20"/>
          </w:rPr>
          <w:t>.</w:t>
        </w:r>
      </w:hyperlink>
    </w:p>
    <w:p w14:paraId="44EE98AE" w14:textId="77777777" w:rsidR="00174E6A" w:rsidRPr="00174E6A" w:rsidRDefault="00174E6A" w:rsidP="00174E6A">
      <w:pPr>
        <w:pStyle w:val="BodyText"/>
        <w:spacing w:after="0"/>
        <w:ind w:right="296"/>
        <w:jc w:val="both"/>
        <w:rPr>
          <w:rFonts w:ascii="Arial" w:hAnsi="Arial" w:cs="Arial"/>
          <w:szCs w:val="20"/>
        </w:rPr>
      </w:pPr>
    </w:p>
    <w:p w14:paraId="21008F6F" w14:textId="744611D4" w:rsidR="00174E6A" w:rsidRDefault="00174E6A" w:rsidP="00174E6A">
      <w:pPr>
        <w:pStyle w:val="ListParagraph"/>
        <w:widowControl w:val="0"/>
        <w:numPr>
          <w:ilvl w:val="1"/>
          <w:numId w:val="34"/>
        </w:numPr>
        <w:tabs>
          <w:tab w:val="left" w:pos="2259"/>
          <w:tab w:val="left" w:pos="2260"/>
        </w:tabs>
        <w:jc w:val="both"/>
        <w:rPr>
          <w:rFonts w:ascii="Arial" w:hAnsi="Arial" w:cs="Arial"/>
        </w:rPr>
      </w:pPr>
      <w:hyperlink r:id="rId135">
        <w:r w:rsidRPr="00174E6A">
          <w:rPr>
            <w:rFonts w:ascii="Arial" w:hAnsi="Arial" w:cs="Arial"/>
            <w:color w:val="0000FF"/>
            <w:u w:val="single" w:color="0000FF"/>
          </w:rPr>
          <w:t>Formula Income</w:t>
        </w:r>
        <w:r w:rsidRPr="00174E6A">
          <w:rPr>
            <w:rFonts w:ascii="Arial" w:hAnsi="Arial" w:cs="Arial"/>
            <w:color w:val="0000FF"/>
            <w:spacing w:val="-2"/>
            <w:u w:val="single" w:color="0000FF"/>
          </w:rPr>
          <w:t xml:space="preserve"> </w:t>
        </w:r>
        <w:r w:rsidRPr="00174E6A">
          <w:rPr>
            <w:rFonts w:ascii="Arial" w:hAnsi="Arial" w:cs="Arial"/>
            <w:color w:val="0000FF"/>
            <w:u w:val="single" w:color="0000FF"/>
          </w:rPr>
          <w:t>Guidance</w:t>
        </w:r>
      </w:hyperlink>
    </w:p>
    <w:p w14:paraId="1728E94E" w14:textId="77777777" w:rsidR="00174E6A" w:rsidRPr="00174E6A" w:rsidRDefault="00174E6A" w:rsidP="00174E6A">
      <w:pPr>
        <w:widowControl w:val="0"/>
        <w:tabs>
          <w:tab w:val="left" w:pos="2259"/>
          <w:tab w:val="left" w:pos="2260"/>
        </w:tabs>
        <w:jc w:val="both"/>
        <w:rPr>
          <w:rFonts w:ascii="Arial" w:hAnsi="Arial" w:cs="Arial"/>
        </w:rPr>
      </w:pPr>
    </w:p>
    <w:p w14:paraId="3280771D" w14:textId="6B54D8D2" w:rsidR="00174E6A" w:rsidRDefault="00174E6A" w:rsidP="00174E6A">
      <w:pPr>
        <w:pStyle w:val="ListParagraph"/>
        <w:widowControl w:val="0"/>
        <w:numPr>
          <w:ilvl w:val="1"/>
          <w:numId w:val="34"/>
        </w:numPr>
        <w:tabs>
          <w:tab w:val="left" w:pos="2259"/>
          <w:tab w:val="left" w:pos="2260"/>
        </w:tabs>
        <w:jc w:val="both"/>
        <w:rPr>
          <w:rFonts w:ascii="Arial" w:hAnsi="Arial" w:cs="Arial"/>
        </w:rPr>
      </w:pPr>
      <w:r w:rsidRPr="00174E6A">
        <w:rPr>
          <w:rFonts w:ascii="Arial" w:hAnsi="Arial" w:cs="Arial"/>
        </w:rPr>
        <w:t>Guidance on Non-Asset Management PHAs Reporting a Single FDS with Multiple PIC Projects and HUD-</w:t>
      </w:r>
      <w:hyperlink r:id="rId136">
        <w:r w:rsidRPr="00174E6A">
          <w:rPr>
            <w:rFonts w:ascii="Arial" w:hAnsi="Arial" w:cs="Arial"/>
            <w:color w:val="0000FF"/>
            <w:u w:val="single" w:color="0000FF"/>
          </w:rPr>
          <w:t>52723</w:t>
        </w:r>
      </w:hyperlink>
      <w:r w:rsidRPr="00174E6A">
        <w:rPr>
          <w:rFonts w:ascii="Arial" w:hAnsi="Arial" w:cs="Arial"/>
        </w:rPr>
        <w:t>s: Calculation of Formula Income and other Miscellaneous Add-ons including Audit and PILOT</w:t>
      </w:r>
      <w:r w:rsidRPr="00174E6A">
        <w:rPr>
          <w:rFonts w:ascii="Arial" w:hAnsi="Arial" w:cs="Arial"/>
          <w:spacing w:val="-6"/>
        </w:rPr>
        <w:t xml:space="preserve"> </w:t>
      </w:r>
      <w:r w:rsidRPr="00174E6A">
        <w:rPr>
          <w:rFonts w:ascii="Arial" w:hAnsi="Arial" w:cs="Arial"/>
        </w:rPr>
        <w:t>Funding.</w:t>
      </w:r>
    </w:p>
    <w:p w14:paraId="78938DCC" w14:textId="77777777" w:rsidR="00174E6A" w:rsidRPr="00174E6A" w:rsidRDefault="00174E6A" w:rsidP="00174E6A">
      <w:pPr>
        <w:widowControl w:val="0"/>
        <w:tabs>
          <w:tab w:val="left" w:pos="2259"/>
          <w:tab w:val="left" w:pos="2260"/>
        </w:tabs>
        <w:jc w:val="both"/>
        <w:rPr>
          <w:rFonts w:ascii="Arial" w:hAnsi="Arial" w:cs="Arial"/>
        </w:rPr>
      </w:pPr>
    </w:p>
    <w:p w14:paraId="0DAE60D8" w14:textId="77777777" w:rsidR="00174E6A" w:rsidRDefault="00174E6A" w:rsidP="00174E6A">
      <w:pPr>
        <w:pStyle w:val="ListParagraph"/>
        <w:widowControl w:val="0"/>
        <w:numPr>
          <w:ilvl w:val="1"/>
          <w:numId w:val="34"/>
        </w:numPr>
        <w:tabs>
          <w:tab w:val="left" w:pos="2259"/>
          <w:tab w:val="left" w:pos="2260"/>
        </w:tabs>
        <w:ind w:right="620"/>
        <w:jc w:val="both"/>
        <w:rPr>
          <w:rFonts w:ascii="Arial" w:hAnsi="Arial" w:cs="Arial"/>
        </w:rPr>
      </w:pPr>
      <w:hyperlink r:id="rId137">
        <w:r w:rsidRPr="00174E6A">
          <w:rPr>
            <w:rFonts w:ascii="Arial" w:hAnsi="Arial" w:cs="Arial"/>
            <w:color w:val="0000FF"/>
            <w:u w:val="single" w:color="0000FF"/>
          </w:rPr>
          <w:t>Guidance on the How to Reverse the Impact of Rent Reductions from the Jobs</w:t>
        </w:r>
      </w:hyperlink>
      <w:hyperlink r:id="rId138">
        <w:r w:rsidRPr="00174E6A">
          <w:rPr>
            <w:rFonts w:ascii="Arial" w:hAnsi="Arial" w:cs="Arial"/>
            <w:color w:val="0000FF"/>
            <w:u w:val="single" w:color="0000FF"/>
          </w:rPr>
          <w:t xml:space="preserve"> Plus Earned Income Disregard (JPEID) on Formula</w:t>
        </w:r>
        <w:r w:rsidRPr="00174E6A">
          <w:rPr>
            <w:rFonts w:ascii="Arial" w:hAnsi="Arial" w:cs="Arial"/>
            <w:color w:val="0000FF"/>
            <w:spacing w:val="-5"/>
            <w:u w:val="single" w:color="0000FF"/>
          </w:rPr>
          <w:t xml:space="preserve"> </w:t>
        </w:r>
        <w:r w:rsidRPr="00174E6A">
          <w:rPr>
            <w:rFonts w:ascii="Arial" w:hAnsi="Arial" w:cs="Arial"/>
            <w:color w:val="0000FF"/>
            <w:u w:val="single" w:color="0000FF"/>
          </w:rPr>
          <w:t>Income</w:t>
        </w:r>
      </w:hyperlink>
    </w:p>
    <w:p w14:paraId="0A6E70CE" w14:textId="77777777" w:rsidR="00174E6A" w:rsidRPr="00174E6A" w:rsidRDefault="00174E6A" w:rsidP="00174E6A">
      <w:pPr>
        <w:widowControl w:val="0"/>
        <w:tabs>
          <w:tab w:val="left" w:pos="2259"/>
          <w:tab w:val="left" w:pos="2260"/>
        </w:tabs>
        <w:ind w:right="620"/>
        <w:jc w:val="both"/>
        <w:rPr>
          <w:rFonts w:ascii="Arial" w:hAnsi="Arial" w:cs="Arial"/>
        </w:rPr>
      </w:pPr>
    </w:p>
    <w:p w14:paraId="474B19AB" w14:textId="091A4C09" w:rsidR="00174E6A" w:rsidRDefault="00174E6A" w:rsidP="00174E6A">
      <w:pPr>
        <w:pStyle w:val="ListParagraph"/>
        <w:widowControl w:val="0"/>
        <w:numPr>
          <w:ilvl w:val="1"/>
          <w:numId w:val="34"/>
        </w:numPr>
        <w:tabs>
          <w:tab w:val="left" w:pos="2259"/>
          <w:tab w:val="left" w:pos="2260"/>
        </w:tabs>
        <w:ind w:right="620"/>
        <w:jc w:val="both"/>
        <w:rPr>
          <w:rFonts w:ascii="Arial" w:hAnsi="Arial" w:cs="Arial"/>
        </w:rPr>
      </w:pPr>
      <w:r w:rsidRPr="00174E6A">
        <w:rPr>
          <w:rFonts w:ascii="Arial" w:hAnsi="Arial" w:cs="Arial"/>
        </w:rPr>
        <w:t>Financial Reporting for the Family Self-Sufficiency (FSS) Program</w:t>
      </w:r>
      <w:r w:rsidRPr="00174E6A">
        <w:rPr>
          <w:rFonts w:ascii="Arial" w:hAnsi="Arial" w:cs="Arial"/>
          <w:color w:val="0000FF"/>
        </w:rPr>
        <w:t xml:space="preserve"> </w:t>
      </w:r>
      <w:hyperlink r:id="rId139">
        <w:r w:rsidRPr="00174E6A">
          <w:rPr>
            <w:rFonts w:ascii="Arial" w:hAnsi="Arial" w:cs="Arial"/>
            <w:color w:val="0000FF"/>
            <w:u w:val="single" w:color="0000FF"/>
          </w:rPr>
          <w:t>Accounting</w:t>
        </w:r>
      </w:hyperlink>
      <w:hyperlink r:id="rId140">
        <w:r w:rsidRPr="00174E6A">
          <w:rPr>
            <w:rFonts w:ascii="Arial" w:hAnsi="Arial" w:cs="Arial"/>
            <w:color w:val="0000FF"/>
            <w:u w:val="single" w:color="0000FF"/>
          </w:rPr>
          <w:t xml:space="preserve"> Brief #23</w:t>
        </w:r>
      </w:hyperlink>
    </w:p>
    <w:p w14:paraId="123840AB" w14:textId="77777777" w:rsidR="00174E6A" w:rsidRPr="00174E6A" w:rsidRDefault="00174E6A" w:rsidP="00174E6A">
      <w:pPr>
        <w:widowControl w:val="0"/>
        <w:tabs>
          <w:tab w:val="left" w:pos="2259"/>
          <w:tab w:val="left" w:pos="2260"/>
        </w:tabs>
        <w:ind w:right="620"/>
        <w:jc w:val="both"/>
        <w:rPr>
          <w:rFonts w:ascii="Arial" w:hAnsi="Arial" w:cs="Arial"/>
        </w:rPr>
      </w:pPr>
    </w:p>
    <w:p w14:paraId="3EB01A82" w14:textId="46F1923A" w:rsidR="00174E6A" w:rsidRPr="00174E6A" w:rsidRDefault="00174E6A" w:rsidP="00174E6A">
      <w:pPr>
        <w:pStyle w:val="ListParagraph"/>
        <w:widowControl w:val="0"/>
        <w:numPr>
          <w:ilvl w:val="1"/>
          <w:numId w:val="34"/>
        </w:numPr>
        <w:tabs>
          <w:tab w:val="left" w:pos="2259"/>
          <w:tab w:val="left" w:pos="2260"/>
        </w:tabs>
        <w:spacing w:before="90"/>
        <w:jc w:val="both"/>
        <w:rPr>
          <w:rFonts w:ascii="Arial" w:hAnsi="Arial" w:cs="Arial"/>
        </w:rPr>
      </w:pPr>
      <w:r w:rsidRPr="00174E6A">
        <w:rPr>
          <w:rFonts w:ascii="Arial" w:hAnsi="Arial" w:cs="Arial"/>
        </w:rPr>
        <w:t>Annual Operating Subsidy Processing</w:t>
      </w:r>
      <w:r w:rsidRPr="00174E6A">
        <w:rPr>
          <w:rFonts w:ascii="Arial" w:hAnsi="Arial" w:cs="Arial"/>
          <w:spacing w:val="-10"/>
        </w:rPr>
        <w:t xml:space="preserve"> </w:t>
      </w:r>
      <w:r w:rsidRPr="00174E6A">
        <w:rPr>
          <w:rFonts w:ascii="Arial" w:hAnsi="Arial" w:cs="Arial"/>
          <w:spacing w:val="-3"/>
        </w:rPr>
        <w:t>Notice</w:t>
      </w:r>
    </w:p>
    <w:p w14:paraId="007BF252" w14:textId="77777777" w:rsidR="00174E6A" w:rsidRPr="00174E6A" w:rsidRDefault="00174E6A" w:rsidP="00174E6A">
      <w:pPr>
        <w:widowControl w:val="0"/>
        <w:tabs>
          <w:tab w:val="left" w:pos="2259"/>
          <w:tab w:val="left" w:pos="2260"/>
        </w:tabs>
        <w:spacing w:before="90"/>
        <w:jc w:val="both"/>
        <w:rPr>
          <w:rFonts w:ascii="Arial" w:hAnsi="Arial" w:cs="Arial"/>
        </w:rPr>
      </w:pPr>
    </w:p>
    <w:p w14:paraId="04F5C02D" w14:textId="77777777" w:rsidR="00174E6A" w:rsidRPr="00174E6A" w:rsidRDefault="00174E6A" w:rsidP="00174E6A">
      <w:pPr>
        <w:pStyle w:val="BodyText"/>
        <w:tabs>
          <w:tab w:val="left" w:pos="360"/>
        </w:tabs>
        <w:ind w:left="360" w:right="296"/>
        <w:jc w:val="both"/>
        <w:rPr>
          <w:rFonts w:ascii="Arial" w:hAnsi="Arial" w:cs="Arial"/>
          <w:szCs w:val="20"/>
        </w:rPr>
      </w:pPr>
      <w:r w:rsidRPr="00174E6A">
        <w:rPr>
          <w:rFonts w:ascii="Arial" w:hAnsi="Arial" w:cs="Arial"/>
          <w:szCs w:val="20"/>
        </w:rPr>
        <w:t>Where Formula Income was not prepopulated or the prepopulated amount was adjusted, ensure that the formula income input into Form 52723, or the adjustment to the prepopulated Formula Income, was done accurately.</w:t>
      </w:r>
    </w:p>
    <w:p w14:paraId="23762B48" w14:textId="062D0D25" w:rsidR="003A6024" w:rsidRPr="00174E6A" w:rsidRDefault="00174E6A" w:rsidP="00174E6A">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07673403" w14:textId="77777777" w:rsidR="003A6024" w:rsidRPr="00634FA3" w:rsidRDefault="003A6024" w:rsidP="003A6024">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3A6024" w:rsidRPr="00F00D94" w14:paraId="5AE04932" w14:textId="77777777" w:rsidTr="009F1483">
        <w:tc>
          <w:tcPr>
            <w:tcW w:w="5000" w:type="pct"/>
          </w:tcPr>
          <w:p w14:paraId="1D431C2D" w14:textId="77777777" w:rsidR="003A6024" w:rsidRPr="006F5FFA" w:rsidRDefault="003A6024"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29CAFF5"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40171A07" w14:textId="77777777" w:rsidR="003A6024" w:rsidRPr="00F00D94" w:rsidRDefault="003A6024" w:rsidP="009F1483">
            <w:pPr>
              <w:pStyle w:val="AuditProcedureHeading"/>
              <w:spacing w:after="240"/>
              <w:jc w:val="both"/>
              <w:rPr>
                <w:rFonts w:cs="Arial"/>
                <w:b/>
                <w:bCs/>
                <w:szCs w:val="20"/>
                <w:u w:val="single"/>
              </w:rPr>
            </w:pPr>
          </w:p>
          <w:p w14:paraId="514E5815" w14:textId="77777777" w:rsidR="003A6024" w:rsidRPr="00F00D94" w:rsidRDefault="003A6024"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4595F9CA" w14:textId="77777777" w:rsidR="003A6024" w:rsidRPr="00F00D94" w:rsidRDefault="003A6024" w:rsidP="009F1483">
            <w:pPr>
              <w:pStyle w:val="AuditProcedureHeading"/>
              <w:spacing w:after="240"/>
              <w:jc w:val="both"/>
              <w:rPr>
                <w:rFonts w:cs="Arial"/>
                <w:b/>
                <w:bCs/>
                <w:szCs w:val="20"/>
                <w:u w:val="single"/>
              </w:rPr>
            </w:pPr>
          </w:p>
          <w:p w14:paraId="259CA442" w14:textId="77777777" w:rsidR="003A6024" w:rsidRPr="00F00D94" w:rsidRDefault="003A6024"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55644B5" w14:textId="77777777" w:rsidR="003A6024" w:rsidRPr="00F00D94" w:rsidRDefault="003A6024" w:rsidP="009F1483">
            <w:pPr>
              <w:spacing w:after="240"/>
              <w:jc w:val="both"/>
              <w:rPr>
                <w:rFonts w:ascii="Arial" w:hAnsi="Arial" w:cs="Arial"/>
                <w:b/>
                <w:sz w:val="20"/>
                <w:u w:val="single"/>
              </w:rPr>
            </w:pPr>
          </w:p>
          <w:p w14:paraId="5996873A" w14:textId="77777777" w:rsidR="003A6024" w:rsidRPr="00F00D94" w:rsidRDefault="003A6024"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ECEB41A" w14:textId="77777777" w:rsidR="003A6024" w:rsidRPr="00C35E5F" w:rsidRDefault="003A6024" w:rsidP="009F1483">
            <w:pPr>
              <w:spacing w:after="240"/>
              <w:jc w:val="both"/>
              <w:rPr>
                <w:rFonts w:ascii="Arial" w:eastAsiaTheme="minorHAnsi" w:hAnsi="Arial" w:cs="Arial"/>
                <w:sz w:val="20"/>
                <w:szCs w:val="20"/>
              </w:rPr>
            </w:pPr>
          </w:p>
        </w:tc>
      </w:tr>
    </w:tbl>
    <w:p w14:paraId="6964F7D3"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618452BC" w14:textId="77777777" w:rsidR="003A6024" w:rsidRPr="000706D1" w:rsidRDefault="003A6024" w:rsidP="003A6024">
      <w:pPr>
        <w:pStyle w:val="Heading3"/>
        <w:jc w:val="both"/>
        <w:rPr>
          <w:rFonts w:cs="Arial"/>
          <w:sz w:val="24"/>
          <w:szCs w:val="24"/>
        </w:rPr>
      </w:pPr>
      <w:bookmarkStart w:id="172" w:name="_Toc212473229"/>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72"/>
    </w:p>
    <w:tbl>
      <w:tblPr>
        <w:tblStyle w:val="TableGrid"/>
        <w:tblW w:w="9558" w:type="dxa"/>
        <w:tblLayout w:type="fixed"/>
        <w:tblLook w:val="04A0" w:firstRow="1" w:lastRow="0" w:firstColumn="1" w:lastColumn="0" w:noHBand="0" w:noVBand="1"/>
      </w:tblPr>
      <w:tblGrid>
        <w:gridCol w:w="9558"/>
      </w:tblGrid>
      <w:tr w:rsidR="003A6024" w:rsidRPr="00F00D94" w14:paraId="38B8DB70" w14:textId="77777777" w:rsidTr="009F1483">
        <w:tc>
          <w:tcPr>
            <w:tcW w:w="9558" w:type="dxa"/>
          </w:tcPr>
          <w:p w14:paraId="2C66E485" w14:textId="77777777" w:rsidR="003A6024" w:rsidRDefault="003A6024" w:rsidP="009F1483">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02597D37" w14:textId="77777777" w:rsidR="003A6024" w:rsidRPr="00AC7B25" w:rsidRDefault="003A6024" w:rsidP="009F1483">
            <w:pPr>
              <w:spacing w:after="240"/>
              <w:jc w:val="both"/>
              <w:rPr>
                <w:rFonts w:ascii="Arial" w:hAnsi="Arial" w:cs="Arial"/>
                <w:i/>
                <w:sz w:val="20"/>
                <w:szCs w:val="20"/>
              </w:rPr>
            </w:pPr>
            <w:r>
              <w:rPr>
                <w:rFonts w:ascii="Arial" w:hAnsi="Arial" w:cs="Arial"/>
                <w:i/>
                <w:sz w:val="20"/>
                <w:szCs w:val="20"/>
              </w:rPr>
              <w:t>(Source: 2025 OMB Compliance Supplement Part 3.2)</w:t>
            </w:r>
          </w:p>
          <w:p w14:paraId="375D40C2" w14:textId="77777777" w:rsidR="00174E6A" w:rsidRPr="00174E6A" w:rsidRDefault="00174E6A" w:rsidP="00174E6A">
            <w:pPr>
              <w:spacing w:after="240"/>
              <w:ind w:left="703" w:hanging="703"/>
              <w:jc w:val="both"/>
              <w:rPr>
                <w:rFonts w:ascii="Arial" w:hAnsi="Arial" w:cs="Arial"/>
                <w:sz w:val="20"/>
              </w:rPr>
            </w:pPr>
            <w:r w:rsidRPr="00174E6A">
              <w:rPr>
                <w:rFonts w:ascii="Arial" w:hAnsi="Arial" w:cs="Arial"/>
                <w:sz w:val="20"/>
              </w:rPr>
              <w:t>a.</w:t>
            </w:r>
            <w:r w:rsidRPr="00174E6A">
              <w:rPr>
                <w:rFonts w:ascii="Arial" w:hAnsi="Arial" w:cs="Arial"/>
                <w:sz w:val="20"/>
              </w:rPr>
              <w:tab/>
              <w:t>Where prepopulated Formula Income was adjusted, test the supporting documentation to ensure that the adjustment was made for appropriate reasons. Test the supporting documentation and calculation to validate that Formula Income was correctly calculated. Adjustments should only be made due to JPEID, FSS, or Non-Asset Management with multiple projects that report only one project in FDS (see guidance provided on HUD FMD annual operating subsidy webpage).</w:t>
            </w:r>
          </w:p>
          <w:p w14:paraId="0F8A2666" w14:textId="77777777" w:rsidR="00174E6A" w:rsidRPr="00174E6A" w:rsidRDefault="00174E6A" w:rsidP="00174E6A">
            <w:pPr>
              <w:spacing w:after="240"/>
              <w:ind w:left="703" w:hanging="703"/>
              <w:jc w:val="both"/>
              <w:rPr>
                <w:rFonts w:ascii="Arial" w:hAnsi="Arial" w:cs="Arial"/>
                <w:sz w:val="20"/>
              </w:rPr>
            </w:pPr>
          </w:p>
          <w:p w14:paraId="3E25519D" w14:textId="46379162" w:rsidR="003A6024" w:rsidRPr="001B6A61" w:rsidRDefault="00174E6A" w:rsidP="00174E6A">
            <w:pPr>
              <w:spacing w:after="240"/>
              <w:ind w:left="703" w:hanging="703"/>
              <w:jc w:val="both"/>
              <w:rPr>
                <w:rFonts w:ascii="Arial" w:hAnsi="Arial" w:cs="Arial"/>
                <w:b/>
                <w:bCs/>
                <w:sz w:val="20"/>
              </w:rPr>
            </w:pPr>
            <w:r w:rsidRPr="00174E6A">
              <w:rPr>
                <w:rFonts w:ascii="Arial" w:hAnsi="Arial" w:cs="Arial"/>
                <w:sz w:val="20"/>
              </w:rPr>
              <w:t>b.</w:t>
            </w:r>
            <w:r w:rsidRPr="00174E6A">
              <w:rPr>
                <w:rFonts w:ascii="Arial" w:hAnsi="Arial" w:cs="Arial"/>
                <w:sz w:val="20"/>
              </w:rPr>
              <w:tab/>
              <w:t>Where Formula Income was not prepopulated, test the supporting documentation and calculation to validate that Formula Income was correctly calculated. Formula income may not have been prepopulated for the following reasons: Non-Asset Management with multiple projects that report only one project in FDS, mixed-finance projects, or approved FDS data not available at the time FMD pulled data used to prepopulate the 52723.</w:t>
            </w:r>
          </w:p>
        </w:tc>
      </w:tr>
    </w:tbl>
    <w:p w14:paraId="26C73BA5" w14:textId="77777777" w:rsidR="003A6024" w:rsidRPr="00F00D94" w:rsidRDefault="003A6024" w:rsidP="003A6024">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4447E842" w14:textId="77777777" w:rsidR="003A6024" w:rsidRPr="000706D1" w:rsidRDefault="003A6024" w:rsidP="003A6024">
      <w:pPr>
        <w:pStyle w:val="Heading3"/>
        <w:jc w:val="both"/>
        <w:rPr>
          <w:rFonts w:cs="Arial"/>
          <w:b w:val="0"/>
          <w:sz w:val="24"/>
          <w:szCs w:val="24"/>
        </w:rPr>
      </w:pPr>
      <w:bookmarkStart w:id="173" w:name="_Toc212473230"/>
      <w:r w:rsidRPr="000706D1">
        <w:rPr>
          <w:rFonts w:cs="Arial"/>
          <w:sz w:val="24"/>
          <w:szCs w:val="24"/>
        </w:rPr>
        <w:t>Audit Implications Summary</w:t>
      </w:r>
      <w:bookmarkEnd w:id="173"/>
    </w:p>
    <w:tbl>
      <w:tblPr>
        <w:tblStyle w:val="TableGrid"/>
        <w:tblW w:w="5000" w:type="pct"/>
        <w:tblLook w:val="04A0" w:firstRow="1" w:lastRow="0" w:firstColumn="1" w:lastColumn="0" w:noHBand="0" w:noVBand="1"/>
      </w:tblPr>
      <w:tblGrid>
        <w:gridCol w:w="9350"/>
      </w:tblGrid>
      <w:tr w:rsidR="003A6024" w:rsidRPr="00F00D94" w14:paraId="4391C4F9" w14:textId="77777777" w:rsidTr="009F1483">
        <w:tc>
          <w:tcPr>
            <w:tcW w:w="5000" w:type="pct"/>
          </w:tcPr>
          <w:p w14:paraId="15A5F21D" w14:textId="77777777" w:rsidR="003A6024" w:rsidRDefault="003A6024"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45F69D" w14:textId="77777777" w:rsidR="003A6024" w:rsidRPr="006E46AD" w:rsidRDefault="003A6024"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0912A1BB" w14:textId="77777777" w:rsidR="003A6024" w:rsidRPr="006E46AD" w:rsidRDefault="003A6024" w:rsidP="00174E6A">
            <w:pPr>
              <w:pStyle w:val="ListParagraph"/>
              <w:widowControl w:val="0"/>
              <w:numPr>
                <w:ilvl w:val="0"/>
                <w:numId w:val="8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AD33B5B" w14:textId="77777777" w:rsidR="003A6024" w:rsidRPr="006E46AD" w:rsidRDefault="003A6024" w:rsidP="009F1483">
            <w:pPr>
              <w:widowControl w:val="0"/>
              <w:spacing w:after="240"/>
              <w:ind w:left="720"/>
              <w:jc w:val="both"/>
              <w:rPr>
                <w:rFonts w:ascii="Arial" w:hAnsi="Arial" w:cs="Arial"/>
                <w:b/>
                <w:sz w:val="20"/>
                <w:szCs w:val="20"/>
              </w:rPr>
            </w:pPr>
          </w:p>
          <w:p w14:paraId="0498E349" w14:textId="77777777" w:rsidR="003A6024" w:rsidRPr="006E46AD" w:rsidRDefault="003A6024" w:rsidP="00174E6A">
            <w:pPr>
              <w:widowControl w:val="0"/>
              <w:numPr>
                <w:ilvl w:val="0"/>
                <w:numId w:val="8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8541719" w14:textId="77777777" w:rsidR="003A6024" w:rsidRPr="00F00D94" w:rsidRDefault="003A6024" w:rsidP="009F1483">
            <w:pPr>
              <w:pStyle w:val="ListParagraph"/>
              <w:spacing w:after="240"/>
              <w:jc w:val="both"/>
              <w:rPr>
                <w:rFonts w:ascii="Arial" w:hAnsi="Arial" w:cs="Arial"/>
                <w:b/>
              </w:rPr>
            </w:pPr>
          </w:p>
          <w:p w14:paraId="4D070108" w14:textId="77777777" w:rsidR="003A6024" w:rsidRPr="00F00D94" w:rsidRDefault="003A6024" w:rsidP="00174E6A">
            <w:pPr>
              <w:widowControl w:val="0"/>
              <w:numPr>
                <w:ilvl w:val="0"/>
                <w:numId w:val="8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0BF7FED" w14:textId="77777777" w:rsidR="003A6024" w:rsidRPr="00F00D94" w:rsidRDefault="003A6024" w:rsidP="009F1483">
            <w:pPr>
              <w:pStyle w:val="ListParagraph"/>
              <w:spacing w:after="240"/>
              <w:jc w:val="both"/>
              <w:rPr>
                <w:rFonts w:ascii="Arial" w:hAnsi="Arial" w:cs="Arial"/>
                <w:b/>
              </w:rPr>
            </w:pPr>
          </w:p>
          <w:p w14:paraId="6D9B6FC7" w14:textId="77777777" w:rsidR="003A6024" w:rsidRPr="00F00D94" w:rsidRDefault="003A6024" w:rsidP="00174E6A">
            <w:pPr>
              <w:widowControl w:val="0"/>
              <w:numPr>
                <w:ilvl w:val="0"/>
                <w:numId w:val="82"/>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F1C0679" w14:textId="77777777" w:rsidR="003A6024" w:rsidRPr="00F00D94" w:rsidRDefault="003A6024" w:rsidP="009F1483">
            <w:pPr>
              <w:pStyle w:val="ListParagraph"/>
              <w:spacing w:after="240"/>
              <w:jc w:val="both"/>
              <w:rPr>
                <w:rFonts w:ascii="Arial" w:hAnsi="Arial" w:cs="Arial"/>
                <w:b/>
              </w:rPr>
            </w:pPr>
          </w:p>
          <w:p w14:paraId="7131406C" w14:textId="77777777" w:rsidR="003A6024" w:rsidRPr="00F00D94" w:rsidRDefault="003A6024" w:rsidP="00174E6A">
            <w:pPr>
              <w:widowControl w:val="0"/>
              <w:numPr>
                <w:ilvl w:val="0"/>
                <w:numId w:val="8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98161CE" w14:textId="77777777" w:rsidR="003A6024" w:rsidRPr="00F00D94" w:rsidRDefault="003A6024" w:rsidP="009F1483">
            <w:pPr>
              <w:pStyle w:val="APStepItem"/>
              <w:numPr>
                <w:ilvl w:val="0"/>
                <w:numId w:val="0"/>
              </w:numPr>
              <w:spacing w:after="240"/>
              <w:rPr>
                <w:rFonts w:cs="Arial"/>
                <w:b/>
              </w:rPr>
            </w:pPr>
          </w:p>
        </w:tc>
      </w:tr>
    </w:tbl>
    <w:p w14:paraId="75A793F5" w14:textId="77777777" w:rsidR="00174E6A" w:rsidRDefault="00174E6A" w:rsidP="00C04E8C">
      <w:pPr>
        <w:pStyle w:val="Heading2"/>
        <w:jc w:val="both"/>
        <w:rPr>
          <w:rFonts w:cs="Arial"/>
          <w:sz w:val="24"/>
        </w:rPr>
        <w:sectPr w:rsidR="00174E6A" w:rsidSect="00C04E8C">
          <w:headerReference w:type="default" r:id="rId142"/>
          <w:pgSz w:w="12240" w:h="15840" w:code="1"/>
          <w:pgMar w:top="1440" w:right="1440" w:bottom="1440" w:left="1440" w:header="720" w:footer="720" w:gutter="0"/>
          <w:cols w:space="720"/>
          <w:docGrid w:linePitch="360"/>
        </w:sectPr>
      </w:pPr>
    </w:p>
    <w:p w14:paraId="735B25B8" w14:textId="6729096D" w:rsidR="00C04E8C" w:rsidRPr="000706D1" w:rsidRDefault="00C04E8C" w:rsidP="00C04E8C">
      <w:pPr>
        <w:pStyle w:val="Heading2"/>
        <w:jc w:val="both"/>
        <w:rPr>
          <w:rFonts w:cs="Arial"/>
          <w:sz w:val="24"/>
        </w:rPr>
      </w:pPr>
      <w:bookmarkStart w:id="174" w:name="_Toc212473231"/>
      <w:r w:rsidRPr="000706D1">
        <w:rPr>
          <w:rFonts w:cs="Arial"/>
          <w:sz w:val="24"/>
        </w:rPr>
        <w:lastRenderedPageBreak/>
        <w:t>N</w:t>
      </w:r>
      <w:r w:rsidR="00174E6A">
        <w:rPr>
          <w:rFonts w:cs="Arial"/>
          <w:sz w:val="24"/>
        </w:rPr>
        <w:t>19</w:t>
      </w:r>
      <w:r w:rsidRPr="000706D1">
        <w:rPr>
          <w:rFonts w:cs="Arial"/>
          <w:sz w:val="24"/>
        </w:rPr>
        <w:t xml:space="preserve">. </w:t>
      </w:r>
      <w:r w:rsidR="00E6567C" w:rsidRPr="000706D1">
        <w:rPr>
          <w:rFonts w:cs="Arial"/>
          <w:sz w:val="24"/>
        </w:rPr>
        <w:t>SPECIAL TESTS AND PROVISIONS</w:t>
      </w:r>
      <w:r w:rsidR="00E6567C">
        <w:rPr>
          <w:rFonts w:cs="Arial"/>
          <w:sz w:val="24"/>
        </w:rPr>
        <w:t xml:space="preserve"> – </w:t>
      </w:r>
      <w:r w:rsidR="00174E6A">
        <w:rPr>
          <w:rFonts w:cs="Arial"/>
          <w:sz w:val="24"/>
        </w:rPr>
        <w:t>SHORTFALL FUNDING</w:t>
      </w:r>
      <w:bookmarkEnd w:id="174"/>
    </w:p>
    <w:p w14:paraId="0AC2E76D" w14:textId="77777777" w:rsidR="00C04E8C" w:rsidRPr="000706D1" w:rsidRDefault="00C04E8C" w:rsidP="00C04E8C">
      <w:pPr>
        <w:pStyle w:val="Heading3"/>
        <w:jc w:val="both"/>
        <w:rPr>
          <w:rFonts w:cs="Arial"/>
          <w:sz w:val="24"/>
          <w:szCs w:val="24"/>
        </w:rPr>
      </w:pPr>
      <w:bookmarkStart w:id="175" w:name="_Toc212473232"/>
      <w:r w:rsidRPr="000706D1">
        <w:rPr>
          <w:rFonts w:cs="Arial"/>
          <w:sz w:val="24"/>
          <w:szCs w:val="24"/>
        </w:rPr>
        <w:t>OMB Compliance Requirements</w:t>
      </w:r>
      <w:bookmarkEnd w:id="175"/>
    </w:p>
    <w:p w14:paraId="72350382" w14:textId="77777777" w:rsidR="00C04E8C" w:rsidRPr="005C1EBC"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recipient and subrecipient to help identify and understand any Special Tests and Provisions.</w:t>
      </w:r>
    </w:p>
    <w:p w14:paraId="76D473EE" w14:textId="77777777" w:rsidR="00C04E8C" w:rsidRPr="00F00D94"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C1EBC">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recipient or subrecipient management and review of the contract and grant agreements pertaining to the program. Any such requirements which may have a direct and material effect on compliance with the requirements of that major program must be included in the audit.</w:t>
      </w:r>
    </w:p>
    <w:p w14:paraId="4F706C45" w14:textId="77777777" w:rsidR="00C04E8C" w:rsidRPr="00F00D94" w:rsidRDefault="00C04E8C" w:rsidP="00C04E8C">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26F661D1" w14:textId="77777777" w:rsidR="00C04E8C" w:rsidRPr="000706D1" w:rsidRDefault="00C04E8C" w:rsidP="00C04E8C">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79F160E" w14:textId="3D1E041B" w:rsidR="001B0E70" w:rsidRDefault="001B0E70"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1B0E70">
        <w:rPr>
          <w:rFonts w:ascii="Arial" w:hAnsi="Arial" w:cs="Arial"/>
          <w:bCs/>
        </w:rPr>
        <w:t>Beginning in 2020 HUD provided Shortfall funding to PHAs on a competitive basis. All Shortfall funds are required to be expended within three days of being drawn down from LOCCS on eligible Operating Fund expenses.</w:t>
      </w:r>
    </w:p>
    <w:p w14:paraId="245BC301" w14:textId="12B3C5A7" w:rsidR="001B0E70" w:rsidRPr="001B0E70" w:rsidRDefault="001B0E70" w:rsidP="001B0E70">
      <w:pPr>
        <w:spacing w:after="240"/>
        <w:jc w:val="both"/>
        <w:rPr>
          <w:rFonts w:ascii="Arial" w:hAnsi="Arial" w:cs="Arial"/>
          <w:bCs/>
          <w:i/>
          <w:iCs/>
        </w:rPr>
      </w:pPr>
      <w:r w:rsidRPr="004A14BF">
        <w:rPr>
          <w:rFonts w:ascii="Arial" w:hAnsi="Arial" w:cs="Arial"/>
          <w:bCs/>
          <w:i/>
          <w:iCs/>
        </w:rPr>
        <w:t>(Source: 202</w:t>
      </w:r>
      <w:r>
        <w:rPr>
          <w:rFonts w:ascii="Arial" w:hAnsi="Arial" w:cs="Arial"/>
          <w:bCs/>
          <w:i/>
          <w:iCs/>
        </w:rPr>
        <w:t>5</w:t>
      </w:r>
      <w:r w:rsidRPr="004A14BF">
        <w:rPr>
          <w:rFonts w:ascii="Arial" w:hAnsi="Arial" w:cs="Arial"/>
          <w:bCs/>
          <w:i/>
          <w:iCs/>
        </w:rPr>
        <w:t xml:space="preserve"> OMB Compliance Supplement, Part 4, HUD, #14.850 </w:t>
      </w:r>
      <w:r>
        <w:rPr>
          <w:rFonts w:ascii="Arial" w:hAnsi="Arial" w:cs="Arial"/>
          <w:bCs/>
          <w:i/>
          <w:iCs/>
        </w:rPr>
        <w:t>Public Housing Operating Fund</w:t>
      </w:r>
      <w:r w:rsidRPr="004A14BF">
        <w:rPr>
          <w:rFonts w:ascii="Arial" w:hAnsi="Arial" w:cs="Arial"/>
          <w:bCs/>
          <w:i/>
          <w:iCs/>
        </w:rPr>
        <w:t>)</w:t>
      </w:r>
    </w:p>
    <w:p w14:paraId="592C3E1F" w14:textId="77777777" w:rsidR="00C04E8C" w:rsidRPr="000706D1" w:rsidRDefault="00C04E8C" w:rsidP="00C04E8C">
      <w:pPr>
        <w:pStyle w:val="Heading3"/>
        <w:jc w:val="both"/>
        <w:rPr>
          <w:rFonts w:cs="Arial"/>
          <w:sz w:val="24"/>
          <w:szCs w:val="24"/>
        </w:rPr>
      </w:pPr>
      <w:bookmarkStart w:id="176" w:name="_Toc212473233"/>
      <w:r w:rsidRPr="000706D1">
        <w:rPr>
          <w:rFonts w:cs="Arial"/>
          <w:sz w:val="24"/>
          <w:szCs w:val="24"/>
        </w:rPr>
        <w:t>Additional Program Specific Information</w:t>
      </w:r>
      <w:bookmarkEnd w:id="176"/>
    </w:p>
    <w:p w14:paraId="11580D7F" w14:textId="77777777" w:rsidR="00C04E8C" w:rsidRPr="00AA5B05" w:rsidRDefault="00C04E8C" w:rsidP="00C04E8C">
      <w:pPr>
        <w:spacing w:after="240"/>
        <w:jc w:val="both"/>
        <w:rPr>
          <w:rFonts w:ascii="Arial" w:hAnsi="Arial" w:cs="Arial"/>
          <w:b/>
          <w:highlight w:val="yellow"/>
        </w:rPr>
      </w:pPr>
      <w:r w:rsidRPr="00AA5B05">
        <w:rPr>
          <w:rFonts w:ascii="Arial" w:hAnsi="Arial" w:cs="Arial"/>
          <w:b/>
          <w:highlight w:val="yellow"/>
        </w:rPr>
        <w:t>Add program specific requirements from:</w:t>
      </w:r>
    </w:p>
    <w:p w14:paraId="7A0A79A1" w14:textId="77777777" w:rsidR="00C04E8C" w:rsidRPr="00AA5B05" w:rsidRDefault="00C04E8C" w:rsidP="00C04E8C">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EE9140A" w14:textId="77777777" w:rsidR="00C04E8C" w:rsidRPr="00AA5B05" w:rsidRDefault="00C04E8C" w:rsidP="00C04E8C">
      <w:pPr>
        <w:pStyle w:val="ListParagraph"/>
        <w:numPr>
          <w:ilvl w:val="0"/>
          <w:numId w:val="32"/>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EB2BBE4" w14:textId="77777777" w:rsidR="00C04E8C" w:rsidRPr="00AA5B05" w:rsidRDefault="00C04E8C" w:rsidP="00C04E8C">
      <w:pPr>
        <w:pStyle w:val="ListParagraph"/>
        <w:numPr>
          <w:ilvl w:val="0"/>
          <w:numId w:val="32"/>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9DF0833" w14:textId="77777777" w:rsidR="00C04E8C" w:rsidRPr="00AA5B05" w:rsidRDefault="00C04E8C" w:rsidP="00C04E8C">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C4A555C" w14:textId="77777777" w:rsidR="00C04E8C" w:rsidRPr="000706D1" w:rsidRDefault="00C04E8C" w:rsidP="00C04E8C">
      <w:pPr>
        <w:pStyle w:val="Heading3"/>
        <w:jc w:val="both"/>
        <w:rPr>
          <w:rFonts w:cs="Arial"/>
          <w:sz w:val="24"/>
          <w:szCs w:val="24"/>
        </w:rPr>
      </w:pPr>
      <w:bookmarkStart w:id="177" w:name="_Toc212473234"/>
      <w:r w:rsidRPr="000706D1">
        <w:rPr>
          <w:rFonts w:cs="Arial"/>
          <w:sz w:val="24"/>
          <w:szCs w:val="24"/>
        </w:rPr>
        <w:t>Audit Objectives and Control Testing</w:t>
      </w:r>
      <w:bookmarkEnd w:id="177"/>
    </w:p>
    <w:p w14:paraId="0AB9732E" w14:textId="77777777" w:rsidR="00C04E8C" w:rsidRPr="00F00D94" w:rsidRDefault="00C04E8C" w:rsidP="00C04E8C">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07846D80" w14:textId="77777777" w:rsidR="00C04E8C" w:rsidRPr="00F00D94" w:rsidRDefault="00C04E8C" w:rsidP="00C04E8C">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E698D68" w14:textId="77777777" w:rsidR="00C04E8C"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(Source: 202</w:t>
      </w:r>
      <w:r>
        <w:rPr>
          <w:rFonts w:ascii="Arial" w:hAnsi="Arial" w:cs="Arial"/>
          <w:i/>
        </w:rPr>
        <w:t>5</w:t>
      </w:r>
      <w:r w:rsidRPr="00F00D94">
        <w:rPr>
          <w:rFonts w:ascii="Arial" w:hAnsi="Arial" w:cs="Arial"/>
          <w:i/>
        </w:rPr>
        <w:t xml:space="preserve"> OMB Compliance Supplement Part 3</w:t>
      </w:r>
      <w:r>
        <w:rPr>
          <w:rFonts w:ascii="Arial" w:hAnsi="Arial" w:cs="Arial"/>
          <w:i/>
        </w:rPr>
        <w:t>.2</w:t>
      </w:r>
      <w:r w:rsidRPr="00F00D94">
        <w:rPr>
          <w:rFonts w:ascii="Arial" w:hAnsi="Arial" w:cs="Arial"/>
          <w:i/>
        </w:rPr>
        <w:t>)</w:t>
      </w:r>
    </w:p>
    <w:p w14:paraId="3262BAAE" w14:textId="6E7E7402" w:rsidR="00C04E8C" w:rsidRDefault="001B0E70" w:rsidP="00174E6A">
      <w:pPr>
        <w:pStyle w:val="ListParagraph"/>
        <w:numPr>
          <w:ilvl w:val="0"/>
          <w:numId w:val="8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B0E70">
        <w:rPr>
          <w:rFonts w:ascii="Arial" w:hAnsi="Arial" w:cs="Arial"/>
          <w:iCs/>
        </w:rPr>
        <w:t>Determine whether the Shortfall funding was appropriately recorded and spent at projects in accordance with the award letter’s financial improvement objectives.</w:t>
      </w:r>
    </w:p>
    <w:p w14:paraId="05ACFEBE" w14:textId="52750742" w:rsidR="001B0E70" w:rsidRPr="001B0E70" w:rsidRDefault="001B0E70" w:rsidP="001B0E70">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bCs/>
          <w:i/>
          <w:iCs/>
        </w:rPr>
      </w:pPr>
      <w:r w:rsidRPr="001B0E70">
        <w:rPr>
          <w:rFonts w:ascii="Arial" w:hAnsi="Arial" w:cs="Arial"/>
          <w:bCs/>
          <w:i/>
          <w:iCs/>
        </w:rPr>
        <w:t>(Source: 202</w:t>
      </w:r>
      <w:r>
        <w:rPr>
          <w:rFonts w:ascii="Arial" w:hAnsi="Arial" w:cs="Arial"/>
          <w:bCs/>
          <w:i/>
          <w:iCs/>
        </w:rPr>
        <w:t>5</w:t>
      </w:r>
      <w:r w:rsidRPr="001B0E70">
        <w:rPr>
          <w:rFonts w:ascii="Arial" w:hAnsi="Arial" w:cs="Arial"/>
          <w:bCs/>
          <w:i/>
          <w:iCs/>
        </w:rPr>
        <w:t xml:space="preserve"> OMB Compliance Supplement, Part 4, HUD, #14.850 Public Housing Operating Fund)</w:t>
      </w:r>
    </w:p>
    <w:p w14:paraId="10A06E45" w14:textId="77777777" w:rsidR="00C04E8C" w:rsidRPr="00634FA3" w:rsidRDefault="00C04E8C" w:rsidP="00C04E8C">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04E8C" w:rsidRPr="00F00D94" w14:paraId="03658CC8" w14:textId="77777777" w:rsidTr="009F1483">
        <w:tc>
          <w:tcPr>
            <w:tcW w:w="5000" w:type="pct"/>
          </w:tcPr>
          <w:p w14:paraId="75B3045C" w14:textId="77777777" w:rsidR="00C04E8C" w:rsidRPr="006F5FFA" w:rsidRDefault="00C04E8C" w:rsidP="009F148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6FBB3F92" w14:textId="77777777" w:rsidR="00C04E8C" w:rsidRPr="00F00D94" w:rsidRDefault="00C04E8C" w:rsidP="009F148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D82B182" w14:textId="77777777" w:rsidR="00C04E8C" w:rsidRPr="00F00D94" w:rsidRDefault="00C04E8C" w:rsidP="009F1483">
            <w:pPr>
              <w:pStyle w:val="AuditProcedureHeading"/>
              <w:spacing w:after="240"/>
              <w:jc w:val="both"/>
              <w:rPr>
                <w:rFonts w:cs="Arial"/>
                <w:b/>
                <w:bCs/>
                <w:szCs w:val="20"/>
                <w:u w:val="single"/>
              </w:rPr>
            </w:pPr>
          </w:p>
          <w:p w14:paraId="19E0B09B" w14:textId="77777777" w:rsidR="00C04E8C" w:rsidRPr="00F00D94" w:rsidRDefault="00C04E8C" w:rsidP="009F148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BE3DED5" w14:textId="77777777" w:rsidR="00C04E8C" w:rsidRPr="00F00D94" w:rsidRDefault="00C04E8C" w:rsidP="009F1483">
            <w:pPr>
              <w:pStyle w:val="AuditProcedureHeading"/>
              <w:spacing w:after="240"/>
              <w:jc w:val="both"/>
              <w:rPr>
                <w:rFonts w:cs="Arial"/>
                <w:b/>
                <w:bCs/>
                <w:szCs w:val="20"/>
                <w:u w:val="single"/>
              </w:rPr>
            </w:pPr>
          </w:p>
          <w:p w14:paraId="4FE877E1" w14:textId="77777777" w:rsidR="00C04E8C" w:rsidRPr="00F00D94" w:rsidRDefault="00C04E8C" w:rsidP="009F148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44BDF29" w14:textId="77777777" w:rsidR="00C04E8C" w:rsidRPr="00F00D94" w:rsidRDefault="00C04E8C" w:rsidP="009F1483">
            <w:pPr>
              <w:spacing w:after="240"/>
              <w:jc w:val="both"/>
              <w:rPr>
                <w:rFonts w:ascii="Arial" w:hAnsi="Arial" w:cs="Arial"/>
                <w:b/>
                <w:sz w:val="20"/>
                <w:u w:val="single"/>
              </w:rPr>
            </w:pPr>
          </w:p>
          <w:p w14:paraId="0DBCFB5E" w14:textId="77777777" w:rsidR="00C04E8C" w:rsidRPr="00F00D94" w:rsidRDefault="00C04E8C" w:rsidP="009F148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60405F7" w14:textId="77777777" w:rsidR="00C04E8C" w:rsidRPr="00C35E5F" w:rsidRDefault="00C04E8C" w:rsidP="009F1483">
            <w:pPr>
              <w:spacing w:after="240"/>
              <w:jc w:val="both"/>
              <w:rPr>
                <w:rFonts w:ascii="Arial" w:eastAsiaTheme="minorHAnsi" w:hAnsi="Arial" w:cs="Arial"/>
                <w:sz w:val="20"/>
                <w:szCs w:val="20"/>
              </w:rPr>
            </w:pPr>
          </w:p>
        </w:tc>
      </w:tr>
    </w:tbl>
    <w:p w14:paraId="69D68309" w14:textId="77777777" w:rsidR="00C04E8C" w:rsidRPr="00F00D94" w:rsidRDefault="00C04E8C" w:rsidP="00C04E8C">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656DDAD1" w14:textId="77777777" w:rsidR="00C04E8C" w:rsidRPr="000706D1" w:rsidRDefault="00C04E8C" w:rsidP="00C04E8C">
      <w:pPr>
        <w:pStyle w:val="Heading3"/>
        <w:jc w:val="both"/>
        <w:rPr>
          <w:rFonts w:cs="Arial"/>
          <w:sz w:val="24"/>
          <w:szCs w:val="24"/>
        </w:rPr>
      </w:pPr>
      <w:bookmarkStart w:id="178" w:name="_Toc212473235"/>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78"/>
    </w:p>
    <w:tbl>
      <w:tblPr>
        <w:tblStyle w:val="TableGrid"/>
        <w:tblW w:w="9558" w:type="dxa"/>
        <w:tblLayout w:type="fixed"/>
        <w:tblLook w:val="04A0" w:firstRow="1" w:lastRow="0" w:firstColumn="1" w:lastColumn="0" w:noHBand="0" w:noVBand="1"/>
      </w:tblPr>
      <w:tblGrid>
        <w:gridCol w:w="9558"/>
      </w:tblGrid>
      <w:tr w:rsidR="00C04E8C" w:rsidRPr="00F00D94" w14:paraId="52E32EEB" w14:textId="77777777" w:rsidTr="009F1483">
        <w:tc>
          <w:tcPr>
            <w:tcW w:w="9558" w:type="dxa"/>
          </w:tcPr>
          <w:p w14:paraId="42706901" w14:textId="77777777" w:rsidR="00C04E8C" w:rsidRDefault="00C04E8C" w:rsidP="006D34C5">
            <w:pPr>
              <w:spacing w:after="240"/>
              <w:ind w:left="703" w:hanging="72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D792679" w14:textId="77777777" w:rsidR="00C04E8C" w:rsidRPr="00AC7B25" w:rsidRDefault="00C04E8C" w:rsidP="006D34C5">
            <w:pPr>
              <w:spacing w:after="240"/>
              <w:ind w:left="703" w:hanging="720"/>
              <w:jc w:val="both"/>
              <w:rPr>
                <w:rFonts w:ascii="Arial" w:hAnsi="Arial" w:cs="Arial"/>
                <w:i/>
                <w:sz w:val="20"/>
                <w:szCs w:val="20"/>
              </w:rPr>
            </w:pPr>
            <w:r>
              <w:rPr>
                <w:rFonts w:ascii="Arial" w:hAnsi="Arial" w:cs="Arial"/>
                <w:i/>
                <w:sz w:val="20"/>
                <w:szCs w:val="20"/>
              </w:rPr>
              <w:t>(Source: 2025 OMB Compliance Supplement Part 3.2)</w:t>
            </w:r>
          </w:p>
          <w:p w14:paraId="5BC5EB5D" w14:textId="1FF751E7" w:rsidR="00C04E8C" w:rsidRPr="006D34C5" w:rsidRDefault="006D34C5" w:rsidP="006D34C5">
            <w:pPr>
              <w:spacing w:after="240"/>
              <w:ind w:left="703" w:hanging="720"/>
              <w:jc w:val="both"/>
              <w:rPr>
                <w:rFonts w:ascii="Arial" w:hAnsi="Arial" w:cs="Arial"/>
                <w:sz w:val="20"/>
              </w:rPr>
            </w:pPr>
            <w:r w:rsidRPr="006D34C5">
              <w:rPr>
                <w:rFonts w:ascii="Arial" w:hAnsi="Arial" w:cs="Arial"/>
                <w:sz w:val="20"/>
              </w:rPr>
              <w:t>a.</w:t>
            </w:r>
            <w:r w:rsidRPr="006D34C5">
              <w:rPr>
                <w:rFonts w:ascii="Arial" w:hAnsi="Arial" w:cs="Arial"/>
                <w:sz w:val="20"/>
              </w:rPr>
              <w:tab/>
              <w:t>Select a sample of projects that receive Shortfall funding and assess whether sampled expenditures were consistent with Operating Fund/Shortfall requirements.</w:t>
            </w:r>
          </w:p>
        </w:tc>
      </w:tr>
    </w:tbl>
    <w:p w14:paraId="708BC8EE" w14:textId="77777777" w:rsidR="00C04E8C" w:rsidRPr="00F00D94" w:rsidRDefault="00C04E8C" w:rsidP="00C04E8C">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3DA85151" w14:textId="77777777" w:rsidR="00C04E8C" w:rsidRPr="000706D1" w:rsidRDefault="00C04E8C" w:rsidP="00C04E8C">
      <w:pPr>
        <w:pStyle w:val="Heading3"/>
        <w:jc w:val="both"/>
        <w:rPr>
          <w:rFonts w:cs="Arial"/>
          <w:b w:val="0"/>
          <w:sz w:val="24"/>
          <w:szCs w:val="24"/>
        </w:rPr>
      </w:pPr>
      <w:bookmarkStart w:id="179" w:name="_Toc212473236"/>
      <w:r w:rsidRPr="000706D1">
        <w:rPr>
          <w:rFonts w:cs="Arial"/>
          <w:sz w:val="24"/>
          <w:szCs w:val="24"/>
        </w:rPr>
        <w:t>Audit Implications Summary</w:t>
      </w:r>
      <w:bookmarkEnd w:id="179"/>
    </w:p>
    <w:tbl>
      <w:tblPr>
        <w:tblStyle w:val="TableGrid"/>
        <w:tblW w:w="5000" w:type="pct"/>
        <w:tblLook w:val="04A0" w:firstRow="1" w:lastRow="0" w:firstColumn="1" w:lastColumn="0" w:noHBand="0" w:noVBand="1"/>
      </w:tblPr>
      <w:tblGrid>
        <w:gridCol w:w="9350"/>
      </w:tblGrid>
      <w:tr w:rsidR="00C04E8C" w:rsidRPr="00F00D94" w14:paraId="7EB0BC2A" w14:textId="77777777" w:rsidTr="009F1483">
        <w:tc>
          <w:tcPr>
            <w:tcW w:w="5000" w:type="pct"/>
          </w:tcPr>
          <w:p w14:paraId="7D4457D4" w14:textId="77777777" w:rsidR="00C04E8C" w:rsidRDefault="00C04E8C" w:rsidP="009F148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1EA6430" w14:textId="77777777" w:rsidR="00C04E8C" w:rsidRPr="006E46AD" w:rsidRDefault="00C04E8C" w:rsidP="009F1483">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8126F29" w14:textId="77777777" w:rsidR="00C04E8C" w:rsidRPr="006E46AD" w:rsidRDefault="00C04E8C" w:rsidP="006D34C5">
            <w:pPr>
              <w:pStyle w:val="ListParagraph"/>
              <w:widowControl w:val="0"/>
              <w:numPr>
                <w:ilvl w:val="0"/>
                <w:numId w:val="8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w:t>
            </w:r>
            <w:r w:rsidRPr="00FB4A4D">
              <w:rPr>
                <w:rFonts w:ascii="Arial" w:hAnsi="Arial" w:cs="Arial"/>
                <w:bCs/>
                <w:i/>
                <w:iCs/>
                <w:color w:val="002060"/>
                <w:sz w:val="20"/>
                <w:szCs w:val="20"/>
              </w:rPr>
              <w:lastRenderedPageBreak/>
              <w:t>management letter items)</w:t>
            </w:r>
          </w:p>
          <w:p w14:paraId="563F5D0C" w14:textId="77777777" w:rsidR="00C04E8C" w:rsidRPr="006E46AD" w:rsidRDefault="00C04E8C" w:rsidP="009F1483">
            <w:pPr>
              <w:widowControl w:val="0"/>
              <w:spacing w:after="240"/>
              <w:ind w:left="720"/>
              <w:jc w:val="both"/>
              <w:rPr>
                <w:rFonts w:ascii="Arial" w:hAnsi="Arial" w:cs="Arial"/>
                <w:b/>
                <w:sz w:val="20"/>
                <w:szCs w:val="20"/>
              </w:rPr>
            </w:pPr>
          </w:p>
          <w:p w14:paraId="57E17770" w14:textId="77777777" w:rsidR="00C04E8C" w:rsidRPr="006E46AD" w:rsidRDefault="00C04E8C" w:rsidP="006D34C5">
            <w:pPr>
              <w:widowControl w:val="0"/>
              <w:numPr>
                <w:ilvl w:val="0"/>
                <w:numId w:val="8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FAFFAF8" w14:textId="77777777" w:rsidR="00C04E8C" w:rsidRPr="00F00D94" w:rsidRDefault="00C04E8C" w:rsidP="009F1483">
            <w:pPr>
              <w:pStyle w:val="ListParagraph"/>
              <w:spacing w:after="240"/>
              <w:jc w:val="both"/>
              <w:rPr>
                <w:rFonts w:ascii="Arial" w:hAnsi="Arial" w:cs="Arial"/>
                <w:b/>
              </w:rPr>
            </w:pPr>
          </w:p>
          <w:p w14:paraId="1D3C02E4" w14:textId="77777777" w:rsidR="00C04E8C" w:rsidRPr="00F00D94" w:rsidRDefault="00C04E8C" w:rsidP="006D34C5">
            <w:pPr>
              <w:widowControl w:val="0"/>
              <w:numPr>
                <w:ilvl w:val="0"/>
                <w:numId w:val="8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2247B5FA" w14:textId="77777777" w:rsidR="00C04E8C" w:rsidRPr="00F00D94" w:rsidRDefault="00C04E8C" w:rsidP="009F1483">
            <w:pPr>
              <w:pStyle w:val="ListParagraph"/>
              <w:spacing w:after="240"/>
              <w:jc w:val="both"/>
              <w:rPr>
                <w:rFonts w:ascii="Arial" w:hAnsi="Arial" w:cs="Arial"/>
                <w:b/>
              </w:rPr>
            </w:pPr>
          </w:p>
          <w:p w14:paraId="341D06CC" w14:textId="77777777" w:rsidR="00C04E8C" w:rsidRPr="00F00D94" w:rsidRDefault="00C04E8C" w:rsidP="006D34C5">
            <w:pPr>
              <w:widowControl w:val="0"/>
              <w:numPr>
                <w:ilvl w:val="0"/>
                <w:numId w:val="8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89A84D1" w14:textId="77777777" w:rsidR="00C04E8C" w:rsidRPr="00F00D94" w:rsidRDefault="00C04E8C" w:rsidP="009F1483">
            <w:pPr>
              <w:pStyle w:val="ListParagraph"/>
              <w:spacing w:after="240"/>
              <w:jc w:val="both"/>
              <w:rPr>
                <w:rFonts w:ascii="Arial" w:hAnsi="Arial" w:cs="Arial"/>
                <w:b/>
              </w:rPr>
            </w:pPr>
          </w:p>
          <w:p w14:paraId="3AE6356B" w14:textId="77777777" w:rsidR="00C04E8C" w:rsidRPr="00F00D94" w:rsidRDefault="00C04E8C" w:rsidP="006D34C5">
            <w:pPr>
              <w:widowControl w:val="0"/>
              <w:numPr>
                <w:ilvl w:val="0"/>
                <w:numId w:val="8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C9C2E80" w14:textId="77777777" w:rsidR="00C04E8C" w:rsidRPr="00F00D94" w:rsidRDefault="00C04E8C" w:rsidP="009F1483">
            <w:pPr>
              <w:pStyle w:val="APStepItem"/>
              <w:numPr>
                <w:ilvl w:val="0"/>
                <w:numId w:val="0"/>
              </w:numPr>
              <w:spacing w:after="240"/>
              <w:rPr>
                <w:rFonts w:cs="Arial"/>
                <w:b/>
              </w:rPr>
            </w:pPr>
          </w:p>
        </w:tc>
      </w:tr>
    </w:tbl>
    <w:p w14:paraId="4960A20B" w14:textId="77777777" w:rsidR="00885BA6" w:rsidRPr="00F00D94" w:rsidRDefault="00885BA6" w:rsidP="001C3146">
      <w:pPr>
        <w:pBdr>
          <w:top w:val="single" w:sz="6" w:space="0" w:color="FFFFFF"/>
          <w:left w:val="single" w:sz="6" w:space="0" w:color="FFFFFF"/>
          <w:bottom w:val="single" w:sz="6" w:space="0" w:color="FFFFFF"/>
          <w:right w:val="single" w:sz="6" w:space="0" w:color="FFFFFF"/>
        </w:pBdr>
        <w:tabs>
          <w:tab w:val="left" w:pos="-1440"/>
          <w:tab w:val="left" w:pos="720"/>
        </w:tabs>
        <w:spacing w:after="240"/>
        <w:jc w:val="both"/>
        <w:rPr>
          <w:rFonts w:ascii="Arial" w:hAnsi="Arial" w:cs="Arial"/>
        </w:rPr>
        <w:sectPr w:rsidR="00885BA6" w:rsidRPr="00F00D94" w:rsidSect="00885BA6">
          <w:headerReference w:type="default" r:id="rId144"/>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80" w:name="_Toc442267704"/>
      <w:bookmarkStart w:id="181" w:name="_Toc212473237"/>
      <w:r w:rsidRPr="000706D1">
        <w:rPr>
          <w:rStyle w:val="PageNumber"/>
          <w:rFonts w:cs="Arial"/>
          <w:sz w:val="24"/>
        </w:rPr>
        <w:lastRenderedPageBreak/>
        <w:t>Program Testing Conclusion</w:t>
      </w:r>
      <w:bookmarkEnd w:id="180"/>
      <w:bookmarkEnd w:id="18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8B4BCE">
      <w:pPr>
        <w:numPr>
          <w:ilvl w:val="0"/>
          <w:numId w:val="27"/>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8B4BCE">
      <w:pPr>
        <w:numPr>
          <w:ilvl w:val="0"/>
          <w:numId w:val="27"/>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8B4BCE">
      <w:pPr>
        <w:numPr>
          <w:ilvl w:val="0"/>
          <w:numId w:val="27"/>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8B4BCE">
      <w:pPr>
        <w:numPr>
          <w:ilvl w:val="0"/>
          <w:numId w:val="27"/>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8B4BCE">
      <w:pPr>
        <w:numPr>
          <w:ilvl w:val="0"/>
          <w:numId w:val="27"/>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8B4BCE">
      <w:pPr>
        <w:numPr>
          <w:ilvl w:val="0"/>
          <w:numId w:val="27"/>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8B4BCE">
      <w:pPr>
        <w:numPr>
          <w:ilvl w:val="0"/>
          <w:numId w:val="27"/>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094A275D" w:rsidR="00FA3EC3" w:rsidRPr="00F00D94" w:rsidRDefault="00FA3EC3" w:rsidP="006672EA">
      <w:pPr>
        <w:spacing w:after="240"/>
        <w:jc w:val="both"/>
        <w:rPr>
          <w:rFonts w:ascii="Arial" w:hAnsi="Arial" w:cs="Arial"/>
        </w:rPr>
      </w:pPr>
      <w:hyperlink r:id="rId145"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46CFCEB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46"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82" w:name="AICPAIGS:767.2670-1"/>
      <w:bookmarkEnd w:id="18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8B4BCE">
      <w:pPr>
        <w:pStyle w:val="ListParagraph"/>
        <w:numPr>
          <w:ilvl w:val="0"/>
          <w:numId w:val="13"/>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8B4BCE">
      <w:pPr>
        <w:pStyle w:val="ListParagraph"/>
        <w:numPr>
          <w:ilvl w:val="0"/>
          <w:numId w:val="13"/>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8B4BCE">
      <w:pPr>
        <w:pStyle w:val="ListParagraph"/>
        <w:numPr>
          <w:ilvl w:val="0"/>
          <w:numId w:val="13"/>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0AE2A782"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4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226D7CBA" w:rsidR="000C7D0B" w:rsidRDefault="009D190B">
    <w:pPr>
      <w:pBdr>
        <w:top w:val="single" w:sz="4" w:space="1" w:color="auto"/>
      </w:pBdr>
      <w:tabs>
        <w:tab w:val="center" w:pos="4680"/>
      </w:tabs>
      <w:spacing w:line="240" w:lineRule="exact"/>
      <w:rPr>
        <w:sz w:val="18"/>
      </w:rPr>
    </w:pPr>
    <w:r>
      <w:rPr>
        <w:sz w:val="18"/>
      </w:rPr>
      <w:t xml:space="preserve">2025 </w:t>
    </w:r>
    <w:r w:rsidR="00227793">
      <w:rPr>
        <w:sz w:val="18"/>
      </w:rPr>
      <w:t>FACCR, Public Housing Operating Fund, AL #14.850</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5198" w14:textId="393677DA" w:rsidR="00885BA6" w:rsidRPr="002616A3" w:rsidRDefault="00885BA6"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1</w:t>
    </w:r>
    <w:r w:rsidRPr="002616A3">
      <w:rPr>
        <w:rFonts w:ascii="Arial" w:hAnsi="Arial" w:cs="Arial"/>
        <w:b/>
        <w:sz w:val="36"/>
        <w:szCs w:val="36"/>
      </w:rPr>
      <w:t xml:space="preserve">. </w:t>
    </w:r>
    <w:r>
      <w:rPr>
        <w:rFonts w:ascii="Arial" w:hAnsi="Arial" w:cs="Arial"/>
        <w:b/>
        <w:sz w:val="36"/>
        <w:szCs w:val="36"/>
      </w:rPr>
      <w:t>Special Tests and Provisions – Wage Rate Requirements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809E" w14:textId="45F751F1" w:rsidR="00885BA6" w:rsidRPr="002616A3" w:rsidRDefault="00885BA6" w:rsidP="00F13178">
    <w:pPr>
      <w:pStyle w:val="Header"/>
      <w:spacing w:after="240"/>
      <w:jc w:val="center"/>
      <w:rPr>
        <w:rFonts w:ascii="Arial" w:hAnsi="Arial" w:cs="Arial"/>
        <w:sz w:val="36"/>
        <w:szCs w:val="36"/>
      </w:rPr>
    </w:pPr>
    <w:r w:rsidRPr="002616A3">
      <w:rPr>
        <w:rFonts w:ascii="Arial" w:hAnsi="Arial" w:cs="Arial"/>
        <w:b/>
        <w:sz w:val="36"/>
        <w:szCs w:val="36"/>
      </w:rPr>
      <w:t>N</w:t>
    </w:r>
    <w:r w:rsidR="0001160F">
      <w:rPr>
        <w:rFonts w:ascii="Arial" w:hAnsi="Arial" w:cs="Arial"/>
        <w:b/>
        <w:sz w:val="36"/>
        <w:szCs w:val="36"/>
      </w:rPr>
      <w:t>2</w:t>
    </w:r>
    <w:r w:rsidRPr="002616A3">
      <w:rPr>
        <w:rFonts w:ascii="Arial" w:hAnsi="Arial" w:cs="Arial"/>
        <w:b/>
        <w:sz w:val="36"/>
        <w:szCs w:val="36"/>
      </w:rPr>
      <w:t xml:space="preserve">. </w:t>
    </w:r>
    <w:r>
      <w:rPr>
        <w:rFonts w:ascii="Arial" w:hAnsi="Arial" w:cs="Arial"/>
        <w:b/>
        <w:sz w:val="36"/>
        <w:szCs w:val="36"/>
      </w:rPr>
      <w:t>Special Tests and Provisions</w:t>
    </w:r>
    <w:r w:rsidR="0001160F">
      <w:rPr>
        <w:rFonts w:ascii="Arial" w:hAnsi="Arial" w:cs="Arial"/>
        <w:b/>
        <w:sz w:val="36"/>
        <w:szCs w:val="36"/>
      </w:rPr>
      <w:t xml:space="preserve"> – Public Housing Waiting List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8FC8" w14:textId="1030876E" w:rsidR="00885BA6" w:rsidRPr="002616A3" w:rsidRDefault="00885BA6" w:rsidP="00F13178">
    <w:pPr>
      <w:pStyle w:val="Header"/>
      <w:spacing w:after="240"/>
      <w:jc w:val="center"/>
      <w:rPr>
        <w:rFonts w:ascii="Arial" w:hAnsi="Arial" w:cs="Arial"/>
        <w:sz w:val="36"/>
        <w:szCs w:val="36"/>
      </w:rPr>
    </w:pPr>
    <w:r w:rsidRPr="002616A3">
      <w:rPr>
        <w:rFonts w:ascii="Arial" w:hAnsi="Arial" w:cs="Arial"/>
        <w:b/>
        <w:sz w:val="36"/>
        <w:szCs w:val="36"/>
      </w:rPr>
      <w:t>N</w:t>
    </w:r>
    <w:r w:rsidR="008B4BCE">
      <w:rPr>
        <w:rFonts w:ascii="Arial" w:hAnsi="Arial" w:cs="Arial"/>
        <w:b/>
        <w:sz w:val="36"/>
        <w:szCs w:val="36"/>
      </w:rPr>
      <w:t>3</w:t>
    </w:r>
    <w:r w:rsidRPr="002616A3">
      <w:rPr>
        <w:rFonts w:ascii="Arial" w:hAnsi="Arial" w:cs="Arial"/>
        <w:b/>
        <w:sz w:val="36"/>
        <w:szCs w:val="36"/>
      </w:rPr>
      <w:t xml:space="preserve">. </w:t>
    </w:r>
    <w:r>
      <w:rPr>
        <w:rFonts w:ascii="Arial" w:hAnsi="Arial" w:cs="Arial"/>
        <w:b/>
        <w:sz w:val="36"/>
        <w:szCs w:val="36"/>
      </w:rPr>
      <w:t>Special Tests and Provisions</w:t>
    </w:r>
    <w:r w:rsidR="008B4BCE">
      <w:rPr>
        <w:rFonts w:ascii="Arial" w:hAnsi="Arial" w:cs="Arial"/>
        <w:b/>
        <w:sz w:val="36"/>
        <w:szCs w:val="36"/>
      </w:rPr>
      <w:t xml:space="preserve"> – Tenant Participation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F218" w14:textId="5A62FD9C" w:rsidR="008B4BCE" w:rsidRPr="002616A3" w:rsidRDefault="008B4BCE" w:rsidP="00F13178">
    <w:pPr>
      <w:pStyle w:val="Header"/>
      <w:spacing w:after="240"/>
      <w:jc w:val="center"/>
      <w:rPr>
        <w:rFonts w:ascii="Arial" w:hAnsi="Arial" w:cs="Arial"/>
        <w:sz w:val="36"/>
        <w:szCs w:val="36"/>
      </w:rPr>
    </w:pPr>
    <w:r w:rsidRPr="002616A3">
      <w:rPr>
        <w:rFonts w:ascii="Arial" w:hAnsi="Arial" w:cs="Arial"/>
        <w:b/>
        <w:sz w:val="36"/>
        <w:szCs w:val="36"/>
      </w:rPr>
      <w:t>N</w:t>
    </w:r>
    <w:r w:rsidR="00AA09E4">
      <w:rPr>
        <w:rFonts w:ascii="Arial" w:hAnsi="Arial" w:cs="Arial"/>
        <w:b/>
        <w:sz w:val="36"/>
        <w:szCs w:val="36"/>
      </w:rPr>
      <w:t>4</w:t>
    </w:r>
    <w:r w:rsidRPr="002616A3">
      <w:rPr>
        <w:rFonts w:ascii="Arial" w:hAnsi="Arial" w:cs="Arial"/>
        <w:b/>
        <w:sz w:val="36"/>
        <w:szCs w:val="36"/>
      </w:rPr>
      <w:t xml:space="preserve">. </w:t>
    </w:r>
    <w:r>
      <w:rPr>
        <w:rFonts w:ascii="Arial" w:hAnsi="Arial" w:cs="Arial"/>
        <w:b/>
        <w:sz w:val="36"/>
        <w:szCs w:val="36"/>
      </w:rPr>
      <w:t>Special Tests and Provisions</w:t>
    </w:r>
    <w:r w:rsidR="00AA09E4">
      <w:rPr>
        <w:rFonts w:ascii="Arial" w:hAnsi="Arial" w:cs="Arial"/>
        <w:b/>
        <w:sz w:val="36"/>
        <w:szCs w:val="36"/>
      </w:rPr>
      <w:t xml:space="preserve"> – Project-Based Budgeting and Accounting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0662" w14:textId="23762674" w:rsidR="005C5BD9" w:rsidRPr="002616A3" w:rsidRDefault="005C5BD9"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5</w:t>
    </w:r>
    <w:r w:rsidRPr="002616A3">
      <w:rPr>
        <w:rFonts w:ascii="Arial" w:hAnsi="Arial" w:cs="Arial"/>
        <w:b/>
        <w:sz w:val="36"/>
        <w:szCs w:val="36"/>
      </w:rPr>
      <w:t xml:space="preserve">. </w:t>
    </w:r>
    <w:r>
      <w:rPr>
        <w:rFonts w:ascii="Arial" w:hAnsi="Arial" w:cs="Arial"/>
        <w:b/>
        <w:sz w:val="36"/>
        <w:szCs w:val="36"/>
      </w:rPr>
      <w:t>Special Tests and Provisions – Balance Sheet Allocations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D6D3" w14:textId="3CD19A5E" w:rsidR="00031514" w:rsidRPr="002616A3" w:rsidRDefault="00031514"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6</w:t>
    </w:r>
    <w:r w:rsidRPr="002616A3">
      <w:rPr>
        <w:rFonts w:ascii="Arial" w:hAnsi="Arial" w:cs="Arial"/>
        <w:b/>
        <w:sz w:val="36"/>
        <w:szCs w:val="36"/>
      </w:rPr>
      <w:t xml:space="preserve">. </w:t>
    </w:r>
    <w:r>
      <w:rPr>
        <w:rFonts w:ascii="Arial" w:hAnsi="Arial" w:cs="Arial"/>
        <w:b/>
        <w:sz w:val="36"/>
        <w:szCs w:val="36"/>
      </w:rPr>
      <w:t>Special Tests and Provisions – Fees Charged for Centralized Services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BB32" w14:textId="57B73196" w:rsidR="00A3316B" w:rsidRPr="002616A3" w:rsidRDefault="00A3316B"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7</w:t>
    </w:r>
    <w:r w:rsidRPr="002616A3">
      <w:rPr>
        <w:rFonts w:ascii="Arial" w:hAnsi="Arial" w:cs="Arial"/>
        <w:b/>
        <w:sz w:val="36"/>
        <w:szCs w:val="36"/>
      </w:rPr>
      <w:t xml:space="preserve">. </w:t>
    </w:r>
    <w:r>
      <w:rPr>
        <w:rFonts w:ascii="Arial" w:hAnsi="Arial" w:cs="Arial"/>
        <w:b/>
        <w:sz w:val="36"/>
        <w:szCs w:val="36"/>
      </w:rPr>
      <w:t>Special Tests and Provisions – Prorating Front-line Centralized Services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A366" w14:textId="0795BBBC" w:rsidR="00A3316B" w:rsidRPr="002616A3" w:rsidRDefault="00A3316B" w:rsidP="00F13178">
    <w:pPr>
      <w:pStyle w:val="Header"/>
      <w:spacing w:after="240"/>
      <w:jc w:val="center"/>
      <w:rPr>
        <w:rFonts w:ascii="Arial" w:hAnsi="Arial" w:cs="Arial"/>
        <w:sz w:val="36"/>
        <w:szCs w:val="36"/>
      </w:rPr>
    </w:pPr>
    <w:r w:rsidRPr="002616A3">
      <w:rPr>
        <w:rFonts w:ascii="Arial" w:hAnsi="Arial" w:cs="Arial"/>
        <w:b/>
        <w:sz w:val="36"/>
        <w:szCs w:val="36"/>
      </w:rPr>
      <w:t>N</w:t>
    </w:r>
    <w:r w:rsidR="00474638">
      <w:rPr>
        <w:rFonts w:ascii="Arial" w:hAnsi="Arial" w:cs="Arial"/>
        <w:b/>
        <w:sz w:val="36"/>
        <w:szCs w:val="36"/>
      </w:rPr>
      <w:t>8</w:t>
    </w:r>
    <w:r w:rsidRPr="002616A3">
      <w:rPr>
        <w:rFonts w:ascii="Arial" w:hAnsi="Arial" w:cs="Arial"/>
        <w:b/>
        <w:sz w:val="36"/>
        <w:szCs w:val="36"/>
      </w:rPr>
      <w:t xml:space="preserve">. </w:t>
    </w:r>
    <w:r>
      <w:rPr>
        <w:rFonts w:ascii="Arial" w:hAnsi="Arial" w:cs="Arial"/>
        <w:b/>
        <w:sz w:val="36"/>
        <w:szCs w:val="36"/>
      </w:rPr>
      <w:t>Special Tests and Provisions</w:t>
    </w:r>
    <w:r w:rsidR="00474638">
      <w:rPr>
        <w:rFonts w:ascii="Arial" w:hAnsi="Arial" w:cs="Arial"/>
        <w:b/>
        <w:sz w:val="36"/>
        <w:szCs w:val="36"/>
      </w:rPr>
      <w:t xml:space="preserve"> – Asset Management Fee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D556" w14:textId="0CE42F53" w:rsidR="00A3316B" w:rsidRPr="002616A3" w:rsidRDefault="00A3316B" w:rsidP="00F13178">
    <w:pPr>
      <w:pStyle w:val="Header"/>
      <w:spacing w:after="240"/>
      <w:jc w:val="center"/>
      <w:rPr>
        <w:rFonts w:ascii="Arial" w:hAnsi="Arial" w:cs="Arial"/>
        <w:sz w:val="36"/>
        <w:szCs w:val="36"/>
      </w:rPr>
    </w:pPr>
    <w:r w:rsidRPr="002616A3">
      <w:rPr>
        <w:rFonts w:ascii="Arial" w:hAnsi="Arial" w:cs="Arial"/>
        <w:b/>
        <w:sz w:val="36"/>
        <w:szCs w:val="36"/>
      </w:rPr>
      <w:t>N</w:t>
    </w:r>
    <w:r w:rsidR="00616E36">
      <w:rPr>
        <w:rFonts w:ascii="Arial" w:hAnsi="Arial" w:cs="Arial"/>
        <w:b/>
        <w:sz w:val="36"/>
        <w:szCs w:val="36"/>
      </w:rPr>
      <w:t>9</w:t>
    </w:r>
    <w:r w:rsidRPr="002616A3">
      <w:rPr>
        <w:rFonts w:ascii="Arial" w:hAnsi="Arial" w:cs="Arial"/>
        <w:b/>
        <w:sz w:val="36"/>
        <w:szCs w:val="36"/>
      </w:rPr>
      <w:t xml:space="preserve">. </w:t>
    </w:r>
    <w:r>
      <w:rPr>
        <w:rFonts w:ascii="Arial" w:hAnsi="Arial" w:cs="Arial"/>
        <w:b/>
        <w:sz w:val="36"/>
        <w:szCs w:val="36"/>
      </w:rPr>
      <w:t>Special Tests and Provisions</w:t>
    </w:r>
    <w:r w:rsidR="00616E36">
      <w:rPr>
        <w:rFonts w:ascii="Arial" w:hAnsi="Arial" w:cs="Arial"/>
        <w:b/>
        <w:sz w:val="36"/>
        <w:szCs w:val="36"/>
      </w:rPr>
      <w:t xml:space="preserve"> – Management Fees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B5DF" w14:textId="6328293B" w:rsidR="00C04E8C" w:rsidRPr="002616A3" w:rsidRDefault="00C04E8C"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10</w:t>
    </w:r>
    <w:r w:rsidRPr="002616A3">
      <w:rPr>
        <w:rFonts w:ascii="Arial" w:hAnsi="Arial" w:cs="Arial"/>
        <w:b/>
        <w:sz w:val="36"/>
        <w:szCs w:val="36"/>
      </w:rPr>
      <w:t xml:space="preserve">. </w:t>
    </w:r>
    <w:r>
      <w:rPr>
        <w:rFonts w:ascii="Arial" w:hAnsi="Arial" w:cs="Arial"/>
        <w:b/>
        <w:sz w:val="36"/>
        <w:szCs w:val="36"/>
      </w:rPr>
      <w:t>Special Tests and Provisions – Allocated Overhead</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1B3D" w14:textId="469E1226" w:rsidR="00C04E8C" w:rsidRPr="002616A3" w:rsidRDefault="00C04E8C" w:rsidP="00F13178">
    <w:pPr>
      <w:pStyle w:val="Header"/>
      <w:spacing w:after="240"/>
      <w:jc w:val="center"/>
      <w:rPr>
        <w:rFonts w:ascii="Arial" w:hAnsi="Arial" w:cs="Arial"/>
        <w:sz w:val="36"/>
        <w:szCs w:val="36"/>
      </w:rPr>
    </w:pPr>
    <w:r w:rsidRPr="002616A3">
      <w:rPr>
        <w:rFonts w:ascii="Arial" w:hAnsi="Arial" w:cs="Arial"/>
        <w:b/>
        <w:sz w:val="36"/>
        <w:szCs w:val="36"/>
      </w:rPr>
      <w:t>N</w:t>
    </w:r>
    <w:r w:rsidR="00786806">
      <w:rPr>
        <w:rFonts w:ascii="Arial" w:hAnsi="Arial" w:cs="Arial"/>
        <w:b/>
        <w:sz w:val="36"/>
        <w:szCs w:val="36"/>
      </w:rPr>
      <w:t>11</w:t>
    </w:r>
    <w:r w:rsidRPr="002616A3">
      <w:rPr>
        <w:rFonts w:ascii="Arial" w:hAnsi="Arial" w:cs="Arial"/>
        <w:b/>
        <w:sz w:val="36"/>
        <w:szCs w:val="36"/>
      </w:rPr>
      <w:t xml:space="preserve">. </w:t>
    </w:r>
    <w:r>
      <w:rPr>
        <w:rFonts w:ascii="Arial" w:hAnsi="Arial" w:cs="Arial"/>
        <w:b/>
        <w:sz w:val="36"/>
        <w:szCs w:val="36"/>
      </w:rPr>
      <w:t>Special Tests and Provisions</w:t>
    </w:r>
    <w:r w:rsidR="00786806">
      <w:rPr>
        <w:rFonts w:ascii="Arial" w:hAnsi="Arial" w:cs="Arial"/>
        <w:b/>
        <w:sz w:val="36"/>
        <w:szCs w:val="36"/>
      </w:rPr>
      <w:t xml:space="preserve"> – Funding Central Office with Capital Fund Program Funds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2B85" w14:textId="354BEF69" w:rsidR="003A6024" w:rsidRPr="002616A3" w:rsidRDefault="003A6024" w:rsidP="00F13178">
    <w:pPr>
      <w:pStyle w:val="Header"/>
      <w:spacing w:after="240"/>
      <w:jc w:val="center"/>
      <w:rPr>
        <w:rFonts w:ascii="Arial" w:hAnsi="Arial" w:cs="Arial"/>
        <w:sz w:val="36"/>
        <w:szCs w:val="36"/>
      </w:rPr>
    </w:pPr>
    <w:r w:rsidRPr="002616A3">
      <w:rPr>
        <w:rFonts w:ascii="Arial" w:hAnsi="Arial" w:cs="Arial"/>
        <w:b/>
        <w:sz w:val="36"/>
        <w:szCs w:val="36"/>
      </w:rPr>
      <w:t>N</w:t>
    </w:r>
    <w:r w:rsidR="00786806">
      <w:rPr>
        <w:rFonts w:ascii="Arial" w:hAnsi="Arial" w:cs="Arial"/>
        <w:b/>
        <w:sz w:val="36"/>
        <w:szCs w:val="36"/>
      </w:rPr>
      <w:t>12</w:t>
    </w:r>
    <w:r w:rsidRPr="002616A3">
      <w:rPr>
        <w:rFonts w:ascii="Arial" w:hAnsi="Arial" w:cs="Arial"/>
        <w:b/>
        <w:sz w:val="36"/>
        <w:szCs w:val="36"/>
      </w:rPr>
      <w:t xml:space="preserve">. </w:t>
    </w:r>
    <w:r>
      <w:rPr>
        <w:rFonts w:ascii="Arial" w:hAnsi="Arial" w:cs="Arial"/>
        <w:b/>
        <w:sz w:val="36"/>
        <w:szCs w:val="36"/>
      </w:rPr>
      <w:t>Special Tests and Provisions</w:t>
    </w:r>
    <w:r w:rsidR="001F1600">
      <w:rPr>
        <w:rFonts w:ascii="Arial" w:hAnsi="Arial" w:cs="Arial"/>
        <w:b/>
        <w:sz w:val="36"/>
        <w:szCs w:val="36"/>
      </w:rPr>
      <w:t xml:space="preserve"> – PHA Utilities Operating Funding Requests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ECA0" w14:textId="41C897CF" w:rsidR="003A6024" w:rsidRPr="002616A3" w:rsidRDefault="003A6024" w:rsidP="00F13178">
    <w:pPr>
      <w:pStyle w:val="Header"/>
      <w:spacing w:after="240"/>
      <w:jc w:val="center"/>
      <w:rPr>
        <w:rFonts w:ascii="Arial" w:hAnsi="Arial" w:cs="Arial"/>
        <w:sz w:val="36"/>
        <w:szCs w:val="36"/>
      </w:rPr>
    </w:pPr>
    <w:r w:rsidRPr="002616A3">
      <w:rPr>
        <w:rFonts w:ascii="Arial" w:hAnsi="Arial" w:cs="Arial"/>
        <w:b/>
        <w:sz w:val="36"/>
        <w:szCs w:val="36"/>
      </w:rPr>
      <w:t>N</w:t>
    </w:r>
    <w:r w:rsidR="00F973D0">
      <w:rPr>
        <w:rFonts w:ascii="Arial" w:hAnsi="Arial" w:cs="Arial"/>
        <w:b/>
        <w:sz w:val="36"/>
        <w:szCs w:val="36"/>
      </w:rPr>
      <w:t>13</w:t>
    </w:r>
    <w:r w:rsidRPr="002616A3">
      <w:rPr>
        <w:rFonts w:ascii="Arial" w:hAnsi="Arial" w:cs="Arial"/>
        <w:b/>
        <w:sz w:val="36"/>
        <w:szCs w:val="36"/>
      </w:rPr>
      <w:t xml:space="preserve">. </w:t>
    </w:r>
    <w:r>
      <w:rPr>
        <w:rFonts w:ascii="Arial" w:hAnsi="Arial" w:cs="Arial"/>
        <w:b/>
        <w:sz w:val="36"/>
        <w:szCs w:val="36"/>
      </w:rPr>
      <w:t>Special Tests and Provisions</w:t>
    </w:r>
    <w:r w:rsidR="00F973D0">
      <w:rPr>
        <w:rFonts w:ascii="Arial" w:hAnsi="Arial" w:cs="Arial"/>
        <w:b/>
        <w:sz w:val="36"/>
        <w:szCs w:val="36"/>
      </w:rPr>
      <w:t xml:space="preserve"> – Recording of Declarations of Trust/Declaration of Restrictive Covenants Against Public Housing Property</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55394" w14:textId="0294D984" w:rsidR="005541E9" w:rsidRPr="002616A3" w:rsidRDefault="005541E9" w:rsidP="00F13178">
    <w:pPr>
      <w:pStyle w:val="Header"/>
      <w:spacing w:after="240"/>
      <w:jc w:val="center"/>
      <w:rPr>
        <w:rFonts w:ascii="Arial" w:hAnsi="Arial" w:cs="Arial"/>
        <w:sz w:val="36"/>
        <w:szCs w:val="36"/>
      </w:rPr>
    </w:pPr>
    <w:r w:rsidRPr="002616A3">
      <w:rPr>
        <w:rFonts w:ascii="Arial" w:hAnsi="Arial" w:cs="Arial"/>
        <w:b/>
        <w:sz w:val="36"/>
        <w:szCs w:val="36"/>
      </w:rPr>
      <w:t>N</w:t>
    </w:r>
    <w:r>
      <w:rPr>
        <w:rFonts w:ascii="Arial" w:hAnsi="Arial" w:cs="Arial"/>
        <w:b/>
        <w:sz w:val="36"/>
        <w:szCs w:val="36"/>
      </w:rPr>
      <w:t>14</w:t>
    </w:r>
    <w:r w:rsidRPr="002616A3">
      <w:rPr>
        <w:rFonts w:ascii="Arial" w:hAnsi="Arial" w:cs="Arial"/>
        <w:b/>
        <w:sz w:val="36"/>
        <w:szCs w:val="36"/>
      </w:rPr>
      <w:t xml:space="preserve">. </w:t>
    </w:r>
    <w:r>
      <w:rPr>
        <w:rFonts w:ascii="Arial" w:hAnsi="Arial" w:cs="Arial"/>
        <w:b/>
        <w:sz w:val="36"/>
        <w:szCs w:val="36"/>
      </w:rPr>
      <w:t>Special Tests and Provisions – Depository Agreements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FEF0" w14:textId="655FD1D9" w:rsidR="005541E9" w:rsidRPr="002616A3" w:rsidRDefault="005541E9" w:rsidP="00F13178">
    <w:pPr>
      <w:pStyle w:val="Header"/>
      <w:spacing w:after="240"/>
      <w:jc w:val="center"/>
      <w:rPr>
        <w:rFonts w:ascii="Arial" w:hAnsi="Arial" w:cs="Arial"/>
        <w:sz w:val="36"/>
        <w:szCs w:val="36"/>
      </w:rPr>
    </w:pPr>
    <w:r w:rsidRPr="002616A3">
      <w:rPr>
        <w:rFonts w:ascii="Arial" w:hAnsi="Arial" w:cs="Arial"/>
        <w:b/>
        <w:sz w:val="36"/>
        <w:szCs w:val="36"/>
      </w:rPr>
      <w:t>N</w:t>
    </w:r>
    <w:r w:rsidR="00DC4A66">
      <w:rPr>
        <w:rFonts w:ascii="Arial" w:hAnsi="Arial" w:cs="Arial"/>
        <w:b/>
        <w:sz w:val="36"/>
        <w:szCs w:val="36"/>
      </w:rPr>
      <w:t>15</w:t>
    </w:r>
    <w:r w:rsidRPr="002616A3">
      <w:rPr>
        <w:rFonts w:ascii="Arial" w:hAnsi="Arial" w:cs="Arial"/>
        <w:b/>
        <w:sz w:val="36"/>
        <w:szCs w:val="36"/>
      </w:rPr>
      <w:t xml:space="preserve">. </w:t>
    </w:r>
    <w:r>
      <w:rPr>
        <w:rFonts w:ascii="Arial" w:hAnsi="Arial" w:cs="Arial"/>
        <w:b/>
        <w:sz w:val="36"/>
        <w:szCs w:val="36"/>
      </w:rPr>
      <w:t>Special Tests and Provisions</w:t>
    </w:r>
    <w:r w:rsidR="00DC4A66">
      <w:rPr>
        <w:rFonts w:ascii="Arial" w:hAnsi="Arial" w:cs="Arial"/>
        <w:b/>
        <w:sz w:val="36"/>
        <w:szCs w:val="36"/>
      </w:rPr>
      <w:t xml:space="preserve"> – Insurance Proceeds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D8C5" w14:textId="1EFEC193" w:rsidR="003A6024" w:rsidRPr="002616A3" w:rsidRDefault="003A6024" w:rsidP="00F13178">
    <w:pPr>
      <w:pStyle w:val="Header"/>
      <w:spacing w:after="240"/>
      <w:jc w:val="center"/>
      <w:rPr>
        <w:rFonts w:ascii="Arial" w:hAnsi="Arial" w:cs="Arial"/>
        <w:sz w:val="36"/>
        <w:szCs w:val="36"/>
      </w:rPr>
    </w:pPr>
    <w:r w:rsidRPr="002616A3">
      <w:rPr>
        <w:rFonts w:ascii="Arial" w:hAnsi="Arial" w:cs="Arial"/>
        <w:b/>
        <w:sz w:val="36"/>
        <w:szCs w:val="36"/>
      </w:rPr>
      <w:t>N</w:t>
    </w:r>
    <w:r w:rsidR="00F65A04">
      <w:rPr>
        <w:rFonts w:ascii="Arial" w:hAnsi="Arial" w:cs="Arial"/>
        <w:b/>
        <w:sz w:val="36"/>
        <w:szCs w:val="36"/>
      </w:rPr>
      <w:t>16</w:t>
    </w:r>
    <w:r w:rsidRPr="002616A3">
      <w:rPr>
        <w:rFonts w:ascii="Arial" w:hAnsi="Arial" w:cs="Arial"/>
        <w:b/>
        <w:sz w:val="36"/>
        <w:szCs w:val="36"/>
      </w:rPr>
      <w:t xml:space="preserve">. </w:t>
    </w:r>
    <w:r>
      <w:rPr>
        <w:rFonts w:ascii="Arial" w:hAnsi="Arial" w:cs="Arial"/>
        <w:b/>
        <w:sz w:val="36"/>
        <w:szCs w:val="36"/>
      </w:rPr>
      <w:t>Special Tests and Provisions</w:t>
    </w:r>
    <w:r w:rsidR="00E6567C">
      <w:rPr>
        <w:rFonts w:ascii="Arial" w:hAnsi="Arial" w:cs="Arial"/>
        <w:b/>
        <w:sz w:val="36"/>
        <w:szCs w:val="36"/>
      </w:rPr>
      <w:t xml:space="preserve"> – Environmental Contaminants Testing and Remediation</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4DC6" w14:textId="2932FBBD" w:rsidR="003A6024" w:rsidRPr="002616A3" w:rsidRDefault="003A6024" w:rsidP="00F13178">
    <w:pPr>
      <w:pStyle w:val="Header"/>
      <w:spacing w:after="240"/>
      <w:jc w:val="center"/>
      <w:rPr>
        <w:rFonts w:ascii="Arial" w:hAnsi="Arial" w:cs="Arial"/>
        <w:sz w:val="36"/>
        <w:szCs w:val="36"/>
      </w:rPr>
    </w:pPr>
    <w:r w:rsidRPr="002616A3">
      <w:rPr>
        <w:rFonts w:ascii="Arial" w:hAnsi="Arial" w:cs="Arial"/>
        <w:b/>
        <w:sz w:val="36"/>
        <w:szCs w:val="36"/>
      </w:rPr>
      <w:t>N</w:t>
    </w:r>
    <w:r w:rsidR="00174E6A">
      <w:rPr>
        <w:rFonts w:ascii="Arial" w:hAnsi="Arial" w:cs="Arial"/>
        <w:b/>
        <w:sz w:val="36"/>
        <w:szCs w:val="36"/>
      </w:rPr>
      <w:t>17</w:t>
    </w:r>
    <w:r w:rsidRPr="002616A3">
      <w:rPr>
        <w:rFonts w:ascii="Arial" w:hAnsi="Arial" w:cs="Arial"/>
        <w:b/>
        <w:sz w:val="36"/>
        <w:szCs w:val="36"/>
      </w:rPr>
      <w:t xml:space="preserve">. </w:t>
    </w:r>
    <w:r>
      <w:rPr>
        <w:rFonts w:ascii="Arial" w:hAnsi="Arial" w:cs="Arial"/>
        <w:b/>
        <w:sz w:val="36"/>
        <w:szCs w:val="36"/>
      </w:rPr>
      <w:t>Special Tests and Provisions</w:t>
    </w:r>
    <w:r w:rsidR="00174E6A">
      <w:rPr>
        <w:rFonts w:ascii="Arial" w:hAnsi="Arial" w:cs="Arial"/>
        <w:b/>
        <w:sz w:val="36"/>
        <w:szCs w:val="36"/>
      </w:rPr>
      <w:t xml:space="preserve"> – UEL Formula (Form 52722 OMB Approval No. 2577-0029)</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3B6F" w14:textId="7636F5BA" w:rsidR="00C04E8C" w:rsidRPr="002616A3" w:rsidRDefault="00C04E8C" w:rsidP="00F13178">
    <w:pPr>
      <w:pStyle w:val="Header"/>
      <w:spacing w:after="240"/>
      <w:jc w:val="center"/>
      <w:rPr>
        <w:rFonts w:ascii="Arial" w:hAnsi="Arial" w:cs="Arial"/>
        <w:sz w:val="36"/>
        <w:szCs w:val="36"/>
      </w:rPr>
    </w:pPr>
    <w:r w:rsidRPr="002616A3">
      <w:rPr>
        <w:rFonts w:ascii="Arial" w:hAnsi="Arial" w:cs="Arial"/>
        <w:b/>
        <w:sz w:val="36"/>
        <w:szCs w:val="36"/>
      </w:rPr>
      <w:t>N</w:t>
    </w:r>
    <w:r w:rsidR="00174E6A">
      <w:rPr>
        <w:rFonts w:ascii="Arial" w:hAnsi="Arial" w:cs="Arial"/>
        <w:b/>
        <w:sz w:val="36"/>
        <w:szCs w:val="36"/>
      </w:rPr>
      <w:t>18</w:t>
    </w:r>
    <w:r w:rsidRPr="002616A3">
      <w:rPr>
        <w:rFonts w:ascii="Arial" w:hAnsi="Arial" w:cs="Arial"/>
        <w:b/>
        <w:sz w:val="36"/>
        <w:szCs w:val="36"/>
      </w:rPr>
      <w:t xml:space="preserve">. </w:t>
    </w:r>
    <w:r>
      <w:rPr>
        <w:rFonts w:ascii="Arial" w:hAnsi="Arial" w:cs="Arial"/>
        <w:b/>
        <w:sz w:val="36"/>
        <w:szCs w:val="36"/>
      </w:rPr>
      <w:t>Special Tests and Provisions</w:t>
    </w:r>
    <w:r w:rsidR="00174E6A">
      <w:rPr>
        <w:rFonts w:ascii="Arial" w:hAnsi="Arial" w:cs="Arial"/>
        <w:b/>
        <w:sz w:val="36"/>
        <w:szCs w:val="36"/>
      </w:rPr>
      <w:t xml:space="preserve"> – Formula Income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C5DB" w14:textId="7851D101" w:rsidR="00A3316B" w:rsidRPr="002616A3" w:rsidRDefault="00A3316B" w:rsidP="00F13178">
    <w:pPr>
      <w:pStyle w:val="Header"/>
      <w:spacing w:after="240"/>
      <w:jc w:val="center"/>
      <w:rPr>
        <w:rFonts w:ascii="Arial" w:hAnsi="Arial" w:cs="Arial"/>
        <w:sz w:val="36"/>
        <w:szCs w:val="36"/>
      </w:rPr>
    </w:pPr>
    <w:r w:rsidRPr="002616A3">
      <w:rPr>
        <w:rFonts w:ascii="Arial" w:hAnsi="Arial" w:cs="Arial"/>
        <w:b/>
        <w:sz w:val="36"/>
        <w:szCs w:val="36"/>
      </w:rPr>
      <w:t>N</w:t>
    </w:r>
    <w:r w:rsidR="006D34C5">
      <w:rPr>
        <w:rFonts w:ascii="Arial" w:hAnsi="Arial" w:cs="Arial"/>
        <w:b/>
        <w:sz w:val="36"/>
        <w:szCs w:val="36"/>
      </w:rPr>
      <w:t>19</w:t>
    </w:r>
    <w:r w:rsidRPr="002616A3">
      <w:rPr>
        <w:rFonts w:ascii="Arial" w:hAnsi="Arial" w:cs="Arial"/>
        <w:b/>
        <w:sz w:val="36"/>
        <w:szCs w:val="36"/>
      </w:rPr>
      <w:t xml:space="preserve">. </w:t>
    </w:r>
    <w:r>
      <w:rPr>
        <w:rFonts w:ascii="Arial" w:hAnsi="Arial" w:cs="Arial"/>
        <w:b/>
        <w:sz w:val="36"/>
        <w:szCs w:val="36"/>
      </w:rPr>
      <w:t>Special Tests and Provisions</w:t>
    </w:r>
    <w:r w:rsidR="006D34C5">
      <w:rPr>
        <w:rFonts w:ascii="Arial" w:hAnsi="Arial" w:cs="Arial"/>
        <w:b/>
        <w:sz w:val="36"/>
        <w:szCs w:val="36"/>
      </w:rPr>
      <w:t xml:space="preserve"> – Shortfall Funding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C51F69"/>
    <w:multiLevelType w:val="hybridMultilevel"/>
    <w:tmpl w:val="5B9E3728"/>
    <w:lvl w:ilvl="0" w:tplc="A4EA2BCE">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67E17"/>
    <w:multiLevelType w:val="hybridMultilevel"/>
    <w:tmpl w:val="93523224"/>
    <w:lvl w:ilvl="0" w:tplc="EE3E7EF6">
      <w:start w:val="1"/>
      <w:numFmt w:val="decimal"/>
      <w:lvlText w:val="%1."/>
      <w:lvlJc w:val="left"/>
      <w:pPr>
        <w:ind w:left="2260" w:hanging="720"/>
      </w:pPr>
      <w:rPr>
        <w:rFonts w:ascii="Arial" w:eastAsia="Times New Roman" w:hAnsi="Arial" w:cs="Arial" w:hint="default"/>
        <w:spacing w:val="-2"/>
        <w:w w:val="99"/>
        <w:sz w:val="20"/>
        <w:szCs w:val="20"/>
      </w:rPr>
    </w:lvl>
    <w:lvl w:ilvl="1" w:tplc="5F885028">
      <w:numFmt w:val="bullet"/>
      <w:lvlText w:val="•"/>
      <w:lvlJc w:val="left"/>
      <w:pPr>
        <w:ind w:left="3082" w:hanging="720"/>
      </w:pPr>
      <w:rPr>
        <w:rFonts w:hint="default"/>
      </w:rPr>
    </w:lvl>
    <w:lvl w:ilvl="2" w:tplc="698C98E6">
      <w:numFmt w:val="bullet"/>
      <w:lvlText w:val="•"/>
      <w:lvlJc w:val="left"/>
      <w:pPr>
        <w:ind w:left="3904" w:hanging="720"/>
      </w:pPr>
      <w:rPr>
        <w:rFonts w:hint="default"/>
      </w:rPr>
    </w:lvl>
    <w:lvl w:ilvl="3" w:tplc="2B04B952">
      <w:numFmt w:val="bullet"/>
      <w:lvlText w:val="•"/>
      <w:lvlJc w:val="left"/>
      <w:pPr>
        <w:ind w:left="4726" w:hanging="720"/>
      </w:pPr>
      <w:rPr>
        <w:rFonts w:hint="default"/>
      </w:rPr>
    </w:lvl>
    <w:lvl w:ilvl="4" w:tplc="21CA963E">
      <w:numFmt w:val="bullet"/>
      <w:lvlText w:val="•"/>
      <w:lvlJc w:val="left"/>
      <w:pPr>
        <w:ind w:left="5548" w:hanging="720"/>
      </w:pPr>
      <w:rPr>
        <w:rFonts w:hint="default"/>
      </w:rPr>
    </w:lvl>
    <w:lvl w:ilvl="5" w:tplc="452E4F10">
      <w:numFmt w:val="bullet"/>
      <w:lvlText w:val="•"/>
      <w:lvlJc w:val="left"/>
      <w:pPr>
        <w:ind w:left="6370" w:hanging="720"/>
      </w:pPr>
      <w:rPr>
        <w:rFonts w:hint="default"/>
      </w:rPr>
    </w:lvl>
    <w:lvl w:ilvl="6" w:tplc="87009A1C">
      <w:numFmt w:val="bullet"/>
      <w:lvlText w:val="•"/>
      <w:lvlJc w:val="left"/>
      <w:pPr>
        <w:ind w:left="7192" w:hanging="720"/>
      </w:pPr>
      <w:rPr>
        <w:rFonts w:hint="default"/>
      </w:rPr>
    </w:lvl>
    <w:lvl w:ilvl="7" w:tplc="98CEA856">
      <w:numFmt w:val="bullet"/>
      <w:lvlText w:val="•"/>
      <w:lvlJc w:val="left"/>
      <w:pPr>
        <w:ind w:left="8014" w:hanging="720"/>
      </w:pPr>
      <w:rPr>
        <w:rFonts w:hint="default"/>
      </w:rPr>
    </w:lvl>
    <w:lvl w:ilvl="8" w:tplc="996A201C">
      <w:numFmt w:val="bullet"/>
      <w:lvlText w:val="•"/>
      <w:lvlJc w:val="left"/>
      <w:pPr>
        <w:ind w:left="8836" w:hanging="720"/>
      </w:pPr>
      <w:rPr>
        <w:rFonts w:hint="default"/>
      </w:rPr>
    </w:lvl>
  </w:abstractNum>
  <w:abstractNum w:abstractNumId="3"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955D2"/>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8" w15:restartNumberingAfterBreak="0">
    <w:nsid w:val="0A32428F"/>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FA1653"/>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1F21D5"/>
    <w:multiLevelType w:val="hybridMultilevel"/>
    <w:tmpl w:val="180E4AF0"/>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EB12F3"/>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545FB2"/>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1D30DFE"/>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8F4430"/>
    <w:multiLevelType w:val="hybridMultilevel"/>
    <w:tmpl w:val="1144D716"/>
    <w:lvl w:ilvl="0" w:tplc="FFFFFFFF">
      <w:start w:val="1"/>
      <w:numFmt w:val="upperLetter"/>
      <w:lvlText w:val="%1."/>
      <w:lvlJc w:val="left"/>
      <w:pPr>
        <w:ind w:left="72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20"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AA1366"/>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3B2C9B"/>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CEA61C5"/>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0882D58"/>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DD5EEF"/>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99517E"/>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283E0B66"/>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84B7246"/>
    <w:multiLevelType w:val="hybridMultilevel"/>
    <w:tmpl w:val="2EACE2D8"/>
    <w:lvl w:ilvl="0" w:tplc="315C1538">
      <w:start w:val="1"/>
      <w:numFmt w:val="lowerLetter"/>
      <w:lvlText w:val="%1."/>
      <w:lvlJc w:val="left"/>
      <w:pPr>
        <w:ind w:left="1440" w:hanging="360"/>
      </w:pPr>
      <w:rPr>
        <w:rFonts w:ascii="Arial" w:hAnsi="Arial" w:cs="Arial"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88C3B91"/>
    <w:multiLevelType w:val="hybridMultilevel"/>
    <w:tmpl w:val="ACB2B5F4"/>
    <w:lvl w:ilvl="0" w:tplc="FD3EE546">
      <w:start w:val="1"/>
      <w:numFmt w:val="lowerLetter"/>
      <w:lvlText w:val="%1."/>
      <w:lvlJc w:val="left"/>
      <w:pPr>
        <w:ind w:left="2260" w:hanging="720"/>
      </w:pPr>
      <w:rPr>
        <w:rFonts w:ascii="Arial" w:eastAsia="Times New Roman" w:hAnsi="Arial" w:cs="Arial" w:hint="default"/>
        <w:spacing w:val="-6"/>
        <w:w w:val="100"/>
        <w:sz w:val="20"/>
        <w:szCs w:val="20"/>
      </w:rPr>
    </w:lvl>
    <w:lvl w:ilvl="1" w:tplc="5BA8B3A0">
      <w:numFmt w:val="bullet"/>
      <w:lvlText w:val="•"/>
      <w:lvlJc w:val="left"/>
      <w:pPr>
        <w:ind w:left="3082" w:hanging="720"/>
      </w:pPr>
      <w:rPr>
        <w:rFonts w:hint="default"/>
      </w:rPr>
    </w:lvl>
    <w:lvl w:ilvl="2" w:tplc="95382CF6">
      <w:numFmt w:val="bullet"/>
      <w:lvlText w:val="•"/>
      <w:lvlJc w:val="left"/>
      <w:pPr>
        <w:ind w:left="3904" w:hanging="720"/>
      </w:pPr>
      <w:rPr>
        <w:rFonts w:hint="default"/>
      </w:rPr>
    </w:lvl>
    <w:lvl w:ilvl="3" w:tplc="21784190">
      <w:numFmt w:val="bullet"/>
      <w:lvlText w:val="•"/>
      <w:lvlJc w:val="left"/>
      <w:pPr>
        <w:ind w:left="4726" w:hanging="720"/>
      </w:pPr>
      <w:rPr>
        <w:rFonts w:hint="default"/>
      </w:rPr>
    </w:lvl>
    <w:lvl w:ilvl="4" w:tplc="AA2AA994">
      <w:numFmt w:val="bullet"/>
      <w:lvlText w:val="•"/>
      <w:lvlJc w:val="left"/>
      <w:pPr>
        <w:ind w:left="5548" w:hanging="720"/>
      </w:pPr>
      <w:rPr>
        <w:rFonts w:hint="default"/>
      </w:rPr>
    </w:lvl>
    <w:lvl w:ilvl="5" w:tplc="3E940048">
      <w:numFmt w:val="bullet"/>
      <w:lvlText w:val="•"/>
      <w:lvlJc w:val="left"/>
      <w:pPr>
        <w:ind w:left="6370" w:hanging="720"/>
      </w:pPr>
      <w:rPr>
        <w:rFonts w:hint="default"/>
      </w:rPr>
    </w:lvl>
    <w:lvl w:ilvl="6" w:tplc="1FE058CE">
      <w:numFmt w:val="bullet"/>
      <w:lvlText w:val="•"/>
      <w:lvlJc w:val="left"/>
      <w:pPr>
        <w:ind w:left="7192" w:hanging="720"/>
      </w:pPr>
      <w:rPr>
        <w:rFonts w:hint="default"/>
      </w:rPr>
    </w:lvl>
    <w:lvl w:ilvl="7" w:tplc="2988C520">
      <w:numFmt w:val="bullet"/>
      <w:lvlText w:val="•"/>
      <w:lvlJc w:val="left"/>
      <w:pPr>
        <w:ind w:left="8014" w:hanging="720"/>
      </w:pPr>
      <w:rPr>
        <w:rFonts w:hint="default"/>
      </w:rPr>
    </w:lvl>
    <w:lvl w:ilvl="8" w:tplc="053E6782">
      <w:numFmt w:val="bullet"/>
      <w:lvlText w:val="•"/>
      <w:lvlJc w:val="left"/>
      <w:pPr>
        <w:ind w:left="8836" w:hanging="720"/>
      </w:pPr>
      <w:rPr>
        <w:rFonts w:hint="default"/>
      </w:rPr>
    </w:lvl>
  </w:abstractNum>
  <w:abstractNum w:abstractNumId="33"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5" w15:restartNumberingAfterBreak="0">
    <w:nsid w:val="2DE61708"/>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470479"/>
    <w:multiLevelType w:val="hybridMultilevel"/>
    <w:tmpl w:val="68DE7E12"/>
    <w:lvl w:ilvl="0" w:tplc="1D56EBF8">
      <w:start w:val="14"/>
      <w:numFmt w:val="upperLetter"/>
      <w:lvlText w:val="%1."/>
      <w:lvlJc w:val="left"/>
      <w:pPr>
        <w:ind w:left="1540" w:hanging="720"/>
        <w:jc w:val="left"/>
      </w:pPr>
      <w:rPr>
        <w:rFonts w:ascii="Times New Roman" w:eastAsia="Times New Roman" w:hAnsi="Times New Roman" w:cs="Times New Roman" w:hint="default"/>
        <w:b/>
        <w:bCs/>
        <w:spacing w:val="-4"/>
        <w:w w:val="100"/>
        <w:sz w:val="24"/>
        <w:szCs w:val="24"/>
      </w:rPr>
    </w:lvl>
    <w:lvl w:ilvl="1" w:tplc="2160A91A">
      <w:start w:val="1"/>
      <w:numFmt w:val="decimal"/>
      <w:lvlText w:val="%2."/>
      <w:lvlJc w:val="left"/>
      <w:pPr>
        <w:ind w:left="2260" w:hanging="720"/>
        <w:jc w:val="left"/>
      </w:pPr>
      <w:rPr>
        <w:rFonts w:ascii="Times New Roman" w:eastAsia="Times New Roman" w:hAnsi="Times New Roman" w:cs="Times New Roman" w:hint="default"/>
        <w:b/>
        <w:bCs/>
        <w:spacing w:val="-1"/>
        <w:w w:val="100"/>
        <w:sz w:val="24"/>
        <w:szCs w:val="24"/>
      </w:rPr>
    </w:lvl>
    <w:lvl w:ilvl="2" w:tplc="F3CEAE5C">
      <w:start w:val="1"/>
      <w:numFmt w:val="lowerLetter"/>
      <w:lvlText w:val="%3."/>
      <w:lvlJc w:val="left"/>
      <w:pPr>
        <w:ind w:left="2260" w:hanging="720"/>
        <w:jc w:val="left"/>
      </w:pPr>
      <w:rPr>
        <w:rFonts w:ascii="Arial" w:eastAsia="Times New Roman" w:hAnsi="Arial" w:cs="Arial" w:hint="default"/>
        <w:b w:val="0"/>
        <w:bCs w:val="0"/>
        <w:spacing w:val="-5"/>
        <w:w w:val="100"/>
        <w:sz w:val="20"/>
        <w:szCs w:val="20"/>
      </w:rPr>
    </w:lvl>
    <w:lvl w:ilvl="3" w:tplc="D3A29862">
      <w:numFmt w:val="bullet"/>
      <w:lvlText w:val="•"/>
      <w:lvlJc w:val="left"/>
      <w:pPr>
        <w:ind w:left="3305" w:hanging="720"/>
      </w:pPr>
      <w:rPr>
        <w:rFonts w:hint="default"/>
      </w:rPr>
    </w:lvl>
    <w:lvl w:ilvl="4" w:tplc="92FC3104">
      <w:numFmt w:val="bullet"/>
      <w:lvlText w:val="•"/>
      <w:lvlJc w:val="left"/>
      <w:pPr>
        <w:ind w:left="4330" w:hanging="720"/>
      </w:pPr>
      <w:rPr>
        <w:rFonts w:hint="default"/>
      </w:rPr>
    </w:lvl>
    <w:lvl w:ilvl="5" w:tplc="ABF0AF04">
      <w:numFmt w:val="bullet"/>
      <w:lvlText w:val="•"/>
      <w:lvlJc w:val="left"/>
      <w:pPr>
        <w:ind w:left="5355" w:hanging="720"/>
      </w:pPr>
      <w:rPr>
        <w:rFonts w:hint="default"/>
      </w:rPr>
    </w:lvl>
    <w:lvl w:ilvl="6" w:tplc="A8240494">
      <w:numFmt w:val="bullet"/>
      <w:lvlText w:val="•"/>
      <w:lvlJc w:val="left"/>
      <w:pPr>
        <w:ind w:left="6380" w:hanging="720"/>
      </w:pPr>
      <w:rPr>
        <w:rFonts w:hint="default"/>
      </w:rPr>
    </w:lvl>
    <w:lvl w:ilvl="7" w:tplc="0FFCA58E">
      <w:numFmt w:val="bullet"/>
      <w:lvlText w:val="•"/>
      <w:lvlJc w:val="left"/>
      <w:pPr>
        <w:ind w:left="7405" w:hanging="720"/>
      </w:pPr>
      <w:rPr>
        <w:rFonts w:hint="default"/>
      </w:rPr>
    </w:lvl>
    <w:lvl w:ilvl="8" w:tplc="BC0A49AC">
      <w:numFmt w:val="bullet"/>
      <w:lvlText w:val="•"/>
      <w:lvlJc w:val="left"/>
      <w:pPr>
        <w:ind w:left="8430" w:hanging="720"/>
      </w:pPr>
      <w:rPr>
        <w:rFonts w:hint="default"/>
      </w:rPr>
    </w:lvl>
  </w:abstractNum>
  <w:abstractNum w:abstractNumId="37"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68A1B2B"/>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7E16141"/>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8F7275D"/>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AB73232"/>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C9B480E"/>
    <w:multiLevelType w:val="hybridMultilevel"/>
    <w:tmpl w:val="DA8A6F6E"/>
    <w:lvl w:ilvl="0" w:tplc="3748383C">
      <w:start w:val="1"/>
      <w:numFmt w:val="lowerLetter"/>
      <w:lvlText w:val="%1."/>
      <w:lvlJc w:val="left"/>
      <w:pPr>
        <w:ind w:left="2260" w:hanging="720"/>
      </w:pPr>
      <w:rPr>
        <w:rFonts w:ascii="Arial" w:eastAsia="Times New Roman" w:hAnsi="Arial" w:cs="Arial" w:hint="default"/>
        <w:b w:val="0"/>
        <w:bCs w:val="0"/>
        <w:spacing w:val="-5"/>
        <w:w w:val="100"/>
        <w:sz w:val="20"/>
        <w:szCs w:val="20"/>
      </w:rPr>
    </w:lvl>
    <w:lvl w:ilvl="1" w:tplc="C5EEC138">
      <w:numFmt w:val="bullet"/>
      <w:lvlText w:val="•"/>
      <w:lvlJc w:val="left"/>
      <w:pPr>
        <w:ind w:left="3082" w:hanging="720"/>
      </w:pPr>
      <w:rPr>
        <w:rFonts w:hint="default"/>
      </w:rPr>
    </w:lvl>
    <w:lvl w:ilvl="2" w:tplc="39D63AB4">
      <w:numFmt w:val="bullet"/>
      <w:lvlText w:val="•"/>
      <w:lvlJc w:val="left"/>
      <w:pPr>
        <w:ind w:left="3904" w:hanging="720"/>
      </w:pPr>
      <w:rPr>
        <w:rFonts w:hint="default"/>
      </w:rPr>
    </w:lvl>
    <w:lvl w:ilvl="3" w:tplc="836C3B88">
      <w:numFmt w:val="bullet"/>
      <w:lvlText w:val="•"/>
      <w:lvlJc w:val="left"/>
      <w:pPr>
        <w:ind w:left="4726" w:hanging="720"/>
      </w:pPr>
      <w:rPr>
        <w:rFonts w:hint="default"/>
      </w:rPr>
    </w:lvl>
    <w:lvl w:ilvl="4" w:tplc="415496C2">
      <w:numFmt w:val="bullet"/>
      <w:lvlText w:val="•"/>
      <w:lvlJc w:val="left"/>
      <w:pPr>
        <w:ind w:left="5548" w:hanging="720"/>
      </w:pPr>
      <w:rPr>
        <w:rFonts w:hint="default"/>
      </w:rPr>
    </w:lvl>
    <w:lvl w:ilvl="5" w:tplc="3FAE62FC">
      <w:numFmt w:val="bullet"/>
      <w:lvlText w:val="•"/>
      <w:lvlJc w:val="left"/>
      <w:pPr>
        <w:ind w:left="6370" w:hanging="720"/>
      </w:pPr>
      <w:rPr>
        <w:rFonts w:hint="default"/>
      </w:rPr>
    </w:lvl>
    <w:lvl w:ilvl="6" w:tplc="B86E0846">
      <w:numFmt w:val="bullet"/>
      <w:lvlText w:val="•"/>
      <w:lvlJc w:val="left"/>
      <w:pPr>
        <w:ind w:left="7192" w:hanging="720"/>
      </w:pPr>
      <w:rPr>
        <w:rFonts w:hint="default"/>
      </w:rPr>
    </w:lvl>
    <w:lvl w:ilvl="7" w:tplc="B19AD36A">
      <w:numFmt w:val="bullet"/>
      <w:lvlText w:val="•"/>
      <w:lvlJc w:val="left"/>
      <w:pPr>
        <w:ind w:left="8014" w:hanging="720"/>
      </w:pPr>
      <w:rPr>
        <w:rFonts w:hint="default"/>
      </w:rPr>
    </w:lvl>
    <w:lvl w:ilvl="8" w:tplc="37E6F698">
      <w:numFmt w:val="bullet"/>
      <w:lvlText w:val="•"/>
      <w:lvlJc w:val="left"/>
      <w:pPr>
        <w:ind w:left="8836" w:hanging="720"/>
      </w:pPr>
      <w:rPr>
        <w:rFonts w:hint="default"/>
      </w:rPr>
    </w:lvl>
  </w:abstractNum>
  <w:abstractNum w:abstractNumId="45"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47"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7B2D60"/>
    <w:multiLevelType w:val="hybridMultilevel"/>
    <w:tmpl w:val="0D2CA200"/>
    <w:lvl w:ilvl="0" w:tplc="5DDAE86C">
      <w:start w:val="1"/>
      <w:numFmt w:val="lowerLetter"/>
      <w:lvlText w:val="%1."/>
      <w:lvlJc w:val="left"/>
      <w:pPr>
        <w:ind w:left="1560" w:hanging="720"/>
      </w:pPr>
      <w:rPr>
        <w:rFonts w:ascii="Times New Roman" w:eastAsia="Times New Roman" w:hAnsi="Times New Roman" w:cs="Times New Roman" w:hint="default"/>
        <w:spacing w:val="-1"/>
        <w:w w:val="100"/>
        <w:sz w:val="24"/>
        <w:szCs w:val="24"/>
      </w:rPr>
    </w:lvl>
    <w:lvl w:ilvl="1" w:tplc="326EEF8C">
      <w:numFmt w:val="bullet"/>
      <w:lvlText w:val="•"/>
      <w:lvlJc w:val="left"/>
      <w:pPr>
        <w:ind w:left="2372" w:hanging="720"/>
      </w:pPr>
      <w:rPr>
        <w:rFonts w:hint="default"/>
      </w:rPr>
    </w:lvl>
    <w:lvl w:ilvl="2" w:tplc="7684215E">
      <w:numFmt w:val="bullet"/>
      <w:lvlText w:val="•"/>
      <w:lvlJc w:val="left"/>
      <w:pPr>
        <w:ind w:left="3184" w:hanging="720"/>
      </w:pPr>
      <w:rPr>
        <w:rFonts w:hint="default"/>
      </w:rPr>
    </w:lvl>
    <w:lvl w:ilvl="3" w:tplc="8F0C431E">
      <w:numFmt w:val="bullet"/>
      <w:lvlText w:val="•"/>
      <w:lvlJc w:val="left"/>
      <w:pPr>
        <w:ind w:left="3996" w:hanging="720"/>
      </w:pPr>
      <w:rPr>
        <w:rFonts w:hint="default"/>
      </w:rPr>
    </w:lvl>
    <w:lvl w:ilvl="4" w:tplc="2E6E7702">
      <w:numFmt w:val="bullet"/>
      <w:lvlText w:val="•"/>
      <w:lvlJc w:val="left"/>
      <w:pPr>
        <w:ind w:left="4808" w:hanging="720"/>
      </w:pPr>
      <w:rPr>
        <w:rFonts w:hint="default"/>
      </w:rPr>
    </w:lvl>
    <w:lvl w:ilvl="5" w:tplc="1924C1CC">
      <w:numFmt w:val="bullet"/>
      <w:lvlText w:val="•"/>
      <w:lvlJc w:val="left"/>
      <w:pPr>
        <w:ind w:left="5620" w:hanging="720"/>
      </w:pPr>
      <w:rPr>
        <w:rFonts w:hint="default"/>
      </w:rPr>
    </w:lvl>
    <w:lvl w:ilvl="6" w:tplc="2AE4B06C">
      <w:numFmt w:val="bullet"/>
      <w:lvlText w:val="•"/>
      <w:lvlJc w:val="left"/>
      <w:pPr>
        <w:ind w:left="6432" w:hanging="720"/>
      </w:pPr>
      <w:rPr>
        <w:rFonts w:hint="default"/>
      </w:rPr>
    </w:lvl>
    <w:lvl w:ilvl="7" w:tplc="A48294F2">
      <w:numFmt w:val="bullet"/>
      <w:lvlText w:val="•"/>
      <w:lvlJc w:val="left"/>
      <w:pPr>
        <w:ind w:left="7244" w:hanging="720"/>
      </w:pPr>
      <w:rPr>
        <w:rFonts w:hint="default"/>
      </w:rPr>
    </w:lvl>
    <w:lvl w:ilvl="8" w:tplc="9ADC5258">
      <w:numFmt w:val="bullet"/>
      <w:lvlText w:val="•"/>
      <w:lvlJc w:val="left"/>
      <w:pPr>
        <w:ind w:left="8056" w:hanging="720"/>
      </w:pPr>
      <w:rPr>
        <w:rFonts w:hint="default"/>
      </w:rPr>
    </w:lvl>
  </w:abstractNum>
  <w:abstractNum w:abstractNumId="49"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852170"/>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DA44029"/>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E427B17"/>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093628F"/>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52280257"/>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59" w15:restartNumberingAfterBreak="0">
    <w:nsid w:val="533B4246"/>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61" w15:restartNumberingAfterBreak="0">
    <w:nsid w:val="565A7852"/>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79C4EC2"/>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B800AB6"/>
    <w:multiLevelType w:val="hybridMultilevel"/>
    <w:tmpl w:val="5B9E3728"/>
    <w:lvl w:ilvl="0" w:tplc="FFFFFFFF">
      <w:start w:val="2"/>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D7C18E9"/>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DC50A9B"/>
    <w:multiLevelType w:val="hybridMultilevel"/>
    <w:tmpl w:val="3140B41A"/>
    <w:lvl w:ilvl="0" w:tplc="4F9CA0C8">
      <w:start w:val="1"/>
      <w:numFmt w:val="lowerLetter"/>
      <w:lvlText w:val="%1."/>
      <w:lvlJc w:val="left"/>
      <w:pPr>
        <w:ind w:left="810" w:hanging="720"/>
      </w:pPr>
      <w:rPr>
        <w:rFonts w:ascii="Arial" w:eastAsia="Times New Roman" w:hAnsi="Arial" w:cs="Arial" w:hint="default"/>
        <w:spacing w:val="-5"/>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F477A84"/>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0352428"/>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68D17044"/>
    <w:multiLevelType w:val="hybridMultilevel"/>
    <w:tmpl w:val="56345B60"/>
    <w:lvl w:ilvl="0" w:tplc="E75A127E">
      <w:start w:val="2"/>
      <w:numFmt w:val="decimal"/>
      <w:lvlText w:val="%1."/>
      <w:lvlJc w:val="left"/>
      <w:pPr>
        <w:ind w:left="1080" w:hanging="72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233BE3"/>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D082A14"/>
    <w:multiLevelType w:val="hybridMultilevel"/>
    <w:tmpl w:val="587ABEA4"/>
    <w:lvl w:ilvl="0" w:tplc="100A9798">
      <w:start w:val="14"/>
      <w:numFmt w:val="upperLetter"/>
      <w:lvlText w:val="%1."/>
      <w:lvlJc w:val="left"/>
      <w:pPr>
        <w:ind w:left="1540" w:hanging="720"/>
      </w:pPr>
      <w:rPr>
        <w:rFonts w:ascii="Times New Roman" w:eastAsia="Times New Roman" w:hAnsi="Times New Roman" w:cs="Times New Roman" w:hint="default"/>
        <w:b/>
        <w:bCs/>
        <w:spacing w:val="-4"/>
        <w:w w:val="100"/>
        <w:sz w:val="24"/>
        <w:szCs w:val="24"/>
      </w:rPr>
    </w:lvl>
    <w:lvl w:ilvl="1" w:tplc="40BE4676">
      <w:start w:val="1"/>
      <w:numFmt w:val="decimal"/>
      <w:lvlText w:val="%2."/>
      <w:lvlJc w:val="left"/>
      <w:pPr>
        <w:ind w:left="2260" w:hanging="720"/>
      </w:pPr>
      <w:rPr>
        <w:rFonts w:ascii="Times New Roman" w:eastAsia="Times New Roman" w:hAnsi="Times New Roman" w:cs="Times New Roman" w:hint="default"/>
        <w:b/>
        <w:bCs/>
        <w:spacing w:val="-1"/>
        <w:w w:val="100"/>
        <w:sz w:val="24"/>
        <w:szCs w:val="24"/>
      </w:rPr>
    </w:lvl>
    <w:lvl w:ilvl="2" w:tplc="4F9CA0C8">
      <w:start w:val="1"/>
      <w:numFmt w:val="lowerLetter"/>
      <w:lvlText w:val="%3."/>
      <w:lvlJc w:val="left"/>
      <w:pPr>
        <w:ind w:left="810" w:hanging="720"/>
      </w:pPr>
      <w:rPr>
        <w:rFonts w:ascii="Arial" w:eastAsia="Times New Roman" w:hAnsi="Arial" w:cs="Arial" w:hint="default"/>
        <w:spacing w:val="-5"/>
        <w:w w:val="100"/>
        <w:sz w:val="20"/>
        <w:szCs w:val="20"/>
      </w:rPr>
    </w:lvl>
    <w:lvl w:ilvl="3" w:tplc="5484DE50">
      <w:numFmt w:val="bullet"/>
      <w:lvlText w:val="•"/>
      <w:lvlJc w:val="left"/>
      <w:pPr>
        <w:ind w:left="3305" w:hanging="720"/>
      </w:pPr>
      <w:rPr>
        <w:rFonts w:hint="default"/>
      </w:rPr>
    </w:lvl>
    <w:lvl w:ilvl="4" w:tplc="4984ADC2">
      <w:numFmt w:val="bullet"/>
      <w:lvlText w:val="•"/>
      <w:lvlJc w:val="left"/>
      <w:pPr>
        <w:ind w:left="4330" w:hanging="720"/>
      </w:pPr>
      <w:rPr>
        <w:rFonts w:hint="default"/>
      </w:rPr>
    </w:lvl>
    <w:lvl w:ilvl="5" w:tplc="93C45C7C">
      <w:numFmt w:val="bullet"/>
      <w:lvlText w:val="•"/>
      <w:lvlJc w:val="left"/>
      <w:pPr>
        <w:ind w:left="5355" w:hanging="720"/>
      </w:pPr>
      <w:rPr>
        <w:rFonts w:hint="default"/>
      </w:rPr>
    </w:lvl>
    <w:lvl w:ilvl="6" w:tplc="57E2CDBE">
      <w:numFmt w:val="bullet"/>
      <w:lvlText w:val="•"/>
      <w:lvlJc w:val="left"/>
      <w:pPr>
        <w:ind w:left="6380" w:hanging="720"/>
      </w:pPr>
      <w:rPr>
        <w:rFonts w:hint="default"/>
      </w:rPr>
    </w:lvl>
    <w:lvl w:ilvl="7" w:tplc="6BAAE936">
      <w:numFmt w:val="bullet"/>
      <w:lvlText w:val="•"/>
      <w:lvlJc w:val="left"/>
      <w:pPr>
        <w:ind w:left="7405" w:hanging="720"/>
      </w:pPr>
      <w:rPr>
        <w:rFonts w:hint="default"/>
      </w:rPr>
    </w:lvl>
    <w:lvl w:ilvl="8" w:tplc="3D94B684">
      <w:numFmt w:val="bullet"/>
      <w:lvlText w:val="•"/>
      <w:lvlJc w:val="left"/>
      <w:pPr>
        <w:ind w:left="8430" w:hanging="720"/>
      </w:pPr>
      <w:rPr>
        <w:rFonts w:hint="default"/>
      </w:rPr>
    </w:lvl>
  </w:abstractNum>
  <w:abstractNum w:abstractNumId="78"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1F299F"/>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4D01D81"/>
    <w:multiLevelType w:val="hybridMultilevel"/>
    <w:tmpl w:val="1144D716"/>
    <w:lvl w:ilvl="0" w:tplc="FFFFFFFF">
      <w:start w:val="1"/>
      <w:numFmt w:val="upperLetter"/>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82"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83"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56"/>
  </w:num>
  <w:num w:numId="3" w16cid:durableId="845168209">
    <w:abstractNumId w:val="29"/>
  </w:num>
  <w:num w:numId="4" w16cid:durableId="495266702">
    <w:abstractNumId w:val="45"/>
  </w:num>
  <w:num w:numId="5" w16cid:durableId="1496074526">
    <w:abstractNumId w:val="74"/>
  </w:num>
  <w:num w:numId="6" w16cid:durableId="1894850701">
    <w:abstractNumId w:val="40"/>
  </w:num>
  <w:num w:numId="7" w16cid:durableId="1851287688">
    <w:abstractNumId w:val="83"/>
  </w:num>
  <w:num w:numId="8" w16cid:durableId="169563015">
    <w:abstractNumId w:val="72"/>
  </w:num>
  <w:num w:numId="9" w16cid:durableId="829565744">
    <w:abstractNumId w:val="26"/>
  </w:num>
  <w:num w:numId="10" w16cid:durableId="1649020827">
    <w:abstractNumId w:val="6"/>
  </w:num>
  <w:num w:numId="11" w16cid:durableId="812450053">
    <w:abstractNumId w:val="81"/>
  </w:num>
  <w:num w:numId="12" w16cid:durableId="208225967">
    <w:abstractNumId w:val="58"/>
  </w:num>
  <w:num w:numId="13" w16cid:durableId="137292458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6164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8249420">
    <w:abstractNumId w:val="60"/>
  </w:num>
  <w:num w:numId="16" w16cid:durableId="1726903200">
    <w:abstractNumId w:val="20"/>
  </w:num>
  <w:num w:numId="17" w16cid:durableId="884410781">
    <w:abstractNumId w:val="11"/>
  </w:num>
  <w:num w:numId="18" w16cid:durableId="810370577">
    <w:abstractNumId w:val="53"/>
  </w:num>
  <w:num w:numId="19" w16cid:durableId="2056466201">
    <w:abstractNumId w:val="27"/>
  </w:num>
  <w:num w:numId="20" w16cid:durableId="368649401">
    <w:abstractNumId w:val="3"/>
  </w:num>
  <w:num w:numId="21" w16cid:durableId="1478910963">
    <w:abstractNumId w:val="78"/>
  </w:num>
  <w:num w:numId="22" w16cid:durableId="516505364">
    <w:abstractNumId w:val="62"/>
  </w:num>
  <w:num w:numId="23" w16cid:durableId="1352143524">
    <w:abstractNumId w:val="34"/>
  </w:num>
  <w:num w:numId="24" w16cid:durableId="2034109230">
    <w:abstractNumId w:val="49"/>
  </w:num>
  <w:num w:numId="25" w16cid:durableId="752432378">
    <w:abstractNumId w:val="46"/>
  </w:num>
  <w:num w:numId="26" w16cid:durableId="1766726706">
    <w:abstractNumId w:val="19"/>
  </w:num>
  <w:num w:numId="27" w16cid:durableId="1123234674">
    <w:abstractNumId w:val="7"/>
  </w:num>
  <w:num w:numId="28" w16cid:durableId="1056511850">
    <w:abstractNumId w:val="73"/>
  </w:num>
  <w:num w:numId="29" w16cid:durableId="1317146710">
    <w:abstractNumId w:val="66"/>
  </w:num>
  <w:num w:numId="30" w16cid:durableId="1101756761">
    <w:abstractNumId w:val="54"/>
  </w:num>
  <w:num w:numId="31" w16cid:durableId="1244534831">
    <w:abstractNumId w:val="63"/>
  </w:num>
  <w:num w:numId="32" w16cid:durableId="120655483">
    <w:abstractNumId w:val="33"/>
  </w:num>
  <w:num w:numId="33" w16cid:durableId="667756309">
    <w:abstractNumId w:val="10"/>
  </w:num>
  <w:num w:numId="34" w16cid:durableId="142236087">
    <w:abstractNumId w:val="42"/>
  </w:num>
  <w:num w:numId="35" w16cid:durableId="2005356031">
    <w:abstractNumId w:val="16"/>
  </w:num>
  <w:num w:numId="36" w16cid:durableId="196281328">
    <w:abstractNumId w:val="67"/>
  </w:num>
  <w:num w:numId="37" w16cid:durableId="2066832860">
    <w:abstractNumId w:val="4"/>
  </w:num>
  <w:num w:numId="38" w16cid:durableId="1902322810">
    <w:abstractNumId w:val="18"/>
  </w:num>
  <w:num w:numId="39" w16cid:durableId="1314218672">
    <w:abstractNumId w:val="47"/>
  </w:num>
  <w:num w:numId="40" w16cid:durableId="1163159298">
    <w:abstractNumId w:val="37"/>
  </w:num>
  <w:num w:numId="41" w16cid:durableId="1569071518">
    <w:abstractNumId w:val="2"/>
  </w:num>
  <w:num w:numId="42" w16cid:durableId="58134164">
    <w:abstractNumId w:val="1"/>
  </w:num>
  <w:num w:numId="43" w16cid:durableId="2142921929">
    <w:abstractNumId w:val="48"/>
  </w:num>
  <w:num w:numId="44" w16cid:durableId="2082481427">
    <w:abstractNumId w:val="50"/>
  </w:num>
  <w:num w:numId="45" w16cid:durableId="247085029">
    <w:abstractNumId w:val="77"/>
  </w:num>
  <w:num w:numId="46" w16cid:durableId="1535533275">
    <w:abstractNumId w:val="70"/>
  </w:num>
  <w:num w:numId="47" w16cid:durableId="606815368">
    <w:abstractNumId w:val="17"/>
  </w:num>
  <w:num w:numId="48" w16cid:durableId="1194197292">
    <w:abstractNumId w:val="44"/>
  </w:num>
  <w:num w:numId="49" w16cid:durableId="694616490">
    <w:abstractNumId w:val="5"/>
  </w:num>
  <w:num w:numId="50" w16cid:durableId="20598034">
    <w:abstractNumId w:val="69"/>
  </w:num>
  <w:num w:numId="51" w16cid:durableId="1181823036">
    <w:abstractNumId w:val="68"/>
  </w:num>
  <w:num w:numId="52" w16cid:durableId="913855365">
    <w:abstractNumId w:val="24"/>
  </w:num>
  <w:num w:numId="53" w16cid:durableId="2009401377">
    <w:abstractNumId w:val="79"/>
  </w:num>
  <w:num w:numId="54" w16cid:durableId="862210197">
    <w:abstractNumId w:val="9"/>
  </w:num>
  <w:num w:numId="55" w16cid:durableId="194539888">
    <w:abstractNumId w:val="31"/>
  </w:num>
  <w:num w:numId="56" w16cid:durableId="1204901463">
    <w:abstractNumId w:val="25"/>
  </w:num>
  <w:num w:numId="57" w16cid:durableId="1058822068">
    <w:abstractNumId w:val="64"/>
  </w:num>
  <w:num w:numId="58" w16cid:durableId="2050759469">
    <w:abstractNumId w:val="57"/>
  </w:num>
  <w:num w:numId="59" w16cid:durableId="1979875062">
    <w:abstractNumId w:val="22"/>
  </w:num>
  <w:num w:numId="60" w16cid:durableId="454834578">
    <w:abstractNumId w:val="51"/>
  </w:num>
  <w:num w:numId="61" w16cid:durableId="534970744">
    <w:abstractNumId w:val="23"/>
  </w:num>
  <w:num w:numId="62" w16cid:durableId="936521868">
    <w:abstractNumId w:val="76"/>
  </w:num>
  <w:num w:numId="63" w16cid:durableId="1935015964">
    <w:abstractNumId w:val="30"/>
  </w:num>
  <w:num w:numId="64" w16cid:durableId="437214040">
    <w:abstractNumId w:val="13"/>
  </w:num>
  <w:num w:numId="65" w16cid:durableId="1238827911">
    <w:abstractNumId w:val="39"/>
  </w:num>
  <w:num w:numId="66" w16cid:durableId="1999264139">
    <w:abstractNumId w:val="43"/>
  </w:num>
  <w:num w:numId="67" w16cid:durableId="194346970">
    <w:abstractNumId w:val="28"/>
  </w:num>
  <w:num w:numId="68" w16cid:durableId="1066145120">
    <w:abstractNumId w:val="59"/>
  </w:num>
  <w:num w:numId="69" w16cid:durableId="1262952722">
    <w:abstractNumId w:val="55"/>
  </w:num>
  <w:num w:numId="70" w16cid:durableId="1177305007">
    <w:abstractNumId w:val="41"/>
  </w:num>
  <w:num w:numId="71" w16cid:durableId="103962293">
    <w:abstractNumId w:val="38"/>
  </w:num>
  <w:num w:numId="72" w16cid:durableId="1152527684">
    <w:abstractNumId w:val="71"/>
  </w:num>
  <w:num w:numId="73" w16cid:durableId="1931156240">
    <w:abstractNumId w:val="52"/>
  </w:num>
  <w:num w:numId="74" w16cid:durableId="1849906810">
    <w:abstractNumId w:val="14"/>
  </w:num>
  <w:num w:numId="75" w16cid:durableId="694159837">
    <w:abstractNumId w:val="8"/>
  </w:num>
  <w:num w:numId="76" w16cid:durableId="396590079">
    <w:abstractNumId w:val="80"/>
  </w:num>
  <w:num w:numId="77" w16cid:durableId="147596525">
    <w:abstractNumId w:val="15"/>
  </w:num>
  <w:num w:numId="78" w16cid:durableId="1363046308">
    <w:abstractNumId w:val="32"/>
  </w:num>
  <w:num w:numId="79" w16cid:durableId="1466042683">
    <w:abstractNumId w:val="21"/>
  </w:num>
  <w:num w:numId="80" w16cid:durableId="146898125">
    <w:abstractNumId w:val="65"/>
  </w:num>
  <w:num w:numId="81" w16cid:durableId="2079398835">
    <w:abstractNumId w:val="75"/>
  </w:num>
  <w:num w:numId="82" w16cid:durableId="980579476">
    <w:abstractNumId w:val="61"/>
  </w:num>
  <w:num w:numId="83" w16cid:durableId="1204100835">
    <w:abstractNumId w:val="35"/>
  </w:num>
  <w:num w:numId="84" w16cid:durableId="242184213">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60F"/>
    <w:rsid w:val="00011C0F"/>
    <w:rsid w:val="00011C4A"/>
    <w:rsid w:val="000120C4"/>
    <w:rsid w:val="00012CD3"/>
    <w:rsid w:val="00012E75"/>
    <w:rsid w:val="00013161"/>
    <w:rsid w:val="00013C48"/>
    <w:rsid w:val="000148A1"/>
    <w:rsid w:val="00016009"/>
    <w:rsid w:val="00016E7D"/>
    <w:rsid w:val="00017EE1"/>
    <w:rsid w:val="000208C0"/>
    <w:rsid w:val="00020EF9"/>
    <w:rsid w:val="00021ADA"/>
    <w:rsid w:val="000220CB"/>
    <w:rsid w:val="000223CF"/>
    <w:rsid w:val="00023CBC"/>
    <w:rsid w:val="00023D8F"/>
    <w:rsid w:val="00024140"/>
    <w:rsid w:val="00026512"/>
    <w:rsid w:val="00027C89"/>
    <w:rsid w:val="00031358"/>
    <w:rsid w:val="00031514"/>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0CA3"/>
    <w:rsid w:val="000A10E0"/>
    <w:rsid w:val="000A19FC"/>
    <w:rsid w:val="000A2F8F"/>
    <w:rsid w:val="000A336C"/>
    <w:rsid w:val="000A350D"/>
    <w:rsid w:val="000A41D3"/>
    <w:rsid w:val="000A530B"/>
    <w:rsid w:val="000A636A"/>
    <w:rsid w:val="000A63F1"/>
    <w:rsid w:val="000A6694"/>
    <w:rsid w:val="000A6DFA"/>
    <w:rsid w:val="000A7103"/>
    <w:rsid w:val="000A7411"/>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64E4"/>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4E6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0E70"/>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146"/>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1600"/>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56C2"/>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793"/>
    <w:rsid w:val="00227B90"/>
    <w:rsid w:val="002308CD"/>
    <w:rsid w:val="00231C25"/>
    <w:rsid w:val="00231D2C"/>
    <w:rsid w:val="002331DB"/>
    <w:rsid w:val="002335CE"/>
    <w:rsid w:val="002336FF"/>
    <w:rsid w:val="0023411F"/>
    <w:rsid w:val="0023424F"/>
    <w:rsid w:val="002345C4"/>
    <w:rsid w:val="0023503F"/>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E78"/>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A5C66"/>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BBE"/>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086"/>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0A39"/>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024"/>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4638"/>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0D57"/>
    <w:rsid w:val="004D2BFA"/>
    <w:rsid w:val="004D410F"/>
    <w:rsid w:val="004D658A"/>
    <w:rsid w:val="004D6AB6"/>
    <w:rsid w:val="004D7AAA"/>
    <w:rsid w:val="004E072E"/>
    <w:rsid w:val="004E23CE"/>
    <w:rsid w:val="004E25D7"/>
    <w:rsid w:val="004E2981"/>
    <w:rsid w:val="004E3BB1"/>
    <w:rsid w:val="004E4035"/>
    <w:rsid w:val="004E486F"/>
    <w:rsid w:val="004E493D"/>
    <w:rsid w:val="004E4CD8"/>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41E9"/>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5BD9"/>
    <w:rsid w:val="005C61A2"/>
    <w:rsid w:val="005C6290"/>
    <w:rsid w:val="005C6C7A"/>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6E36"/>
    <w:rsid w:val="006173DF"/>
    <w:rsid w:val="00621DC9"/>
    <w:rsid w:val="0062270F"/>
    <w:rsid w:val="006230CF"/>
    <w:rsid w:val="00624DA1"/>
    <w:rsid w:val="006263ED"/>
    <w:rsid w:val="00626C6D"/>
    <w:rsid w:val="0062713F"/>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886"/>
    <w:rsid w:val="00687039"/>
    <w:rsid w:val="0069062A"/>
    <w:rsid w:val="006910A3"/>
    <w:rsid w:val="00691C2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5D76"/>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34C5"/>
    <w:rsid w:val="006D45EB"/>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A0"/>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777A0"/>
    <w:rsid w:val="00777C0A"/>
    <w:rsid w:val="00780AD4"/>
    <w:rsid w:val="007814B6"/>
    <w:rsid w:val="0078239F"/>
    <w:rsid w:val="00782B0D"/>
    <w:rsid w:val="00783DE3"/>
    <w:rsid w:val="00784098"/>
    <w:rsid w:val="00784485"/>
    <w:rsid w:val="007848C0"/>
    <w:rsid w:val="0078513F"/>
    <w:rsid w:val="00785244"/>
    <w:rsid w:val="00786806"/>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6AB"/>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5BA6"/>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4BCE"/>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458B"/>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3DB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16B"/>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4D26"/>
    <w:rsid w:val="00A75037"/>
    <w:rsid w:val="00A8162E"/>
    <w:rsid w:val="00A83C33"/>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9E4"/>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0CBB"/>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2863"/>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65AC"/>
    <w:rsid w:val="00BF75E2"/>
    <w:rsid w:val="00BF7836"/>
    <w:rsid w:val="00C001DA"/>
    <w:rsid w:val="00C00995"/>
    <w:rsid w:val="00C00D6F"/>
    <w:rsid w:val="00C0143E"/>
    <w:rsid w:val="00C0199F"/>
    <w:rsid w:val="00C0376F"/>
    <w:rsid w:val="00C0414F"/>
    <w:rsid w:val="00C0425A"/>
    <w:rsid w:val="00C04E8C"/>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656F"/>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4A79"/>
    <w:rsid w:val="00D37890"/>
    <w:rsid w:val="00D37925"/>
    <w:rsid w:val="00D40D0C"/>
    <w:rsid w:val="00D41896"/>
    <w:rsid w:val="00D42ECA"/>
    <w:rsid w:val="00D4387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66"/>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567C"/>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929"/>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AD1"/>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65A04"/>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3D0"/>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4"/>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5"/>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 w:type="paragraph" w:styleId="TOC4">
    <w:name w:val="toc 4"/>
    <w:basedOn w:val="Normal"/>
    <w:next w:val="Normal"/>
    <w:autoRedefine/>
    <w:uiPriority w:val="39"/>
    <w:unhideWhenUsed/>
    <w:rsid w:val="0023503F"/>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23503F"/>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23503F"/>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23503F"/>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23503F"/>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23503F"/>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663123697">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052457819">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eader" Target="header24.xml"/><Relationship Id="rId21" Type="http://schemas.openxmlformats.org/officeDocument/2006/relationships/hyperlink" Target="Agency_Adoption_of_the_UG_and_Example_Citations.pdf" TargetMode="External"/><Relationship Id="rId42" Type="http://schemas.openxmlformats.org/officeDocument/2006/relationships/header" Target="header5.xml"/><Relationship Id="rId47" Type="http://schemas.openxmlformats.org/officeDocument/2006/relationships/header" Target="header7.xml"/><Relationship Id="rId63" Type="http://schemas.openxmlformats.org/officeDocument/2006/relationships/hyperlink" Target="https://www.madeinamerica.gov/waivers" TargetMode="External"/><Relationship Id="rId68" Type="http://schemas.openxmlformats.org/officeDocument/2006/relationships/hyperlink" Target="48_CFR_Part_52.pdf" TargetMode="External"/><Relationship Id="rId84" Type="http://schemas.openxmlformats.org/officeDocument/2006/relationships/header" Target="header11.xml"/><Relationship Id="rId89" Type="http://schemas.openxmlformats.org/officeDocument/2006/relationships/hyperlink" Target="Agency_Adoption_of_the_UG_and_Example_Citations.pdf" TargetMode="External"/><Relationship Id="rId112" Type="http://schemas.openxmlformats.org/officeDocument/2006/relationships/header" Target="header22.xml"/><Relationship Id="rId133" Type="http://schemas.openxmlformats.org/officeDocument/2006/relationships/hyperlink" Target="https://www.hud.gov/program_offices/public_indian_housing/programs/ph/am/webportal" TargetMode="External"/><Relationship Id="rId138" Type="http://schemas.openxmlformats.org/officeDocument/2006/relationships/hyperlink" Target="https://www.hud.gov/sites/dfiles/PIH/documents/JPEID_Guidance.pdf" TargetMode="External"/><Relationship Id="rId16" Type="http://schemas.openxmlformats.org/officeDocument/2006/relationships/hyperlink" Target="https://www.gao.gov/assets/gao-25-107721.pdf" TargetMode="External"/><Relationship Id="rId107" Type="http://schemas.openxmlformats.org/officeDocument/2006/relationships/header" Target="header21.xml"/><Relationship Id="rId11" Type="http://schemas.openxmlformats.org/officeDocument/2006/relationships/hyperlink" Target="OMB_Appendix_VII.pdf" TargetMode="External"/><Relationship Id="rId32" Type="http://schemas.openxmlformats.org/officeDocument/2006/relationships/hyperlink" Target="https://www.hud.gov/program_offices/public_indian_housing/publications" TargetMode="External"/><Relationship Id="rId37" Type="http://schemas.openxmlformats.org/officeDocument/2006/relationships/hyperlink" Target="https://www.hud.gov/sites/documents/DOC_9191.PDF" TargetMode="External"/><Relationship Id="rId53" Type="http://schemas.openxmlformats.org/officeDocument/2006/relationships/hyperlink" Target="https://www.hud.gov/program_offices/public_indian_housing/programs/ph/am/accounting" TargetMode="External"/><Relationship Id="rId58" Type="http://schemas.openxmlformats.org/officeDocument/2006/relationships/hyperlink" Target="Agency_Adoption_of_the_UG_and_Example_Citations.pdf" TargetMode="External"/><Relationship Id="rId74" Type="http://schemas.openxmlformats.org/officeDocument/2006/relationships/hyperlink" Target="48_CFR_Part_52.pdf" TargetMode="External"/><Relationship Id="rId79" Type="http://schemas.openxmlformats.org/officeDocument/2006/relationships/hyperlink" Target="Agency_Adoption_of_the_UG_and_Example_Citations.pdf" TargetMode="External"/><Relationship Id="rId102" Type="http://schemas.openxmlformats.org/officeDocument/2006/relationships/hyperlink" Target="Agency_Adoption_of_the_UG_and_Example_Citations.pdf" TargetMode="External"/><Relationship Id="rId123" Type="http://schemas.openxmlformats.org/officeDocument/2006/relationships/hyperlink" Target="https://www.hud.gov/sites/dfiles/OCHCO/documents/52722.pdf" TargetMode="External"/><Relationship Id="rId128" Type="http://schemas.openxmlformats.org/officeDocument/2006/relationships/hyperlink" Target="https://www.hud.gov/sites/dfiles/OCHCO/documents/2024-25pihn.pdf" TargetMode="External"/><Relationship Id="rId144" Type="http://schemas.openxmlformats.org/officeDocument/2006/relationships/header" Target="header29.xml"/><Relationship Id="rId149" Type="http://schemas.openxmlformats.org/officeDocument/2006/relationships/glossaryDocument" Target="glossary/document.xml"/><Relationship Id="rId5" Type="http://schemas.openxmlformats.org/officeDocument/2006/relationships/numbering" Target="numbering.xml"/><Relationship Id="rId90" Type="http://schemas.openxmlformats.org/officeDocument/2006/relationships/header" Target="header14.xml"/><Relationship Id="rId95" Type="http://schemas.openxmlformats.org/officeDocument/2006/relationships/hyperlink" Target="Agency_Adoption_of_the_UG_and_Example_Citations.pdf" TargetMode="External"/><Relationship Id="rId22" Type="http://schemas.openxmlformats.org/officeDocument/2006/relationships/header" Target="header1.xml"/><Relationship Id="rId27" Type="http://schemas.openxmlformats.org/officeDocument/2006/relationships/hyperlink" Target="OMB_Part_6.pdf" TargetMode="External"/><Relationship Id="rId43" Type="http://schemas.openxmlformats.org/officeDocument/2006/relationships/header" Target="header6.xml"/><Relationship Id="rId48"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64" Type="http://schemas.openxmlformats.org/officeDocument/2006/relationships/hyperlink" Target="https://sam.gov/content/home" TargetMode="External"/><Relationship Id="rId69" Type="http://schemas.openxmlformats.org/officeDocument/2006/relationships/hyperlink" Target="48_CFR_Part_52.pdf" TargetMode="External"/><Relationship Id="rId113" Type="http://schemas.openxmlformats.org/officeDocument/2006/relationships/hyperlink" Target="Agency_Adoption_of_the_UG_and_Example_Citations.pdf" TargetMode="External"/><Relationship Id="rId118" Type="http://schemas.openxmlformats.org/officeDocument/2006/relationships/hyperlink" Target="https://www.hud.gov/program_offices/public_indian_housing/programs/ph/am/accounting" TargetMode="External"/><Relationship Id="rId134" Type="http://schemas.openxmlformats.org/officeDocument/2006/relationships/hyperlink" Target="https://www.hud.gov/program_offices/public_indian_housing/programs/ph/am/funding" TargetMode="External"/><Relationship Id="rId139" Type="http://schemas.openxmlformats.org/officeDocument/2006/relationships/hyperlink" Target="https://www.hud.gov/sites/dfiles/PIH/documents/FSS-GUIDANCE.PD_.pdf" TargetMode="External"/><Relationship Id="rId80" Type="http://schemas.openxmlformats.org/officeDocument/2006/relationships/header" Target="header10.xml"/><Relationship Id="rId85" Type="http://schemas.openxmlformats.org/officeDocument/2006/relationships/hyperlink" Target="Agency_Adoption_of_the_UG_and_Example_Citations.pdf" TargetMode="External"/><Relationship Id="rId15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www.hud.gov/program_offices/public_indian_housing/reac" TargetMode="External"/><Relationship Id="rId38" Type="http://schemas.openxmlformats.org/officeDocument/2006/relationships/hyperlink" Target="https://www.hud.gov/program_offices/administration/hudclips" TargetMode="External"/><Relationship Id="rId46" Type="http://schemas.openxmlformats.org/officeDocument/2006/relationships/hyperlink" Target="Agency_Adoption_of_the_UG_and_Example_Citations.pdf" TargetMode="External"/><Relationship Id="rId59" Type="http://schemas.openxmlformats.org/officeDocument/2006/relationships/header" Target="header9.xml"/><Relationship Id="rId67" Type="http://schemas.openxmlformats.org/officeDocument/2006/relationships/hyperlink" Target="48_CFR_Part_9.pdf" TargetMode="External"/><Relationship Id="rId103" Type="http://schemas.openxmlformats.org/officeDocument/2006/relationships/header" Target="header19.xml"/><Relationship Id="rId108" Type="http://schemas.openxmlformats.org/officeDocument/2006/relationships/hyperlink" Target="https://www.hud.gov/sites/dfiles/OCHCO/documents/52722.pdf" TargetMode="External"/><Relationship Id="rId116" Type="http://schemas.openxmlformats.org/officeDocument/2006/relationships/hyperlink" Target="Agency_Adoption_of_the_UG_and_Example_Citations.pdf" TargetMode="External"/><Relationship Id="rId124" Type="http://schemas.openxmlformats.org/officeDocument/2006/relationships/hyperlink" Target="https://www.hud.gov/program_offices/administration/hudclips" TargetMode="External"/><Relationship Id="rId129" Type="http://schemas.openxmlformats.org/officeDocument/2006/relationships/hyperlink" Target="https://www.hud.gov/sites/dfiles/OCHCO/documents/2024-25pihn.pdf" TargetMode="External"/><Relationship Id="rId137" Type="http://schemas.openxmlformats.org/officeDocument/2006/relationships/hyperlink" Target="https://www.hud.gov/sites/dfiles/PIH/documents/JPEID_Guidance.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www.hud.gov/RAD" TargetMode="External"/><Relationship Id="rId54" Type="http://schemas.openxmlformats.org/officeDocument/2006/relationships/hyperlink" Target="Testing_the_ICRP_discussion.pdf" TargetMode="External"/><Relationship Id="rId62" Type="http://schemas.openxmlformats.org/officeDocument/2006/relationships/hyperlink" Target="https://www.whitehouse.gov/wp-content/uploads/2023/10/M-24-02-Buy-America-Implementation-Guidance-Update.pdf" TargetMode="External"/><Relationship Id="rId70" Type="http://schemas.openxmlformats.org/officeDocument/2006/relationships/hyperlink" Target="48_CFR_Part_52.pdf" TargetMode="External"/><Relationship Id="rId75" Type="http://schemas.openxmlformats.org/officeDocument/2006/relationships/hyperlink" Target="48_CFR_Part_15.pdf" TargetMode="External"/><Relationship Id="rId83" Type="http://schemas.openxmlformats.org/officeDocument/2006/relationships/hyperlink" Target="Agency_Adoption_of_the_UG_and_Example_Citations.pdf" TargetMode="External"/><Relationship Id="rId88" Type="http://schemas.openxmlformats.org/officeDocument/2006/relationships/header" Target="header13.xml"/><Relationship Id="rId91" Type="http://schemas.openxmlformats.org/officeDocument/2006/relationships/hyperlink" Target="https://www.hud.gov/program_offices/administration/hudclips/handbooks/pihh/74751" TargetMode="External"/><Relationship Id="rId96" Type="http://schemas.openxmlformats.org/officeDocument/2006/relationships/header" Target="header16.xml"/><Relationship Id="rId111" Type="http://schemas.openxmlformats.org/officeDocument/2006/relationships/hyperlink" Target="Agency_Adoption_of_the_UG_and_Example_Citations.pdf" TargetMode="External"/><Relationship Id="rId132" Type="http://schemas.openxmlformats.org/officeDocument/2006/relationships/hyperlink" Target="https://www.hud.gov/program_offices/public_indian_housing/programs/ph/am/webportal" TargetMode="External"/><Relationship Id="rId140" Type="http://schemas.openxmlformats.org/officeDocument/2006/relationships/hyperlink" Target="https://www.hud.gov/sites/dfiles/PIH/documents/FSS-GUIDANCE.PD_.pdf" TargetMode="External"/><Relationship Id="rId145" Type="http://schemas.openxmlformats.org/officeDocument/2006/relationships/hyperlink" Target="OMB_Appendix_I.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hud.gov/sites/documents/doc_9191.pdf" TargetMode="External"/><Relationship Id="rId49" Type="http://schemas.openxmlformats.org/officeDocument/2006/relationships/hyperlink" Target="https://ohioauditor.gov/references/practiceaids/faccrs.html" TargetMode="External"/><Relationship Id="rId57" Type="http://schemas.openxmlformats.org/officeDocument/2006/relationships/hyperlink" Target="https://www.ecfr.gov/current/title-24/subtitle-A/part-5/subpart-B/subject-group-ECFR571d9c483519586/section-5.230" TargetMode="External"/><Relationship Id="rId106" Type="http://schemas.openxmlformats.org/officeDocument/2006/relationships/hyperlink" Target="Agency_Adoption_of_the_UG_and_Example_Citations.pdf" TargetMode="External"/><Relationship Id="rId114" Type="http://schemas.openxmlformats.org/officeDocument/2006/relationships/header" Target="header23.xml"/><Relationship Id="rId119" Type="http://schemas.openxmlformats.org/officeDocument/2006/relationships/hyperlink" Target="Agency_Adoption_of_the_UG_and_Example_Citations.pdf" TargetMode="External"/><Relationship Id="rId127" Type="http://schemas.openxmlformats.org/officeDocument/2006/relationships/hyperlink" Target="https://www.hud.gov/sites/dfiles/PIH/documents/CY2023%20Formula%20Income%20Guidance%20FINAL%20(10-4-22).pdf" TargetMode="External"/><Relationship Id="rId10" Type="http://schemas.openxmlformats.org/officeDocument/2006/relationships/endnotes" Target="endnotes.xml"/><Relationship Id="rId31" Type="http://schemas.openxmlformats.org/officeDocument/2006/relationships/hyperlink" Target="https://www.hud.gov/program_offices/public_indian_housing/publications" TargetMode="External"/><Relationship Id="rId44" Type="http://schemas.openxmlformats.org/officeDocument/2006/relationships/hyperlink" Target="http://www.ohioauditor.gov/references/practiceaids.html" TargetMode="External"/><Relationship Id="rId52" Type="http://schemas.openxmlformats.org/officeDocument/2006/relationships/hyperlink" Target="https://www.opm.gov/policy-data-oversight/pay-leave/salaries-wages/" TargetMode="External"/><Relationship Id="rId60" Type="http://schemas.openxmlformats.org/officeDocument/2006/relationships/hyperlink" Target="https://www.congress.gov/117/plaws/publ58/PLAW-117publ58.pdf" TargetMode="External"/><Relationship Id="rId65" Type="http://schemas.openxmlformats.org/officeDocument/2006/relationships/hyperlink" Target="2_CFR_Part_180.pdf" TargetMode="External"/><Relationship Id="rId73" Type="http://schemas.openxmlformats.org/officeDocument/2006/relationships/hyperlink" Target="48_CFR_Part_52.pdf" TargetMode="External"/><Relationship Id="rId78" Type="http://schemas.openxmlformats.org/officeDocument/2006/relationships/hyperlink" Target="48_CFR_Part_52.pdf" TargetMode="External"/><Relationship Id="rId81" Type="http://schemas.openxmlformats.org/officeDocument/2006/relationships/hyperlink" Target="https://www.hud.gov/program_offices/davis_bacon_and_labor_standards/olr_foa" TargetMode="External"/><Relationship Id="rId86" Type="http://schemas.openxmlformats.org/officeDocument/2006/relationships/header" Target="header12.xml"/><Relationship Id="rId94" Type="http://schemas.openxmlformats.org/officeDocument/2006/relationships/hyperlink" Target="https://www.hud.gov/program_offices/administration/hudclips/handbooks/pihh/74751" TargetMode="External"/><Relationship Id="rId99" Type="http://schemas.openxmlformats.org/officeDocument/2006/relationships/hyperlink" Target="Agency_Adoption_of_the_UG_and_Example_Citations.pdf" TargetMode="External"/><Relationship Id="rId101" Type="http://schemas.openxmlformats.org/officeDocument/2006/relationships/hyperlink" Target="https://www.hud.gov/program_offices/administration/hudclips/handbooks/pihh/74751" TargetMode="External"/><Relationship Id="rId122" Type="http://schemas.openxmlformats.org/officeDocument/2006/relationships/header" Target="header26.xml"/><Relationship Id="rId130" Type="http://schemas.openxmlformats.org/officeDocument/2006/relationships/hyperlink" Target="https://www.hud.gov/sites/dfiles/PIH/documents/CY21-OPFND-GRNT-PRCSNG-NOTICE.pdf" TargetMode="External"/><Relationship Id="rId135" Type="http://schemas.openxmlformats.org/officeDocument/2006/relationships/hyperlink" Target="https://www.hud.gov/sites/dfiles/PIH/documents/CY2023%20Formula%20Income%20Guidance%20FINAL%20(10-4-22).pdf" TargetMode="External"/><Relationship Id="rId143" Type="http://schemas.openxmlformats.org/officeDocument/2006/relationships/hyperlink" Target="Agency_Adoption_of_the_UG_and_Example_Citations.pdf" TargetMode="External"/><Relationship Id="rId14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hud.gov/program_offices/administration/hudclips" TargetMode="External"/><Relationship Id="rId109" Type="http://schemas.openxmlformats.org/officeDocument/2006/relationships/hyperlink" Target="https://www.hud.gov/sites/dfiles/OCHCO/documents/52723.pdf" TargetMode="External"/><Relationship Id="rId34" Type="http://schemas.openxmlformats.org/officeDocument/2006/relationships/hyperlink" Target="https://www.hud.gov/program_offices/public_indian_housing/reac" TargetMode="External"/><Relationship Id="rId50" Type="http://schemas.openxmlformats.org/officeDocument/2006/relationships/hyperlink" Target="Selected_Items_of_Cost_Part_3.2_ComplianceSupplement.pdf" TargetMode="External"/><Relationship Id="rId55" Type="http://schemas.openxmlformats.org/officeDocument/2006/relationships/hyperlink" Target="Agency_Adoption_of_the_UG_and_Example_Citations.pdf" TargetMode="External"/><Relationship Id="rId76" Type="http://schemas.openxmlformats.org/officeDocument/2006/relationships/hyperlink" Target="48_CFR_Part_52.pdf" TargetMode="External"/><Relationship Id="rId97" Type="http://schemas.openxmlformats.org/officeDocument/2006/relationships/hyperlink" Target="Agency_Adoption_of_the_UG_and_Example_Citations.pdf" TargetMode="External"/><Relationship Id="rId104" Type="http://schemas.openxmlformats.org/officeDocument/2006/relationships/hyperlink" Target="Agency_Adoption_of_the_UG_and_Example_Citations.pdf" TargetMode="External"/><Relationship Id="rId120" Type="http://schemas.openxmlformats.org/officeDocument/2006/relationships/header" Target="header25.xml"/><Relationship Id="rId125" Type="http://schemas.openxmlformats.org/officeDocument/2006/relationships/hyperlink" Target="Agency_Adoption_of_the_UG_and_Example_Citations.pdf" TargetMode="External"/><Relationship Id="rId141" Type="http://schemas.openxmlformats.org/officeDocument/2006/relationships/hyperlink" Target="Agency_Adoption_of_the_UG_and_Example_Citations.pdf" TargetMode="External"/><Relationship Id="rId146" Type="http://schemas.openxmlformats.org/officeDocument/2006/relationships/hyperlink" Target="Agency_Adoption_of_the_UG_and_Example_Citations.pdf" TargetMode="External"/><Relationship Id="rId7" Type="http://schemas.openxmlformats.org/officeDocument/2006/relationships/settings" Target="settings.xml"/><Relationship Id="rId71" Type="http://schemas.openxmlformats.org/officeDocument/2006/relationships/hyperlink" Target="48_CFR_Part_44.pdf" TargetMode="External"/><Relationship Id="rId92" Type="http://schemas.openxmlformats.org/officeDocument/2006/relationships/hyperlink" Target="Agency_Adoption_of_the_UG_and_Example_Citations.pdf" TargetMode="External"/><Relationship Id="rId2" Type="http://schemas.openxmlformats.org/officeDocument/2006/relationships/customXml" Target="../customXml/item2.xml"/><Relationship Id="rId29" Type="http://schemas.openxmlformats.org/officeDocument/2006/relationships/hyperlink" Target="https://www.hud.gov/program_offices/public_indian_housing/programs/ph" TargetMode="External"/><Relationship Id="rId24" Type="http://schemas.openxmlformats.org/officeDocument/2006/relationships/footer" Target="footer2.xml"/><Relationship Id="rId40" Type="http://schemas.openxmlformats.org/officeDocument/2006/relationships/hyperlink" Target="https://www.hud.gov/RAD" TargetMode="External"/><Relationship Id="rId45" Type="http://schemas.openxmlformats.org/officeDocument/2006/relationships/hyperlink" Target="https://www.ecfr.gov/current/title-24/subtitle-B/chapter-IX/part-990/subpart-H/section-990.280" TargetMode="External"/><Relationship Id="rId66" Type="http://schemas.openxmlformats.org/officeDocument/2006/relationships/hyperlink" Target="OMB_Appendix_II.pdf" TargetMode="External"/><Relationship Id="rId87" Type="http://schemas.openxmlformats.org/officeDocument/2006/relationships/hyperlink" Target="Agency_Adoption_of_the_UG_and_Example_Citations.pdf" TargetMode="External"/><Relationship Id="rId110" Type="http://schemas.openxmlformats.org/officeDocument/2006/relationships/hyperlink" Target="https://www.hud.gov/sites/dfiles/OCHCO/documents/52722.pdf" TargetMode="External"/><Relationship Id="rId115" Type="http://schemas.openxmlformats.org/officeDocument/2006/relationships/hyperlink" Target="https://www.hud.gov/sites/dfiles/OCHCO/documents/51999.pdf" TargetMode="External"/><Relationship Id="rId131" Type="http://schemas.openxmlformats.org/officeDocument/2006/relationships/hyperlink" Target="https://www.hud.gov/sites/dfiles/PIH/documents/CY21-OPFND-GRNT-PRCSNG-NOTICE.pdf" TargetMode="External"/><Relationship Id="rId136" Type="http://schemas.openxmlformats.org/officeDocument/2006/relationships/hyperlink" Target="https://www.hud.gov/sites/dfiles/OCHCO/documents/52723.pdf" TargetMode="External"/><Relationship Id="rId61" Type="http://schemas.openxmlformats.org/officeDocument/2006/relationships/hyperlink" Target="https://www.ecfr.gov/current/title-2/subtitle-A/chapter-I/part-184" TargetMode="External"/><Relationship Id="rId82" Type="http://schemas.openxmlformats.org/officeDocument/2006/relationships/hyperlink" Target="https://www.dol.gov/agencies/whd/government-contracts/construction" TargetMode="Externa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www.hud.gov/program_offices/public_indian_housing/programs/ph" TargetMode="External"/><Relationship Id="rId35" Type="http://schemas.openxmlformats.org/officeDocument/2006/relationships/hyperlink" Target="https://www.hud.gov/program_offices/public_indian_housing/reac" TargetMode="External"/><Relationship Id="rId56" Type="http://schemas.openxmlformats.org/officeDocument/2006/relationships/header" Target="header8.xml"/><Relationship Id="rId77" Type="http://schemas.openxmlformats.org/officeDocument/2006/relationships/hyperlink" Target="2_CFR_Part_180.pdf" TargetMode="External"/><Relationship Id="rId100" Type="http://schemas.openxmlformats.org/officeDocument/2006/relationships/header" Target="header18.xml"/><Relationship Id="rId105" Type="http://schemas.openxmlformats.org/officeDocument/2006/relationships/header" Target="header20.xml"/><Relationship Id="rId126" Type="http://schemas.openxmlformats.org/officeDocument/2006/relationships/header" Target="header27.xml"/><Relationship Id="rId147"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hyperlink" Target="https://www.hud.gov/sites/documents/16-14pihn.pdf" TargetMode="External"/><Relationship Id="rId72" Type="http://schemas.openxmlformats.org/officeDocument/2006/relationships/hyperlink" Target="48_CFR_Part_52.pdf" TargetMode="External"/><Relationship Id="rId93" Type="http://schemas.openxmlformats.org/officeDocument/2006/relationships/header" Target="header15.xml"/><Relationship Id="rId98" Type="http://schemas.openxmlformats.org/officeDocument/2006/relationships/header" Target="header17.xml"/><Relationship Id="rId121" Type="http://schemas.openxmlformats.org/officeDocument/2006/relationships/hyperlink" Target="Agency_Adoption_of_the_UG_and_Example_Citations.pdf" TargetMode="External"/><Relationship Id="rId142" Type="http://schemas.openxmlformats.org/officeDocument/2006/relationships/header" Target="header28.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A0CA3"/>
    <w:rsid w:val="000D2ED7"/>
    <w:rsid w:val="002E1B1A"/>
    <w:rsid w:val="00314BBE"/>
    <w:rsid w:val="00435AE4"/>
    <w:rsid w:val="00444C5F"/>
    <w:rsid w:val="00560B1D"/>
    <w:rsid w:val="0057650C"/>
    <w:rsid w:val="00620F21"/>
    <w:rsid w:val="00755AD6"/>
    <w:rsid w:val="00776DDE"/>
    <w:rsid w:val="007777A0"/>
    <w:rsid w:val="00777C0A"/>
    <w:rsid w:val="00963DBC"/>
    <w:rsid w:val="00974272"/>
    <w:rsid w:val="00A74D26"/>
    <w:rsid w:val="00A97B5A"/>
    <w:rsid w:val="00AC1185"/>
    <w:rsid w:val="00BB24E2"/>
    <w:rsid w:val="00C632B1"/>
    <w:rsid w:val="00E4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4.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115</Pages>
  <Words>36389</Words>
  <Characters>225144</Characters>
  <Application>Microsoft Office Word</Application>
  <DocSecurity>0</DocSecurity>
  <Lines>1876</Lines>
  <Paragraphs>522</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261011</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45</cp:revision>
  <cp:lastPrinted>2015-07-01T17:39:00Z</cp:lastPrinted>
  <dcterms:created xsi:type="dcterms:W3CDTF">2025-10-07T11:34:00Z</dcterms:created>
  <dcterms:modified xsi:type="dcterms:W3CDTF">2025-11-26T17:22:00Z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